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3C6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XVentures Labs — Recruiter Call Cheat Sheet</w:t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color w:val="CCDDEE"/>
                <w:sz w:val="18"/>
                <w:szCs w:val="18"/>
              </w:rPr>
              <w:t xml:space="preserve">Shaun Kutsanzira  •  Internal Entrepreneur Internship  •  Interviewer: Zohair Dehnadi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560"/>
        <w:gridCol w:w="4800"/>
      </w:tblGrid>
      <w:tr>
        <w:tc>
          <w:tcPr>
            <w:tcW w:type="dxa" w:w="4560"/>
            <w:tcBorders>
              <w:top w:val="none"/>
              <w:left w:val="none"/>
              <w:bottom w:val="none"/>
              <w:right w:val="single" w:color="CCCCCC" w:sz="1"/>
            </w:tcBorders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ABOUT XVENTURES LABS</w:t>
            </w:r>
          </w:p>
          <w:p>
            <w:pPr>
              <w:pBdr>
                <w:bottom w:val="single" w:color="1A3C6E" w:sz="2"/>
              </w:pBdr>
              <w:spacing w:after="8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Type: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Web3 Venture Studio (not just a fund) — capital + hands-on ops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HQ: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Germany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Model: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"Gravity Model" — they shape markets, not orbit them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Capital: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€50M+ deployed, 100+ yrs combined founder experience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Key Initiatives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Proof of Talk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Biennial summit @ Louvre Palace, Paris — 2,500 C-suite, $18T AUM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XFounders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Accelerator/bootcamp — Starknet Foundation partner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Catalyst3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On-chain launchpad for blockchain protocols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Get in the Ring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Global startup competition, 220 cities, 109 countries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X-Schule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New school, Cologne Aug 2026 — 100 schools globally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Polybrain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Multi-LLM aggregator tool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Portfolio Thesis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RWA tokenisation &amp; TradFi-DeFi bridge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DePIN (decentralised physical infrastructure)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AI infrastructure &amp; ZK proofs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Stablecoins, identity, cross-chain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Notable co-investors: Framework, Arrington, Draper Dragon, Amber Group</w:t>
            </w:r>
          </w:p>
          <w:p>
            <w:pPr>
              <w:spacing w:before="160"/>
            </w:pPr>
            <w:r>
              <w:t xml:space="preserve"/>
            </w:r>
          </w:p>
          <w:tbl>
            <w:tblPr>
              <w:tblW w:type="auto" w:w="1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360"/>
            </w:tblGrid>
            <w:tr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EAF0F8" w:val="clear"/>
                  <w:tcMar>
                    <w:top w:type="dxa" w:w="100"/>
                    <w:left w:type="dxa" w:w="160"/>
                    <w:bottom w:type="dxa" w:w="100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3C6E"/>
                      <w:sz w:val="20"/>
                      <w:szCs w:val="20"/>
                    </w:rPr>
                    <w:t xml:space="preserve">LOGISTICS TO CONFIRM</w:t>
                  </w:r>
                </w:p>
              </w:tc>
            </w:tr>
            <w:tr>
              <w:tc>
                <w:tcPr>
                  <w:tcW w:type="dxa" w:w="436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80"/>
                    <w:left w:type="dxa" w:w="160"/>
                    <w:bottom w:type="dxa" w:w="80"/>
                    <w:right w:type="dxa" w:w="16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Start date formalities &amp; contract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Remote / on-site / hybrid arrangement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Next steps &amp; timeline in the process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after="40" w:before="40"/>
                  </w:pPr>
                  <w:r>
                    <w:rPr>
                      <w:rFonts w:ascii="Arial" w:cs="Arial" w:eastAsia="Arial" w:hAnsi="Arial"/>
                      <w:color w:val="555555"/>
                      <w:sz w:val="20"/>
                      <w:szCs w:val="20"/>
                    </w:rPr>
                    <w:t xml:space="preserve">Intern → full-time evaluation criteria</w:t>
                  </w:r>
                </w:p>
              </w:tc>
            </w:tr>
          </w:tbl>
          <w:p/>
        </w:tc>
        <w:tc>
          <w:tcPr>
            <w:tcW w:type="dxa" w:w="4800"/>
            <w:tcBorders>
              <w:top w:val="none"/>
              <w:left w:val="none"/>
              <w:bottom w:val="none"/>
              <w:right w:val="none"/>
            </w:tcBorders>
            <w:tcMar>
              <w:left w:type="dxa" w:w="2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THE CASE STUDY</w:t>
            </w:r>
          </w:p>
          <w:p>
            <w:pPr>
              <w:pBdr>
                <w:bottom w:val="single" w:color="1A3C6E" w:sz="2"/>
              </w:pBdr>
              <w:spacing w:after="8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Product: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POT Matchmaker — AI matchmaking engine for Proof of Talk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Problem: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2,500 high-value attendees; manual curation doesn't scale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Angle: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Complementarity matching (investor + startup), not keyword similarity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Submission: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Level 3 — full working web app, not just a document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Tech Stack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Backend: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Python FastAPI + SQLAlchemy async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Frontend: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React + TypeScript + Vite + Tailwind CSS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Database: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PostgreSQL + pgvector (AWS RDS)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AI: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OpenAI — text-embedding-3-small + GPT-4o</w:t>
            </w:r>
          </w:p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3-Stage Matching Pipeline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1. Embed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Composite profile → vector via OpenAI embeddings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2. Retrieve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Top-N candidates via cosine similarity (pgvector)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11111"/>
                <w:sz w:val="20"/>
                <w:szCs w:val="20"/>
              </w:rPr>
              <w:t xml:space="preserve">3. Rank &amp; Explain </w:t>
            </w: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GPT-4o re-ranks on complementarity + deal-readiness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Why this design?  Avoids expensive LLM calls on all N² pairs while producing explainable matches.</w:t>
            </w:r>
          </w:p>
          <w:p>
            <w:pPr>
              <w:pBdr>
                <w:bottom w:val="single" w:color="DDDDDD" w:sz="1"/>
              </w:pBdr>
              <w:spacing w:after="60" w:before="60"/>
            </w:pPr>
            <w: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KEY TALKING POINTS</w:t>
            </w:r>
          </w:p>
          <w:p>
            <w:pPr>
              <w:pBdr>
                <w:bottom w:val="single" w:color="1A3C6E" w:sz="2"/>
              </w:pBdr>
              <w:spacing w:after="8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"You're a venture studio — I built something that solves a real problem for your own flagship event."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"The matching engine is directly relevant to your RWA/TradFi-DeFi thesis — connecting the right investors to the right founders at scale."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"XFounders uses systematic scoring over crowd appeal — same philosophy I used: complementarity scoring, not popularity."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Honest growth area: "I'd add a feedback loop so match quality improves over time."</w:t>
            </w:r>
          </w:p>
          <w:p>
            <w:pPr>
              <w:pBdr>
                <w:bottom w:val="single" w:color="DDDDDD" w:sz="1"/>
              </w:pBdr>
              <w:spacing w:after="60" w:before="60"/>
            </w:pPr>
            <w:r>
              <w:t xml:space="preserve"/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QUESTIONS TO ASK</w:t>
            </w:r>
          </w:p>
          <w:p>
            <w:pPr>
              <w:pBdr>
                <w:bottom w:val="single" w:color="1A3C6E" w:sz="2"/>
              </w:pBdr>
              <w:spacing w:after="80" w:before="6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"How does this role interface with the Proof of Talk team and XFounders — is there cross-pollination?"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"What does the first 30–60 days look like for someone in this role?"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"Is the intern → full-time path performance-based or headcount-driven?"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55555"/>
                <w:sz w:val="20"/>
                <w:szCs w:val="20"/>
              </w:rPr>
              <w:t xml:space="preserve">"What's the biggest challenge the team is working through right now?"</w:t>
            </w:r>
          </w:p>
        </w:tc>
      </w:tr>
    </w:tbl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Prepared by Shaun Kutsanzira — February 2026</w:t>
      </w:r>
    </w:p>
    <w:sectPr>
      <w:headerReference w:type="default" r:id="rId7"/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60" w:before="0"/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CONFIDENTIAL — RECRUITER CALL PREP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0" w:before="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1A3C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2026-02-25T22:31:13.338Z</dcterms:created>
  <dcterms:modified xsi:type="dcterms:W3CDTF">2026-02-25T22:31:13.339Z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