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pStyle w:val="Title"/>
      </w:pPr>
      <w:r>
        <w:t xml:space="preserve">POT Matchmaker</w:t>
      </w:r>
    </w:p>
    <w:p>
      <w:pPr>
        <w:spacing w:after="80" w:before="0"/>
        <w:jc w:val="center"/>
      </w:pPr>
      <w:r>
        <w:rPr>
          <w:rFonts w:ascii="Arial" w:cs="Arial" w:eastAsia="Arial" w:hAnsi="Arial"/>
          <w:b/>
          <w:bCs/>
          <w:color w:val="4A90D9"/>
          <w:sz w:val="44"/>
          <w:szCs w:val="44"/>
        </w:rPr>
        <w:t xml:space="preserve">Competitive Intelligence Report</w:t>
      </w:r>
    </w:p>
    <w:p>
      <w:pPr>
        <w:spacing w:after="40" w:before="40"/>
        <w:jc w:val="center"/>
      </w:pPr>
      <w:r>
        <w:rPr>
          <w:i/>
          <w:iCs/>
          <w:color w:val="555555"/>
          <w:sz w:val="26"/>
          <w:szCs w:val="26"/>
        </w:rPr>
        <w:t xml:space="preserve">Brella Deep-Dive: Weaknesses, Gaps &amp; Positioning Strategy</w:t>
      </w:r>
    </w:p>
    <w:p>
      <w:r>
        <w:t xml:space="preserve"/>
      </w:r>
    </w:p>
    <w:p>
      <w:pPr>
        <w:spacing w:after="60" w:before="60"/>
        <w:jc w:val="center"/>
      </w:pPr>
      <w:r>
        <w:rPr>
          <w:color w:val="888888"/>
          <w:sz w:val="20"/>
          <w:szCs w:val="20"/>
        </w:rPr>
        <w:t xml:space="preserve">Prepared by: Kanyuchi  |  Date: March 2026  |  Classification: Confidential</w:t>
      </w:r>
    </w:p>
    <w:p>
      <w:r>
        <w:t xml:space="preserve"/>
      </w:r>
    </w:p>
    <w:p>
      <w:r>
        <w:t xml:space="preserve"/>
      </w:r>
    </w:p>
    <w:p>
      <w:pPr>
        <w:pStyle w:val="Heading1"/>
      </w:pPr>
      <w:r>
        <w:t xml:space="preserve">1. Executive Summary</w:t>
      </w:r>
    </w:p>
    <w:p>
      <w:pPr>
        <w:spacing w:after="120" w:before="80"/>
      </w:pPr>
      <w:r>
        <w:t xml:space="preserve">Brella is the market-leading event networking platform, deployed at thousands of B2B conferences globally. It is a strong general-purpose product. However, a deep investigation reveals structural weaknesses that leave a clear opening for a purpose-built, intelligence-first matchmaking product serving high-stakes deal-oriented events.</w:t>
      </w:r>
    </w:p>
    <w:p>
      <w:r>
        <w:t xml:space="preserve"/>
      </w:r>
    </w:p>
    <w:p>
      <w:pPr>
        <w:spacing w:after="120" w:before="80"/>
      </w:pPr>
      <w:r>
        <w:t xml:space="preserve">POT Matchmaker is not competing with Brella for the mass-market event app contract. It is purpose-built for one segment Brella does not serve well: elite Web3 and institutional finance conferences where every connection is a potential $10M+ transaction. The product differences are not incremental — they are architectural.</w:t>
      </w:r>
    </w:p>
    <w:p>
      <w:r>
        <w:t xml:space="preserve"/>
      </w:r>
    </w:p>
    <w:p>
      <w:pPr>
        <w:spacing w:after="120" w:before="80"/>
      </w:pPr>
      <w:r>
        <w:t xml:space="preserve">This document covers:</w:t>
      </w:r>
    </w:p>
    <w:p>
      <w:pPr>
        <w:pStyle w:val="ListParagraph"/>
        <w:numPr>
          <w:ilvl w:val="0"/>
          <w:numId w:val="2"/>
        </w:numPr>
        <w:spacing w:after="80"/>
      </w:pPr>
      <w:r>
        <w:t xml:space="preserve">A detailed breakdown of Brella's platform architecture and how it operates</w:t>
      </w:r>
    </w:p>
    <w:p>
      <w:pPr>
        <w:pStyle w:val="ListParagraph"/>
        <w:numPr>
          <w:ilvl w:val="0"/>
          <w:numId w:val="2"/>
        </w:numPr>
        <w:spacing w:after="80"/>
      </w:pPr>
      <w:r>
        <w:t xml:space="preserve">10 identified weaknesses — product, technical, and commercial — with strategic implications</w:t>
      </w:r>
    </w:p>
    <w:p>
      <w:pPr>
        <w:pStyle w:val="ListParagraph"/>
        <w:numPr>
          <w:ilvl w:val="0"/>
          <w:numId w:val="2"/>
        </w:numPr>
        <w:spacing w:after="80"/>
      </w:pPr>
      <w:r>
        <w:t xml:space="preserve">A side-by-side feature comparison across 15 dimensions</w:t>
      </w:r>
    </w:p>
    <w:p>
      <w:pPr>
        <w:pStyle w:val="ListParagraph"/>
        <w:numPr>
          <w:ilvl w:val="0"/>
          <w:numId w:val="2"/>
        </w:numPr>
        <w:spacing w:after="80"/>
      </w:pPr>
      <w:r>
        <w:t xml:space="preserve">A positioning strategy for POT Matchmaker that exploits Brella's blind spots</w:t>
      </w:r>
    </w:p>
    <w:p>
      <w:pPr>
        <w:pStyle w:val="ListParagraph"/>
        <w:numPr>
          <w:ilvl w:val="0"/>
          <w:numId w:val="2"/>
        </w:numPr>
        <w:spacing w:after="80"/>
      </w:pPr>
      <w:r>
        <w:t xml:space="preserve">Recommended messaging, go-to-market approach, and defensible moat narrative</w:t>
      </w:r>
    </w:p>
    <w:p>
      <w:r>
        <w:t xml:space="preserve"/>
      </w:r>
    </w:p>
    <w:p>
      <w:r>
        <w:br w:type="page"/>
      </w:r>
    </w:p>
    <w:p>
      <w:pPr>
        <w:pStyle w:val="Heading1"/>
      </w:pPr>
      <w:r>
        <w:t xml:space="preserve">2. Brella Platform Overview</w:t>
      </w:r>
    </w:p>
    <w:p>
      <w:pPr>
        <w:spacing w:after="120" w:before="80"/>
      </w:pPr>
      <w:r>
        <w:t xml:space="preserve">Brella is a B2B event technology platform based in Finland, ISO 27001 certified and GDPR-compliant. Its core thesis is that the most valuable outcome of any professional event is the meeting — and the platform is architected entirely around facilitating 1:1 meetings at scale.</w:t>
      </w:r>
    </w:p>
    <w:p>
      <w:r>
        <w:t xml:space="preserve"/>
      </w:r>
    </w:p>
    <w:p>
      <w:pPr>
        <w:pStyle w:val="Heading2"/>
      </w:pPr>
      <w:r>
        <w:t xml:space="preserve">2.1 Three-Sided Architecture</w:t>
      </w:r>
    </w:p>
    <w:p>
      <w:pPr>
        <w:spacing w:after="120" w:before="80"/>
      </w:pPr>
      <w:r>
        <w:t xml:space="preserve">The platform operates as a multi-sided marketplace across three distinct user portals:</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Portal</w:t>
            </w:r>
          </w:p>
        </w:tc>
        <w:tc>
          <w:tcPr>
            <w:tcW w:type="dxa" w:w="7360"/>
            <w:tcBorders>
              <w:top w:val="single" w:color="CCCCCC" w:sz="1"/>
              <w:left w:val="single" w:color="CCCCCC" w:sz="1"/>
              <w:bottom w:val="single" w:color="CCCCCC" w:sz="1"/>
              <w:right w:val="single" w:color="CCCCCC" w:sz="1"/>
            </w:tcBorders>
            <w:shd w:fill="1A1A2E" w:val="clear"/>
          </w:tcPr>
          <w:p>
            <w:r>
              <w:rPr>
                <w:b/>
                <w:bCs/>
                <w:color w:val="FFFFFF"/>
                <w:sz w:val="22"/>
                <w:szCs w:val="22"/>
              </w:rPr>
              <w:t xml:space="preserve">Function</w:t>
            </w:r>
          </w:p>
        </w:tc>
      </w:tr>
      <w:tr>
        <w:tc>
          <w:tcPr>
            <w:tcW w:type="dxa" w:w="2000"/>
            <w:tcBorders>
              <w:top w:val="single" w:color="CCCCCC" w:sz="1"/>
              <w:left w:val="single" w:color="CCCCCC" w:sz="1"/>
              <w:bottom w:val="single" w:color="CCCCCC" w:sz="1"/>
              <w:right w:val="single" w:color="CCCCCC" w:sz="1"/>
            </w:tcBorders>
            <w:shd w:fill="F0F4FF" w:val="clear"/>
          </w:tcPr>
          <w:p>
            <w:r>
              <w:rPr>
                <w:b/>
                <w:bCs/>
                <w:sz w:val="20"/>
                <w:szCs w:val="20"/>
              </w:rPr>
              <w:t xml:space="preserve">Organizer Admin</w:t>
            </w:r>
          </w:p>
        </w:tc>
        <w:tc>
          <w:tcPr>
            <w:tcW w:type="dxa" w:w="7360"/>
            <w:tcBorders>
              <w:top w:val="single" w:color="CCCCCC" w:sz="1"/>
              <w:left w:val="single" w:color="CCCCCC" w:sz="1"/>
              <w:bottom w:val="single" w:color="CCCCCC" w:sz="1"/>
              <w:right w:val="single" w:color="CCCCCC" w:sz="1"/>
            </w:tcBorders>
            <w:shd w:fill="FFFFFF" w:val="clear"/>
          </w:tcPr>
          <w:p>
            <w:r>
              <w:rPr>
                <w:sz w:val="20"/>
                <w:szCs w:val="20"/>
              </w:rPr>
              <w:t xml:space="preserve">Schedule/agenda management, attendee onboarding, sponsor tiers, matchmaking categories, analytics dashboards, push notifications, branding customisation, and meeting logistics.</w:t>
            </w:r>
          </w:p>
        </w:tc>
      </w:tr>
      <w:tr>
        <w:tc>
          <w:tcPr>
            <w:tcW w:type="dxa" w:w="2000"/>
            <w:tcBorders>
              <w:top w:val="single" w:color="CCCCCC" w:sz="1"/>
              <w:left w:val="single" w:color="CCCCCC" w:sz="1"/>
              <w:bottom w:val="single" w:color="CCCCCC" w:sz="1"/>
              <w:right w:val="single" w:color="CCCCCC" w:sz="1"/>
            </w:tcBorders>
            <w:shd w:fill="F0F4FF" w:val="clear"/>
          </w:tcPr>
          <w:p>
            <w:r>
              <w:rPr>
                <w:b/>
                <w:bCs/>
                <w:sz w:val="20"/>
                <w:szCs w:val="20"/>
              </w:rPr>
              <w:t xml:space="preserve">Attendee App</w:t>
            </w:r>
          </w:p>
        </w:tc>
        <w:tc>
          <w:tcPr>
            <w:tcW w:type="dxa" w:w="7360"/>
            <w:tcBorders>
              <w:top w:val="single" w:color="CCCCCC" w:sz="1"/>
              <w:left w:val="single" w:color="CCCCCC" w:sz="1"/>
              <w:bottom w:val="single" w:color="CCCCCC" w:sz="1"/>
              <w:right w:val="single" w:color="CCCCCC" w:sz="1"/>
            </w:tcBorders>
            <w:shd w:fill="FFFFFF" w:val="clear"/>
          </w:tcPr>
          <w:p>
            <w:r>
              <w:rPr>
                <w:sz w:val="20"/>
                <w:szCs w:val="20"/>
              </w:rPr>
              <w:t xml:space="preserve">iOS, Android, and web app. AI matchmaking recommendations, 1:1 and group meeting scheduling, agenda browsing, in-app messaging, QR code scanning, floor plans, personalised schedule builder.</w:t>
            </w:r>
          </w:p>
        </w:tc>
      </w:tr>
      <w:tr>
        <w:tc>
          <w:tcPr>
            <w:tcW w:type="dxa" w:w="2000"/>
            <w:tcBorders>
              <w:top w:val="single" w:color="CCCCCC" w:sz="1"/>
              <w:left w:val="single" w:color="CCCCCC" w:sz="1"/>
              <w:bottom w:val="single" w:color="CCCCCC" w:sz="1"/>
              <w:right w:val="single" w:color="CCCCCC" w:sz="1"/>
            </w:tcBorders>
            <w:shd w:fill="F0F4FF" w:val="clear"/>
          </w:tcPr>
          <w:p>
            <w:r>
              <w:rPr>
                <w:b/>
                <w:bCs/>
                <w:sz w:val="20"/>
                <w:szCs w:val="20"/>
              </w:rPr>
              <w:t xml:space="preserve">Sponsor Portal</w:t>
            </w:r>
          </w:p>
        </w:tc>
        <w:tc>
          <w:tcPr>
            <w:tcW w:type="dxa" w:w="7360"/>
            <w:tcBorders>
              <w:top w:val="single" w:color="CCCCCC" w:sz="1"/>
              <w:left w:val="single" w:color="CCCCCC" w:sz="1"/>
              <w:bottom w:val="single" w:color="CCCCCC" w:sz="1"/>
              <w:right w:val="single" w:color="CCCCCC" w:sz="1"/>
            </w:tcBorders>
            <w:shd w:fill="FFFFFF" w:val="clear"/>
          </w:tcPr>
          <w:p>
            <w:r>
              <w:rPr>
                <w:sz w:val="20"/>
                <w:szCs w:val="20"/>
              </w:rPr>
              <w:t xml:space="preserve">AI-powered prospecting recommendations, lead lists, engagement analytics, badge scanning, hosted buyer programmes, sponsored stories and sessions.</w:t>
            </w:r>
          </w:p>
        </w:tc>
      </w:tr>
    </w:tbl>
    <w:p>
      <w:r>
        <w:t xml:space="preserve"/>
      </w:r>
    </w:p>
    <w:p>
      <w:pPr>
        <w:pStyle w:val="Heading2"/>
      </w:pPr>
      <w:r>
        <w:t xml:space="preserve">2.2 Matching Engine</w:t>
      </w:r>
    </w:p>
    <w:p>
      <w:pPr>
        <w:spacing w:after="120" w:before="80"/>
      </w:pPr>
      <w:r>
        <w:t xml:space="preserve">Brella's AI matchmaking engine operates on an intent-based model. During onboarding, attendees declare what they are looking for — investment interests, technology areas, business goals — and the algorithm surfaces the highest-quality matches based on declared intent categories. The company claims this produces a significantly higher meeting acceptance rate than competitors.</w:t>
      </w:r>
    </w:p>
    <w:p>
      <w:r>
        <w:t xml:space="preserve"/>
      </w:r>
    </w:p>
    <w:p>
      <w:pPr>
        <w:spacing w:after="120" w:before="80"/>
      </w:pPr>
      <w:r>
        <w:t xml:space="preserve">Key technical characteristics observed:</w:t>
      </w:r>
    </w:p>
    <w:p>
      <w:pPr>
        <w:pStyle w:val="ListParagraph"/>
        <w:numPr>
          <w:ilvl w:val="0"/>
          <w:numId w:val="3"/>
        </w:numPr>
        <w:spacing w:after="80"/>
      </w:pPr>
      <w:r>
        <w:t xml:space="preserve">Input: self-declared interest categories (tag-based, not semantic)</w:t>
      </w:r>
    </w:p>
    <w:p>
      <w:pPr>
        <w:pStyle w:val="ListParagraph"/>
        <w:numPr>
          <w:ilvl w:val="0"/>
          <w:numId w:val="3"/>
        </w:numPr>
        <w:spacing w:after="80"/>
      </w:pPr>
      <w:r>
        <w:t xml:space="preserve">No external data enrichment — profile depth is limited to what users manually enter</w:t>
      </w:r>
    </w:p>
    <w:p>
      <w:pPr>
        <w:pStyle w:val="ListParagraph"/>
        <w:numPr>
          <w:ilvl w:val="0"/>
          <w:numId w:val="3"/>
        </w:numPr>
        <w:spacing w:after="80"/>
      </w:pPr>
      <w:r>
        <w:t xml:space="preserve">No evidence of LLM-based reasoning or match explanation generation</w:t>
      </w:r>
    </w:p>
    <w:p>
      <w:pPr>
        <w:pStyle w:val="ListParagraph"/>
        <w:numPr>
          <w:ilvl w:val="0"/>
          <w:numId w:val="3"/>
        </w:numPr>
        <w:spacing w:after="80"/>
      </w:pPr>
      <w:r>
        <w:t xml:space="preserve">Meeting scheduling is the output, not intelligence about why the match matters</w:t>
      </w:r>
    </w:p>
    <w:p>
      <w:r>
        <w:t xml:space="preserve"/>
      </w:r>
    </w:p>
    <w:p>
      <w:pPr>
        <w:pStyle w:val="Heading2"/>
      </w:pPr>
      <w:r>
        <w:t xml:space="preserve">2.3 Integration &amp; White-Label Layer</w:t>
      </w:r>
    </w:p>
    <w:p>
      <w:pPr>
        <w:spacing w:after="120" w:before="80"/>
      </w:pPr>
      <w:r>
        <w:t xml:space="preserve">Brella offers a public REST API, Zapier connectivity (500+ tools), native integrations with Eventbrite, HubSpot, Swoogo, Salesforce, and WooCommerce, and a managed integrations service. White-label deployment allows organizers to brand the app under their own identity, including custom app store listings.</w:t>
      </w:r>
    </w:p>
    <w:p>
      <w:r>
        <w:t xml:space="preserve"/>
      </w:r>
    </w:p>
    <w:p>
      <w:r>
        <w:br w:type="page"/>
      </w:r>
    </w:p>
    <w:p>
      <w:pPr>
        <w:pStyle w:val="Heading1"/>
      </w:pPr>
      <w:r>
        <w:t xml:space="preserve">3. Brella's Identified Weaknesses</w:t>
      </w:r>
    </w:p>
    <w:p>
      <w:pPr>
        <w:spacing w:after="120" w:before="80"/>
      </w:pPr>
      <w:r>
        <w:t xml:space="preserve">The following weaknesses were identified through direct platform investigation. Each represents either an unmet need or an exploitable gap for POT Matchmaker.</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60"/>
          <w:bottom w:type="dxa" w:w="100"/>
          <w:right w:type="dxa" w:w="160"/>
        </w:tblCellMar>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A1A2E" w:val="clear"/>
          </w:tcPr>
          <w:p>
            <w:r>
              <w:rPr>
                <w:b/>
                <w:bCs/>
                <w:color w:val="FFFFFF"/>
                <w:sz w:val="20"/>
                <w:szCs w:val="20"/>
              </w:rPr>
              <w:t xml:space="preserve">Area</w:t>
            </w:r>
          </w:p>
        </w:tc>
        <w:tc>
          <w:tcPr>
            <w:tcW w:type="dxa" w:w="3580"/>
            <w:tcBorders>
              <w:top w:val="single" w:color="CCCCCC" w:sz="1"/>
              <w:left w:val="single" w:color="CCCCCC" w:sz="1"/>
              <w:bottom w:val="single" w:color="CCCCCC" w:sz="1"/>
              <w:right w:val="single" w:color="CCCCCC" w:sz="1"/>
            </w:tcBorders>
            <w:shd w:fill="1A1A2E" w:val="clear"/>
          </w:tcPr>
          <w:p>
            <w:r>
              <w:rPr>
                <w:b/>
                <w:bCs/>
                <w:color w:val="FFFFFF"/>
                <w:sz w:val="20"/>
                <w:szCs w:val="20"/>
              </w:rPr>
              <w:t xml:space="preserve">Finding</w:t>
            </w:r>
          </w:p>
        </w:tc>
        <w:tc>
          <w:tcPr>
            <w:tcW w:type="dxa" w:w="3580"/>
            <w:tcBorders>
              <w:top w:val="single" w:color="CCCCCC" w:sz="1"/>
              <w:left w:val="single" w:color="CCCCCC" w:sz="1"/>
              <w:bottom w:val="single" w:color="CCCCCC" w:sz="1"/>
              <w:right w:val="single" w:color="CCCCCC" w:sz="1"/>
            </w:tcBorders>
            <w:shd w:fill="1A1A2E" w:val="clear"/>
          </w:tcPr>
          <w:p>
            <w:r>
              <w:rPr>
                <w:b/>
                <w:bCs/>
                <w:color w:val="FFFFFF"/>
                <w:sz w:val="20"/>
                <w:szCs w:val="20"/>
              </w:rPr>
              <w:t xml:space="preserve">Strategic Implication for POT</w:t>
            </w:r>
          </w:p>
        </w:tc>
      </w:tr>
      <w:tr>
        <w:tc>
          <w:tcPr>
            <w:tcW w:type="dxa" w:w="2200"/>
            <w:tcBorders>
              <w:top w:val="single" w:color="CCCCCC" w:sz="1"/>
              <w:left w:val="single" w:color="CCCCCC" w:sz="1"/>
              <w:bottom w:val="single" w:color="CCCCCC" w:sz="1"/>
              <w:right w:val="single" w:color="CCCCCC" w:sz="1"/>
            </w:tcBorders>
            <w:shd w:fill="FFFFFF" w:val="clear"/>
          </w:tcPr>
          <w:p>
            <w:pPr>
              <w:spacing w:after="80" w:before="80"/>
            </w:pPr>
            <w:r>
              <w:rPr>
                <w:b/>
                <w:bCs/>
                <w:sz w:val="20"/>
                <w:szCs w:val="20"/>
              </w:rPr>
              <w:t xml:space="preserve">Shallow Data Input</w:t>
            </w:r>
          </w:p>
        </w:tc>
        <w:tc>
          <w:tcPr>
            <w:tcW w:type="dxa" w:w="3580"/>
            <w:tcBorders>
              <w:top w:val="single" w:color="CCCCCC" w:sz="1"/>
              <w:left w:val="single" w:color="CCCCCC" w:sz="1"/>
              <w:bottom w:val="single" w:color="CCCCCC" w:sz="1"/>
              <w:right w:val="single" w:color="CCCCCC" w:sz="1"/>
            </w:tcBorders>
            <w:shd w:fill="FFFFFF" w:val="clear"/>
          </w:tcPr>
          <w:p>
            <w:pPr>
              <w:spacing w:after="80" w:before="80"/>
            </w:pPr>
            <w:r>
              <w:rPr>
                <w:sz w:val="20"/>
                <w:szCs w:val="20"/>
              </w:rPr>
              <w:t xml:space="preserve">Matching relies entirely on self-reported interest tags. No enrichment from LinkedIn, company websites, funding data, or public signals.</w:t>
            </w:r>
          </w:p>
        </w:tc>
        <w:tc>
          <w:tcPr>
            <w:tcW w:type="dxa" w:w="3580"/>
            <w:tcBorders>
              <w:top w:val="single" w:color="CCCCCC" w:sz="1"/>
              <w:left w:val="single" w:color="CCCCCC" w:sz="1"/>
              <w:bottom w:val="single" w:color="CCCCCC" w:sz="1"/>
              <w:right w:val="single" w:color="CCCCCC" w:sz="1"/>
            </w:tcBorders>
            <w:shd w:fill="FFFFFF" w:val="clear"/>
          </w:tcPr>
          <w:p>
            <w:pPr>
              <w:spacing w:after="80" w:before="80"/>
            </w:pPr>
            <w:r>
              <w:rPr>
                <w:i/>
                <w:iCs/>
                <w:sz w:val="20"/>
                <w:szCs w:val="20"/>
              </w:rPr>
              <w:t xml:space="preserve">POT's 5-source enrichment pipeline produces a fundamentally richer profile — the delta in match quality is structural, not incremental.</w:t>
            </w:r>
          </w:p>
        </w:tc>
      </w:tr>
      <w:tr>
        <w:tc>
          <w:tcPr>
            <w:tcW w:type="dxa" w:w="2200"/>
            <w:tcBorders>
              <w:top w:val="single" w:color="CCCCCC" w:sz="1"/>
              <w:left w:val="single" w:color="CCCCCC" w:sz="1"/>
              <w:bottom w:val="single" w:color="CCCCCC" w:sz="1"/>
              <w:right w:val="single" w:color="CCCCCC" w:sz="1"/>
            </w:tcBorders>
            <w:shd w:fill="F8F9FA" w:val="clear"/>
          </w:tcPr>
          <w:p>
            <w:pPr>
              <w:spacing w:after="80" w:before="80"/>
            </w:pPr>
            <w:r>
              <w:rPr>
                <w:b/>
                <w:bCs/>
                <w:sz w:val="20"/>
                <w:szCs w:val="20"/>
              </w:rPr>
              <w:t xml:space="preserve">No LLM Reasoning Layer</w:t>
            </w:r>
          </w:p>
        </w:tc>
        <w:tc>
          <w:tcPr>
            <w:tcW w:type="dxa" w:w="3580"/>
            <w:tcBorders>
              <w:top w:val="single" w:color="CCCCCC" w:sz="1"/>
              <w:left w:val="single" w:color="CCCCCC" w:sz="1"/>
              <w:bottom w:val="single" w:color="CCCCCC" w:sz="1"/>
              <w:right w:val="single" w:color="CCCCCC" w:sz="1"/>
            </w:tcBorders>
            <w:shd w:fill="F8F9FA" w:val="clear"/>
          </w:tcPr>
          <w:p>
            <w:pPr>
              <w:spacing w:after="80" w:before="80"/>
            </w:pPr>
            <w:r>
              <w:rPr>
                <w:sz w:val="20"/>
                <w:szCs w:val="20"/>
              </w:rPr>
              <w:t xml:space="preserve">No evidence of GPT-class reasoning or natural-language match explanations. Matches are surfaced, not explained.</w:t>
            </w:r>
          </w:p>
        </w:tc>
        <w:tc>
          <w:tcPr>
            <w:tcW w:type="dxa" w:w="3580"/>
            <w:tcBorders>
              <w:top w:val="single" w:color="CCCCCC" w:sz="1"/>
              <w:left w:val="single" w:color="CCCCCC" w:sz="1"/>
              <w:bottom w:val="single" w:color="CCCCCC" w:sz="1"/>
              <w:right w:val="single" w:color="CCCCCC" w:sz="1"/>
            </w:tcBorders>
            <w:shd w:fill="F8F9FA" w:val="clear"/>
          </w:tcPr>
          <w:p>
            <w:pPr>
              <w:spacing w:after="80" w:before="80"/>
            </w:pPr>
            <w:r>
              <w:rPr>
                <w:i/>
                <w:iCs/>
                <w:sz w:val="20"/>
                <w:szCs w:val="20"/>
              </w:rPr>
              <w:t xml:space="preserve">POT's GPT-4o explanation layer creates trust and meeting acceptance. Attendees act on 'why you should meet Marcus' not just 'here is Marcus'.</w:t>
            </w:r>
          </w:p>
        </w:tc>
      </w:tr>
      <w:tr>
        <w:tc>
          <w:tcPr>
            <w:tcW w:type="dxa" w:w="2200"/>
            <w:tcBorders>
              <w:top w:val="single" w:color="CCCCCC" w:sz="1"/>
              <w:left w:val="single" w:color="CCCCCC" w:sz="1"/>
              <w:bottom w:val="single" w:color="CCCCCC" w:sz="1"/>
              <w:right w:val="single" w:color="CCCCCC" w:sz="1"/>
            </w:tcBorders>
            <w:shd w:fill="FFFFFF" w:val="clear"/>
          </w:tcPr>
          <w:p>
            <w:pPr>
              <w:spacing w:after="80" w:before="80"/>
            </w:pPr>
            <w:r>
              <w:rPr>
                <w:b/>
                <w:bCs/>
                <w:sz w:val="20"/>
                <w:szCs w:val="20"/>
              </w:rPr>
              <w:t xml:space="preserve">Siloed Event Instances</w:t>
            </w:r>
          </w:p>
        </w:tc>
        <w:tc>
          <w:tcPr>
            <w:tcW w:type="dxa" w:w="3580"/>
            <w:tcBorders>
              <w:top w:val="single" w:color="CCCCCC" w:sz="1"/>
              <w:left w:val="single" w:color="CCCCCC" w:sz="1"/>
              <w:bottom w:val="single" w:color="CCCCCC" w:sz="1"/>
              <w:right w:val="single" w:color="CCCCCC" w:sz="1"/>
            </w:tcBorders>
            <w:shd w:fill="FFFFFF" w:val="clear"/>
          </w:tcPr>
          <w:p>
            <w:pPr>
              <w:spacing w:after="80" w:before="80"/>
            </w:pPr>
            <w:r>
              <w:rPr>
                <w:sz w:val="20"/>
                <w:szCs w:val="20"/>
              </w:rPr>
              <w:t xml:space="preserve">Each event is an isolated deployment. No persistent professional identity, no cross-event relationship history, no network effects.</w:t>
            </w:r>
          </w:p>
        </w:tc>
        <w:tc>
          <w:tcPr>
            <w:tcW w:type="dxa" w:w="3580"/>
            <w:tcBorders>
              <w:top w:val="single" w:color="CCCCCC" w:sz="1"/>
              <w:left w:val="single" w:color="CCCCCC" w:sz="1"/>
              <w:bottom w:val="single" w:color="CCCCCC" w:sz="1"/>
              <w:right w:val="single" w:color="CCCCCC" w:sz="1"/>
            </w:tcBorders>
            <w:shd w:fill="FFFFFF" w:val="clear"/>
          </w:tcPr>
          <w:p>
            <w:pPr>
              <w:spacing w:after="80" w:before="80"/>
            </w:pPr>
            <w:r>
              <w:rPr>
                <w:i/>
                <w:iCs/>
                <w:sz w:val="20"/>
                <w:szCs w:val="20"/>
              </w:rPr>
              <w:t xml:space="preserve">POT can build a persistent attendee graph across POT editions — cumulative intelligence competitors cannot replicate.</w:t>
            </w:r>
          </w:p>
        </w:tc>
      </w:tr>
      <w:tr>
        <w:tc>
          <w:tcPr>
            <w:tcW w:type="dxa" w:w="2200"/>
            <w:tcBorders>
              <w:top w:val="single" w:color="CCCCCC" w:sz="1"/>
              <w:left w:val="single" w:color="CCCCCC" w:sz="1"/>
              <w:bottom w:val="single" w:color="CCCCCC" w:sz="1"/>
              <w:right w:val="single" w:color="CCCCCC" w:sz="1"/>
            </w:tcBorders>
            <w:shd w:fill="F8F9FA" w:val="clear"/>
          </w:tcPr>
          <w:p>
            <w:pPr>
              <w:spacing w:after="80" w:before="80"/>
            </w:pPr>
            <w:r>
              <w:rPr>
                <w:b/>
                <w:bCs/>
                <w:sz w:val="20"/>
                <w:szCs w:val="20"/>
              </w:rPr>
              <w:t xml:space="preserve">Tag-Based Similarity</w:t>
            </w:r>
          </w:p>
        </w:tc>
        <w:tc>
          <w:tcPr>
            <w:tcW w:type="dxa" w:w="3580"/>
            <w:tcBorders>
              <w:top w:val="single" w:color="CCCCCC" w:sz="1"/>
              <w:left w:val="single" w:color="CCCCCC" w:sz="1"/>
              <w:bottom w:val="single" w:color="CCCCCC" w:sz="1"/>
              <w:right w:val="single" w:color="CCCCCC" w:sz="1"/>
            </w:tcBorders>
            <w:shd w:fill="F8F9FA" w:val="clear"/>
          </w:tcPr>
          <w:p>
            <w:pPr>
              <w:spacing w:after="80" w:before="80"/>
            </w:pPr>
            <w:r>
              <w:rPr>
                <w:sz w:val="20"/>
                <w:szCs w:val="20"/>
              </w:rPr>
              <w:t xml:space="preserve">The algorithm matches people with similar declared interests, not complementary needs. Investor + investor is not a useful match.</w:t>
            </w:r>
          </w:p>
        </w:tc>
        <w:tc>
          <w:tcPr>
            <w:tcW w:type="dxa" w:w="3580"/>
            <w:tcBorders>
              <w:top w:val="single" w:color="CCCCCC" w:sz="1"/>
              <w:left w:val="single" w:color="CCCCCC" w:sz="1"/>
              <w:bottom w:val="single" w:color="CCCCCC" w:sz="1"/>
              <w:right w:val="single" w:color="CCCCCC" w:sz="1"/>
            </w:tcBorders>
            <w:shd w:fill="F8F9FA" w:val="clear"/>
          </w:tcPr>
          <w:p>
            <w:pPr>
              <w:spacing w:after="80" w:before="80"/>
            </w:pPr>
            <w:r>
              <w:rPr>
                <w:i/>
                <w:iCs/>
                <w:sz w:val="20"/>
                <w:szCs w:val="20"/>
              </w:rPr>
              <w:t xml:space="preserve">POT's complementarity model (investor + deal-ready startup in thesis) produces actionable meetings. Brella produces discovery.</w:t>
            </w:r>
          </w:p>
        </w:tc>
      </w:tr>
      <w:tr>
        <w:tc>
          <w:tcPr>
            <w:tcW w:type="dxa" w:w="2200"/>
            <w:tcBorders>
              <w:top w:val="single" w:color="CCCCCC" w:sz="1"/>
              <w:left w:val="single" w:color="CCCCCC" w:sz="1"/>
              <w:bottom w:val="single" w:color="CCCCCC" w:sz="1"/>
              <w:right w:val="single" w:color="CCCCCC" w:sz="1"/>
            </w:tcBorders>
            <w:shd w:fill="FFFFFF" w:val="clear"/>
          </w:tcPr>
          <w:p>
            <w:pPr>
              <w:spacing w:after="80" w:before="80"/>
            </w:pPr>
            <w:r>
              <w:rPr>
                <w:b/>
                <w:bCs/>
                <w:sz w:val="20"/>
                <w:szCs w:val="20"/>
              </w:rPr>
              <w:t xml:space="preserve">No Deal-Readiness Signal</w:t>
            </w:r>
          </w:p>
        </w:tc>
        <w:tc>
          <w:tcPr>
            <w:tcW w:type="dxa" w:w="3580"/>
            <w:tcBorders>
              <w:top w:val="single" w:color="CCCCCC" w:sz="1"/>
              <w:left w:val="single" w:color="CCCCCC" w:sz="1"/>
              <w:bottom w:val="single" w:color="CCCCCC" w:sz="1"/>
              <w:right w:val="single" w:color="CCCCCC" w:sz="1"/>
            </w:tcBorders>
            <w:shd w:fill="FFFFFF" w:val="clear"/>
          </w:tcPr>
          <w:p>
            <w:pPr>
              <w:spacing w:after="80" w:before="80"/>
            </w:pPr>
            <w:r>
              <w:rPr>
                <w:sz w:val="20"/>
                <w:szCs w:val="20"/>
              </w:rPr>
              <w:t xml:space="preserve">No mechanism to surface whether a matched party is actually in a position to transact at this event.</w:t>
            </w:r>
          </w:p>
        </w:tc>
        <w:tc>
          <w:tcPr>
            <w:tcW w:type="dxa" w:w="3580"/>
            <w:tcBorders>
              <w:top w:val="single" w:color="CCCCCC" w:sz="1"/>
              <w:left w:val="single" w:color="CCCCCC" w:sz="1"/>
              <w:bottom w:val="single" w:color="CCCCCC" w:sz="1"/>
              <w:right w:val="single" w:color="CCCCCC" w:sz="1"/>
            </w:tcBorders>
            <w:shd w:fill="FFFFFF" w:val="clear"/>
          </w:tcPr>
          <w:p>
            <w:pPr>
              <w:spacing w:after="80" w:before="80"/>
            </w:pPr>
            <w:r>
              <w:rPr>
                <w:i/>
                <w:iCs/>
                <w:sz w:val="20"/>
                <w:szCs w:val="20"/>
              </w:rPr>
              <w:t xml:space="preserve">POT scores match pairs on deal-readiness — a critical signal for sovereign wealth funds and VCs attending to deploy capital.</w:t>
            </w:r>
          </w:p>
        </w:tc>
      </w:tr>
      <w:tr>
        <w:tc>
          <w:tcPr>
            <w:tcW w:type="dxa" w:w="2200"/>
            <w:tcBorders>
              <w:top w:val="single" w:color="CCCCCC" w:sz="1"/>
              <w:left w:val="single" w:color="CCCCCC" w:sz="1"/>
              <w:bottom w:val="single" w:color="CCCCCC" w:sz="1"/>
              <w:right w:val="single" w:color="CCCCCC" w:sz="1"/>
            </w:tcBorders>
            <w:shd w:fill="F8F9FA" w:val="clear"/>
          </w:tcPr>
          <w:p>
            <w:pPr>
              <w:spacing w:after="80" w:before="80"/>
            </w:pPr>
            <w:r>
              <w:rPr>
                <w:b/>
                <w:bCs/>
                <w:sz w:val="20"/>
                <w:szCs w:val="20"/>
              </w:rPr>
              <w:t xml:space="preserve">Opaque Pricing</w:t>
            </w:r>
          </w:p>
        </w:tc>
        <w:tc>
          <w:tcPr>
            <w:tcW w:type="dxa" w:w="3580"/>
            <w:tcBorders>
              <w:top w:val="single" w:color="CCCCCC" w:sz="1"/>
              <w:left w:val="single" w:color="CCCCCC" w:sz="1"/>
              <w:bottom w:val="single" w:color="CCCCCC" w:sz="1"/>
              <w:right w:val="single" w:color="CCCCCC" w:sz="1"/>
            </w:tcBorders>
            <w:shd w:fill="F8F9FA" w:val="clear"/>
          </w:tcPr>
          <w:p>
            <w:pPr>
              <w:spacing w:after="80" w:before="80"/>
            </w:pPr>
            <w:r>
              <w:rPr>
                <w:sz w:val="20"/>
                <w:szCs w:val="20"/>
              </w:rPr>
              <w:t xml:space="preserve">The /pricing URL redirects to a features page with zero pricing information. Pure sales-led model.</w:t>
            </w:r>
          </w:p>
        </w:tc>
        <w:tc>
          <w:tcPr>
            <w:tcW w:type="dxa" w:w="3580"/>
            <w:tcBorders>
              <w:top w:val="single" w:color="CCCCCC" w:sz="1"/>
              <w:left w:val="single" w:color="CCCCCC" w:sz="1"/>
              <w:bottom w:val="single" w:color="CCCCCC" w:sz="1"/>
              <w:right w:val="single" w:color="CCCCCC" w:sz="1"/>
            </w:tcBorders>
            <w:shd w:fill="F8F9FA" w:val="clear"/>
          </w:tcPr>
          <w:p>
            <w:pPr>
              <w:spacing w:after="80" w:before="80"/>
            </w:pPr>
            <w:r>
              <w:rPr>
                <w:i/>
                <w:iCs/>
                <w:sz w:val="20"/>
                <w:szCs w:val="20"/>
              </w:rPr>
              <w:t xml:space="preserve">Transparent ROI positioning — publish per-event or per-attendee metrics — signals confidence in measurable outcomes.</w:t>
            </w:r>
          </w:p>
        </w:tc>
      </w:tr>
      <w:tr>
        <w:tc>
          <w:tcPr>
            <w:tcW w:type="dxa" w:w="2200"/>
            <w:tcBorders>
              <w:top w:val="single" w:color="CCCCCC" w:sz="1"/>
              <w:left w:val="single" w:color="CCCCCC" w:sz="1"/>
              <w:bottom w:val="single" w:color="CCCCCC" w:sz="1"/>
              <w:right w:val="single" w:color="CCCCCC" w:sz="1"/>
            </w:tcBorders>
            <w:shd w:fill="FFFFFF" w:val="clear"/>
          </w:tcPr>
          <w:p>
            <w:pPr>
              <w:spacing w:after="80" w:before="80"/>
            </w:pPr>
            <w:r>
              <w:rPr>
                <w:b/>
                <w:bCs/>
                <w:sz w:val="20"/>
                <w:szCs w:val="20"/>
              </w:rPr>
              <w:t xml:space="preserve">No Self-Service Entry Point</w:t>
            </w:r>
          </w:p>
        </w:tc>
        <w:tc>
          <w:tcPr>
            <w:tcW w:type="dxa" w:w="3580"/>
            <w:tcBorders>
              <w:top w:val="single" w:color="CCCCCC" w:sz="1"/>
              <w:left w:val="single" w:color="CCCCCC" w:sz="1"/>
              <w:bottom w:val="single" w:color="CCCCCC" w:sz="1"/>
              <w:right w:val="single" w:color="CCCCCC" w:sz="1"/>
            </w:tcBorders>
            <w:shd w:fill="FFFFFF" w:val="clear"/>
          </w:tcPr>
          <w:p>
            <w:pPr>
              <w:spacing w:after="80" w:before="80"/>
            </w:pPr>
            <w:r>
              <w:rPr>
                <w:sz w:val="20"/>
                <w:szCs w:val="20"/>
              </w:rPr>
              <w:t xml:space="preserve">Every CTA is 'Contact sales.' No free trial, sandbox, or interactive demo exists.</w:t>
            </w:r>
          </w:p>
        </w:tc>
        <w:tc>
          <w:tcPr>
            <w:tcW w:type="dxa" w:w="3580"/>
            <w:tcBorders>
              <w:top w:val="single" w:color="CCCCCC" w:sz="1"/>
              <w:left w:val="single" w:color="CCCCCC" w:sz="1"/>
              <w:bottom w:val="single" w:color="CCCCCC" w:sz="1"/>
              <w:right w:val="single" w:color="CCCCCC" w:sz="1"/>
            </w:tcBorders>
            <w:shd w:fill="FFFFFF" w:val="clear"/>
          </w:tcPr>
          <w:p>
            <w:pPr>
              <w:spacing w:after="80" w:before="80"/>
            </w:pPr>
            <w:r>
              <w:rPr>
                <w:i/>
                <w:iCs/>
                <w:sz w:val="20"/>
                <w:szCs w:val="20"/>
              </w:rPr>
              <w:t xml:space="preserve">Mid-market and challenger events cannot evaluate Brella without a sales call. POT can offer a demo mode.</w:t>
            </w:r>
          </w:p>
        </w:tc>
      </w:tr>
      <w:tr>
        <w:tc>
          <w:tcPr>
            <w:tcW w:type="dxa" w:w="2200"/>
            <w:tcBorders>
              <w:top w:val="single" w:color="CCCCCC" w:sz="1"/>
              <w:left w:val="single" w:color="CCCCCC" w:sz="1"/>
              <w:bottom w:val="single" w:color="CCCCCC" w:sz="1"/>
              <w:right w:val="single" w:color="CCCCCC" w:sz="1"/>
            </w:tcBorders>
            <w:shd w:fill="F8F9FA" w:val="clear"/>
          </w:tcPr>
          <w:p>
            <w:pPr>
              <w:spacing w:after="80" w:before="80"/>
            </w:pPr>
            <w:r>
              <w:rPr>
                <w:b/>
                <w:bCs/>
                <w:sz w:val="20"/>
                <w:szCs w:val="20"/>
              </w:rPr>
              <w:t xml:space="preserve">Thin Social Proof</w:t>
            </w:r>
          </w:p>
        </w:tc>
        <w:tc>
          <w:tcPr>
            <w:tcW w:type="dxa" w:w="3580"/>
            <w:tcBorders>
              <w:top w:val="single" w:color="CCCCCC" w:sz="1"/>
              <w:left w:val="single" w:color="CCCCCC" w:sz="1"/>
              <w:bottom w:val="single" w:color="CCCCCC" w:sz="1"/>
              <w:right w:val="single" w:color="CCCCCC" w:sz="1"/>
            </w:tcBorders>
            <w:shd w:fill="F8F9FA" w:val="clear"/>
          </w:tcPr>
          <w:p>
            <w:pPr>
              <w:spacing w:after="80" w:before="80"/>
            </w:pPr>
            <w:r>
              <w:rPr>
                <w:sz w:val="20"/>
                <w:szCs w:val="20"/>
              </w:rPr>
              <w:t xml:space="preserve">Homepage testimonials are surface-level with no hard metrics. The key stat ('3 meetings = 50 cold emails') is buried on the sponsors page.</w:t>
            </w:r>
          </w:p>
        </w:tc>
        <w:tc>
          <w:tcPr>
            <w:tcW w:type="dxa" w:w="3580"/>
            <w:tcBorders>
              <w:top w:val="single" w:color="CCCCCC" w:sz="1"/>
              <w:left w:val="single" w:color="CCCCCC" w:sz="1"/>
              <w:bottom w:val="single" w:color="CCCCCC" w:sz="1"/>
              <w:right w:val="single" w:color="CCCCCC" w:sz="1"/>
            </w:tcBorders>
            <w:shd w:fill="F8F9FA" w:val="clear"/>
          </w:tcPr>
          <w:p>
            <w:pPr>
              <w:spacing w:after="80" w:before="80"/>
            </w:pPr>
            <w:r>
              <w:rPr>
                <w:i/>
                <w:iCs/>
                <w:sz w:val="20"/>
                <w:szCs w:val="20"/>
              </w:rPr>
              <w:t xml:space="preserve">POT should lead with outcome metrics from demo data — meeting acceptance rates, deal velocity, attendee satisfaction scores.</w:t>
            </w:r>
          </w:p>
        </w:tc>
      </w:tr>
      <w:tr>
        <w:tc>
          <w:tcPr>
            <w:tcW w:type="dxa" w:w="2200"/>
            <w:tcBorders>
              <w:top w:val="single" w:color="CCCCCC" w:sz="1"/>
              <w:left w:val="single" w:color="CCCCCC" w:sz="1"/>
              <w:bottom w:val="single" w:color="CCCCCC" w:sz="1"/>
              <w:right w:val="single" w:color="CCCCCC" w:sz="1"/>
            </w:tcBorders>
            <w:shd w:fill="FFFFFF" w:val="clear"/>
          </w:tcPr>
          <w:p>
            <w:pPr>
              <w:spacing w:after="80" w:before="80"/>
            </w:pPr>
            <w:r>
              <w:rPr>
                <w:b/>
                <w:bCs/>
                <w:sz w:val="20"/>
                <w:szCs w:val="20"/>
              </w:rPr>
              <w:t xml:space="preserve">Technical Execution Gaps</w:t>
            </w:r>
          </w:p>
        </w:tc>
        <w:tc>
          <w:tcPr>
            <w:tcW w:type="dxa" w:w="3580"/>
            <w:tcBorders>
              <w:top w:val="single" w:color="CCCCCC" w:sz="1"/>
              <w:left w:val="single" w:color="CCCCCC" w:sz="1"/>
              <w:bottom w:val="single" w:color="CCCCCC" w:sz="1"/>
              <w:right w:val="single" w:color="CCCCCC" w:sz="1"/>
            </w:tcBorders>
            <w:shd w:fill="FFFFFF" w:val="clear"/>
          </w:tcPr>
          <w:p>
            <w:pPr>
              <w:spacing w:after="80" w:before="80"/>
            </w:pPr>
            <w:r>
              <w:rPr>
                <w:sz w:val="20"/>
                <w:szCs w:val="20"/>
              </w:rPr>
              <w:t xml:space="preserve">/networking URL (core value prop page) returns 404. Homepage has blank black viewport sections on load. Paid search traffic lands on broken pages.</w:t>
            </w:r>
          </w:p>
        </w:tc>
        <w:tc>
          <w:tcPr>
            <w:tcW w:type="dxa" w:w="3580"/>
            <w:tcBorders>
              <w:top w:val="single" w:color="CCCCCC" w:sz="1"/>
              <w:left w:val="single" w:color="CCCCCC" w:sz="1"/>
              <w:bottom w:val="single" w:color="CCCCCC" w:sz="1"/>
              <w:right w:val="single" w:color="CCCCCC" w:sz="1"/>
            </w:tcBorders>
            <w:shd w:fill="FFFFFF" w:val="clear"/>
          </w:tcPr>
          <w:p>
            <w:pPr>
              <w:spacing w:after="80" w:before="80"/>
            </w:pPr>
            <w:r>
              <w:rPr>
                <w:i/>
                <w:iCs/>
                <w:sz w:val="20"/>
                <w:szCs w:val="20"/>
              </w:rPr>
              <w:t xml:space="preserve">POT's polished, performant frontend signals quality to premium event organisers who will reject a platform with execution failures.</w:t>
            </w:r>
          </w:p>
        </w:tc>
      </w:tr>
      <w:tr>
        <w:tc>
          <w:tcPr>
            <w:tcW w:type="dxa" w:w="2200"/>
            <w:tcBorders>
              <w:top w:val="single" w:color="CCCCCC" w:sz="1"/>
              <w:left w:val="single" w:color="CCCCCC" w:sz="1"/>
              <w:bottom w:val="single" w:color="CCCCCC" w:sz="1"/>
              <w:right w:val="single" w:color="CCCCCC" w:sz="1"/>
            </w:tcBorders>
            <w:shd w:fill="F8F9FA" w:val="clear"/>
          </w:tcPr>
          <w:p>
            <w:pPr>
              <w:spacing w:after="80" w:before="80"/>
            </w:pPr>
            <w:r>
              <w:rPr>
                <w:b/>
                <w:bCs/>
                <w:sz w:val="20"/>
                <w:szCs w:val="20"/>
              </w:rPr>
              <w:t xml:space="preserve">Generic Positioning</w:t>
            </w:r>
          </w:p>
        </w:tc>
        <w:tc>
          <w:tcPr>
            <w:tcW w:type="dxa" w:w="3580"/>
            <w:tcBorders>
              <w:top w:val="single" w:color="CCCCCC" w:sz="1"/>
              <w:left w:val="single" w:color="CCCCCC" w:sz="1"/>
              <w:bottom w:val="single" w:color="CCCCCC" w:sz="1"/>
              <w:right w:val="single" w:color="CCCCCC" w:sz="1"/>
            </w:tcBorders>
            <w:shd w:fill="F8F9FA" w:val="clear"/>
          </w:tcPr>
          <w:p>
            <w:pPr>
              <w:spacing w:after="80" w:before="80"/>
            </w:pPr>
            <w:r>
              <w:rPr>
                <w:sz w:val="20"/>
                <w:szCs w:val="20"/>
              </w:rPr>
              <w:t xml:space="preserve">Serves conferences, tradeshows, association events, academic events, and corporate events — every segment simultaneously.</w:t>
            </w:r>
          </w:p>
        </w:tc>
        <w:tc>
          <w:tcPr>
            <w:tcW w:type="dxa" w:w="3580"/>
            <w:tcBorders>
              <w:top w:val="single" w:color="CCCCCC" w:sz="1"/>
              <w:left w:val="single" w:color="CCCCCC" w:sz="1"/>
              <w:bottom w:val="single" w:color="CCCCCC" w:sz="1"/>
              <w:right w:val="single" w:color="CCCCCC" w:sz="1"/>
            </w:tcBorders>
            <w:shd w:fill="F8F9FA" w:val="clear"/>
          </w:tcPr>
          <w:p>
            <w:pPr>
              <w:spacing w:after="80" w:before="80"/>
            </w:pPr>
            <w:r>
              <w:rPr>
                <w:i/>
                <w:iCs/>
                <w:sz w:val="20"/>
                <w:szCs w:val="20"/>
              </w:rPr>
              <w:t xml:space="preserve">Brella cannot credibly claim deep expertise in Web3 deal-making, sovereign fund dynamics, or MiCA compliance networking. POT owns this vertical.</w:t>
            </w:r>
          </w:p>
        </w:tc>
      </w:tr>
    </w:tbl>
    <w:p>
      <w:r>
        <w:t xml:space="preserve"/>
      </w:r>
    </w:p>
    <w:p>
      <w:r>
        <w:br w:type="page"/>
      </w:r>
    </w:p>
    <w:p>
      <w:pPr>
        <w:pStyle w:val="Heading1"/>
      </w:pPr>
      <w:r>
        <w:t xml:space="preserve">4. Feature Comparison: Brella vs POT Matchmaker</w:t>
      </w:r>
    </w:p>
    <w:p>
      <w:pPr>
        <w:spacing w:after="120" w:before="80"/>
      </w:pPr>
      <w:r>
        <w:t xml:space="preserve">The following matrix compares both platforms across 15 dimensions critical to a high-stakes deal-oriented event like Proof of Talk 2026.</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60"/>
          <w:bottom w:type="dxa" w:w="100"/>
          <w:right w:type="dxa" w:w="160"/>
        </w:tblCellMar>
      </w:tblPr>
      <w:tblGrid>
        <w:gridCol w:w="2500"/>
        <w:gridCol w:w="3000"/>
        <w:gridCol w:w="3000"/>
        <w:gridCol w:w="860"/>
      </w:tblGrid>
      <w:tr>
        <w:trPr>
          <w:tblHeader/>
        </w:trPr>
        <w:tc>
          <w:tcPr>
            <w:tcW w:type="dxa" w:w="2500"/>
            <w:tcBorders>
              <w:top w:val="single" w:color="CCCCCC" w:sz="1"/>
              <w:left w:val="single" w:color="CCCCCC" w:sz="1"/>
              <w:bottom w:val="single" w:color="CCCCCC" w:sz="1"/>
              <w:right w:val="single" w:color="CCCCCC" w:sz="1"/>
            </w:tcBorders>
            <w:shd w:fill="1A1A2E" w:val="clear"/>
          </w:tcPr>
          <w:p>
            <w:r>
              <w:rPr>
                <w:b/>
                <w:bCs/>
                <w:color w:val="FFFFFF"/>
                <w:sz w:val="20"/>
                <w:szCs w:val="20"/>
              </w:rPr>
              <w:t xml:space="preserve">Dimension</w:t>
            </w:r>
          </w:p>
        </w:tc>
        <w:tc>
          <w:tcPr>
            <w:tcW w:type="dxa" w:w="3000"/>
            <w:tcBorders>
              <w:top w:val="single" w:color="CCCCCC" w:sz="1"/>
              <w:left w:val="single" w:color="CCCCCC" w:sz="1"/>
              <w:bottom w:val="single" w:color="CCCCCC" w:sz="1"/>
              <w:right w:val="single" w:color="CCCCCC" w:sz="1"/>
            </w:tcBorders>
            <w:shd w:fill="1A1A2E" w:val="clear"/>
          </w:tcPr>
          <w:p>
            <w:r>
              <w:rPr>
                <w:b/>
                <w:bCs/>
                <w:color w:val="FFFFFF"/>
                <w:sz w:val="20"/>
                <w:szCs w:val="20"/>
              </w:rPr>
              <w:t xml:space="preserve">Brella</w:t>
            </w:r>
          </w:p>
        </w:tc>
        <w:tc>
          <w:tcPr>
            <w:tcW w:type="dxa" w:w="3000"/>
            <w:tcBorders>
              <w:top w:val="single" w:color="CCCCCC" w:sz="1"/>
              <w:left w:val="single" w:color="CCCCCC" w:sz="1"/>
              <w:bottom w:val="single" w:color="CCCCCC" w:sz="1"/>
              <w:right w:val="single" w:color="CCCCCC" w:sz="1"/>
            </w:tcBorders>
            <w:shd w:fill="1A1A2E" w:val="clear"/>
          </w:tcPr>
          <w:p>
            <w:r>
              <w:rPr>
                <w:b/>
                <w:bCs/>
                <w:color w:val="FFFFFF"/>
                <w:sz w:val="20"/>
                <w:szCs w:val="20"/>
              </w:rPr>
              <w:t xml:space="preserve">POT Matchmaker</w:t>
            </w:r>
          </w:p>
        </w:tc>
        <w:tc>
          <w:tcPr>
            <w:tcW w:type="dxa" w:w="860"/>
            <w:tcBorders>
              <w:top w:val="single" w:color="CCCCCC" w:sz="1"/>
              <w:left w:val="single" w:color="CCCCCC" w:sz="1"/>
              <w:bottom w:val="single" w:color="CCCCCC" w:sz="1"/>
              <w:right w:val="single" w:color="CCCCCC" w:sz="1"/>
            </w:tcBorders>
            <w:shd w:fill="1A1A2E" w:val="clear"/>
          </w:tcPr>
          <w:p>
            <w:pPr>
              <w:jc w:val="center"/>
            </w:pPr>
            <w:r>
              <w:rPr>
                <w:b/>
                <w:bCs/>
                <w:color w:val="FFFFFF"/>
                <w:sz w:val="20"/>
                <w:szCs w:val="20"/>
              </w:rPr>
              <w:t xml:space="preserve">Edge</w:t>
            </w:r>
          </w:p>
        </w:tc>
      </w:tr>
      <w:tr>
        <w:tc>
          <w:tcPr>
            <w:tcW w:type="dxa" w:w="2500"/>
            <w:tcBorders>
              <w:top w:val="single" w:color="CCCCCC" w:sz="1"/>
              <w:left w:val="single" w:color="CCCCCC" w:sz="1"/>
              <w:bottom w:val="single" w:color="CCCCCC" w:sz="1"/>
              <w:right w:val="single" w:color="CCCCCC" w:sz="1"/>
            </w:tcBorders>
            <w:shd w:fill="FFFFFF" w:val="clear"/>
          </w:tcPr>
          <w:p>
            <w:pPr>
              <w:spacing w:after="80" w:before="80"/>
            </w:pPr>
            <w:r>
              <w:rPr>
                <w:b/>
                <w:bCs/>
                <w:sz w:val="20"/>
                <w:szCs w:val="20"/>
              </w:rPr>
              <w:t xml:space="preserve">Matching Method</w:t>
            </w:r>
          </w:p>
        </w:tc>
        <w:tc>
          <w:tcPr>
            <w:tcW w:type="dxa" w:w="3000"/>
            <w:tcBorders>
              <w:top w:val="single" w:color="CCCCCC" w:sz="1"/>
              <w:left w:val="single" w:color="CCCCCC" w:sz="1"/>
              <w:bottom w:val="single" w:color="CCCCCC" w:sz="1"/>
              <w:right w:val="single" w:color="CCCCCC" w:sz="1"/>
            </w:tcBorders>
            <w:shd w:fill="FFFFFF" w:val="clear"/>
          </w:tcPr>
          <w:p>
            <w:pPr>
              <w:spacing w:after="80" w:before="80"/>
            </w:pPr>
            <w:r>
              <w:rPr>
                <w:sz w:val="20"/>
                <w:szCs w:val="20"/>
              </w:rPr>
              <w:t xml:space="preserve">Intent-tag similarity (self-declared categories)</w:t>
            </w:r>
          </w:p>
        </w:tc>
        <w:tc>
          <w:tcPr>
            <w:tcW w:type="dxa" w:w="3000"/>
            <w:tcBorders>
              <w:top w:val="single" w:color="CCCCCC" w:sz="1"/>
              <w:left w:val="single" w:color="CCCCCC" w:sz="1"/>
              <w:bottom w:val="single" w:color="CCCCCC" w:sz="1"/>
              <w:right w:val="single" w:color="CCCCCC" w:sz="1"/>
            </w:tcBorders>
            <w:shd w:fill="FFFFFF" w:val="clear"/>
          </w:tcPr>
          <w:p>
            <w:pPr>
              <w:spacing w:after="80" w:before="80"/>
            </w:pPr>
            <w:r>
              <w:rPr>
                <w:sz w:val="20"/>
                <w:szCs w:val="20"/>
              </w:rPr>
              <w:t xml:space="preserve">Semantic embeddings (pgvector) + GPT-4o complementarity scoring</w:t>
            </w:r>
          </w:p>
        </w:tc>
        <w:tc>
          <w:tcPr>
            <w:tcW w:type="dxa" w:w="860"/>
            <w:tcBorders>
              <w:top w:val="single" w:color="CCCCCC" w:sz="1"/>
              <w:left w:val="single" w:color="CCCCCC" w:sz="1"/>
              <w:bottom w:val="single" w:color="CCCCCC" w:sz="1"/>
              <w:right w:val="single" w:color="CCCCCC" w:sz="1"/>
            </w:tcBorders>
            <w:shd w:fill="D4EDDA" w:val="clear"/>
          </w:tcPr>
          <w:p>
            <w:pPr>
              <w:spacing w:after="80" w:before="80"/>
              <w:jc w:val="center"/>
            </w:pPr>
            <w:r>
              <w:rPr>
                <w:b/>
                <w:bCs/>
                <w:sz w:val="18"/>
                <w:szCs w:val="18"/>
              </w:rPr>
              <w:t xml:space="preserve">POT</w:t>
            </w:r>
          </w:p>
        </w:tc>
      </w:tr>
      <w:tr>
        <w:tc>
          <w:tcPr>
            <w:tcW w:type="dxa" w:w="2500"/>
            <w:tcBorders>
              <w:top w:val="single" w:color="CCCCCC" w:sz="1"/>
              <w:left w:val="single" w:color="CCCCCC" w:sz="1"/>
              <w:bottom w:val="single" w:color="CCCCCC" w:sz="1"/>
              <w:right w:val="single" w:color="CCCCCC" w:sz="1"/>
            </w:tcBorders>
            <w:shd w:fill="FFFFFF" w:val="clear"/>
          </w:tcPr>
          <w:p>
            <w:pPr>
              <w:spacing w:after="80" w:before="80"/>
            </w:pPr>
            <w:r>
              <w:rPr>
                <w:b/>
                <w:bCs/>
                <w:sz w:val="20"/>
                <w:szCs w:val="20"/>
              </w:rPr>
              <w:t xml:space="preserve">Profile Data Depth</w:t>
            </w:r>
          </w:p>
        </w:tc>
        <w:tc>
          <w:tcPr>
            <w:tcW w:type="dxa" w:w="3000"/>
            <w:tcBorders>
              <w:top w:val="single" w:color="CCCCCC" w:sz="1"/>
              <w:left w:val="single" w:color="CCCCCC" w:sz="1"/>
              <w:bottom w:val="single" w:color="CCCCCC" w:sz="1"/>
              <w:right w:val="single" w:color="CCCCCC" w:sz="1"/>
            </w:tcBorders>
            <w:shd w:fill="FFFFFF" w:val="clear"/>
          </w:tcPr>
          <w:p>
            <w:pPr>
              <w:spacing w:after="80" w:before="80"/>
            </w:pPr>
            <w:r>
              <w:rPr>
                <w:sz w:val="20"/>
                <w:szCs w:val="20"/>
              </w:rPr>
              <w:t xml:space="preserve">Self-reported registration form only</w:t>
            </w:r>
          </w:p>
        </w:tc>
        <w:tc>
          <w:tcPr>
            <w:tcW w:type="dxa" w:w="3000"/>
            <w:tcBorders>
              <w:top w:val="single" w:color="CCCCCC" w:sz="1"/>
              <w:left w:val="single" w:color="CCCCCC" w:sz="1"/>
              <w:bottom w:val="single" w:color="CCCCCC" w:sz="1"/>
              <w:right w:val="single" w:color="CCCCCC" w:sz="1"/>
            </w:tcBorders>
            <w:shd w:fill="FFFFFF" w:val="clear"/>
          </w:tcPr>
          <w:p>
            <w:pPr>
              <w:spacing w:after="80" w:before="80"/>
            </w:pPr>
            <w:r>
              <w:rPr>
                <w:sz w:val="20"/>
                <w:szCs w:val="20"/>
              </w:rPr>
              <w:t xml:space="preserve">Registration + LinkedIn + Twitter + company website + Crunchbase</w:t>
            </w:r>
          </w:p>
        </w:tc>
        <w:tc>
          <w:tcPr>
            <w:tcW w:type="dxa" w:w="860"/>
            <w:tcBorders>
              <w:top w:val="single" w:color="CCCCCC" w:sz="1"/>
              <w:left w:val="single" w:color="CCCCCC" w:sz="1"/>
              <w:bottom w:val="single" w:color="CCCCCC" w:sz="1"/>
              <w:right w:val="single" w:color="CCCCCC" w:sz="1"/>
            </w:tcBorders>
            <w:shd w:fill="D4EDDA" w:val="clear"/>
          </w:tcPr>
          <w:p>
            <w:pPr>
              <w:spacing w:after="80" w:before="80"/>
              <w:jc w:val="center"/>
            </w:pPr>
            <w:r>
              <w:rPr>
                <w:b/>
                <w:bCs/>
                <w:sz w:val="18"/>
                <w:szCs w:val="18"/>
              </w:rPr>
              <w:t xml:space="preserve">POT</w:t>
            </w:r>
          </w:p>
        </w:tc>
      </w:tr>
      <w:tr>
        <w:tc>
          <w:tcPr>
            <w:tcW w:type="dxa" w:w="2500"/>
            <w:tcBorders>
              <w:top w:val="single" w:color="CCCCCC" w:sz="1"/>
              <w:left w:val="single" w:color="CCCCCC" w:sz="1"/>
              <w:bottom w:val="single" w:color="CCCCCC" w:sz="1"/>
              <w:right w:val="single" w:color="CCCCCC" w:sz="1"/>
            </w:tcBorders>
            <w:shd w:fill="FFFFFF" w:val="clear"/>
          </w:tcPr>
          <w:p>
            <w:pPr>
              <w:spacing w:after="80" w:before="80"/>
            </w:pPr>
            <w:r>
              <w:rPr>
                <w:b/>
                <w:bCs/>
                <w:sz w:val="20"/>
                <w:szCs w:val="20"/>
              </w:rPr>
              <w:t xml:space="preserve">Match Explanation</w:t>
            </w:r>
          </w:p>
        </w:tc>
        <w:tc>
          <w:tcPr>
            <w:tcW w:type="dxa" w:w="3000"/>
            <w:tcBorders>
              <w:top w:val="single" w:color="CCCCCC" w:sz="1"/>
              <w:left w:val="single" w:color="CCCCCC" w:sz="1"/>
              <w:bottom w:val="single" w:color="CCCCCC" w:sz="1"/>
              <w:right w:val="single" w:color="CCCCCC" w:sz="1"/>
            </w:tcBorders>
            <w:shd w:fill="FFFFFF" w:val="clear"/>
          </w:tcPr>
          <w:p>
            <w:pPr>
              <w:spacing w:after="80" w:before="80"/>
            </w:pPr>
            <w:r>
              <w:rPr>
                <w:sz w:val="20"/>
                <w:szCs w:val="20"/>
              </w:rPr>
              <w:t xml:space="preserve">None — match surfaced without reasoning</w:t>
            </w:r>
          </w:p>
        </w:tc>
        <w:tc>
          <w:tcPr>
            <w:tcW w:type="dxa" w:w="3000"/>
            <w:tcBorders>
              <w:top w:val="single" w:color="CCCCCC" w:sz="1"/>
              <w:left w:val="single" w:color="CCCCCC" w:sz="1"/>
              <w:bottom w:val="single" w:color="CCCCCC" w:sz="1"/>
              <w:right w:val="single" w:color="CCCCCC" w:sz="1"/>
            </w:tcBorders>
            <w:shd w:fill="FFFFFF" w:val="clear"/>
          </w:tcPr>
          <w:p>
            <w:pPr>
              <w:spacing w:after="80" w:before="80"/>
            </w:pPr>
            <w:r>
              <w:rPr>
                <w:sz w:val="20"/>
                <w:szCs w:val="20"/>
              </w:rPr>
              <w:t xml:space="preserve">GPT-4o natural language explanation per match pair</w:t>
            </w:r>
          </w:p>
        </w:tc>
        <w:tc>
          <w:tcPr>
            <w:tcW w:type="dxa" w:w="860"/>
            <w:tcBorders>
              <w:top w:val="single" w:color="CCCCCC" w:sz="1"/>
              <w:left w:val="single" w:color="CCCCCC" w:sz="1"/>
              <w:bottom w:val="single" w:color="CCCCCC" w:sz="1"/>
              <w:right w:val="single" w:color="CCCCCC" w:sz="1"/>
            </w:tcBorders>
            <w:shd w:fill="D4EDDA" w:val="clear"/>
          </w:tcPr>
          <w:p>
            <w:pPr>
              <w:spacing w:after="80" w:before="80"/>
              <w:jc w:val="center"/>
            </w:pPr>
            <w:r>
              <w:rPr>
                <w:b/>
                <w:bCs/>
                <w:sz w:val="18"/>
                <w:szCs w:val="18"/>
              </w:rPr>
              <w:t xml:space="preserve">POT</w:t>
            </w:r>
          </w:p>
        </w:tc>
      </w:tr>
      <w:tr>
        <w:tc>
          <w:tcPr>
            <w:tcW w:type="dxa" w:w="2500"/>
            <w:tcBorders>
              <w:top w:val="single" w:color="CCCCCC" w:sz="1"/>
              <w:left w:val="single" w:color="CCCCCC" w:sz="1"/>
              <w:bottom w:val="single" w:color="CCCCCC" w:sz="1"/>
              <w:right w:val="single" w:color="CCCCCC" w:sz="1"/>
            </w:tcBorders>
            <w:shd w:fill="FFFFFF" w:val="clear"/>
          </w:tcPr>
          <w:p>
            <w:pPr>
              <w:spacing w:after="80" w:before="80"/>
            </w:pPr>
            <w:r>
              <w:rPr>
                <w:b/>
                <w:bCs/>
                <w:sz w:val="20"/>
                <w:szCs w:val="20"/>
              </w:rPr>
              <w:t xml:space="preserve">Match Type Logic</w:t>
            </w:r>
          </w:p>
        </w:tc>
        <w:tc>
          <w:tcPr>
            <w:tcW w:type="dxa" w:w="3000"/>
            <w:tcBorders>
              <w:top w:val="single" w:color="CCCCCC" w:sz="1"/>
              <w:left w:val="single" w:color="CCCCCC" w:sz="1"/>
              <w:bottom w:val="single" w:color="CCCCCC" w:sz="1"/>
              <w:right w:val="single" w:color="CCCCCC" w:sz="1"/>
            </w:tcBorders>
            <w:shd w:fill="FFFFFF" w:val="clear"/>
          </w:tcPr>
          <w:p>
            <w:pPr>
              <w:spacing w:after="80" w:before="80"/>
            </w:pPr>
            <w:r>
              <w:rPr>
                <w:sz w:val="20"/>
                <w:szCs w:val="20"/>
              </w:rPr>
              <w:t xml:space="preserve">Similarity-based (shared interests)</w:t>
            </w:r>
          </w:p>
        </w:tc>
        <w:tc>
          <w:tcPr>
            <w:tcW w:type="dxa" w:w="3000"/>
            <w:tcBorders>
              <w:top w:val="single" w:color="CCCCCC" w:sz="1"/>
              <w:left w:val="single" w:color="CCCCCC" w:sz="1"/>
              <w:bottom w:val="single" w:color="CCCCCC" w:sz="1"/>
              <w:right w:val="single" w:color="CCCCCC" w:sz="1"/>
            </w:tcBorders>
            <w:shd w:fill="FFFFFF" w:val="clear"/>
          </w:tcPr>
          <w:p>
            <w:pPr>
              <w:spacing w:after="80" w:before="80"/>
            </w:pPr>
            <w:r>
              <w:rPr>
                <w:sz w:val="20"/>
                <w:szCs w:val="20"/>
              </w:rPr>
              <w:t xml:space="preserve">Complementarity model: investor+deal, regulator+builder, non-obvious cross-sector</w:t>
            </w:r>
          </w:p>
        </w:tc>
        <w:tc>
          <w:tcPr>
            <w:tcW w:type="dxa" w:w="860"/>
            <w:tcBorders>
              <w:top w:val="single" w:color="CCCCCC" w:sz="1"/>
              <w:left w:val="single" w:color="CCCCCC" w:sz="1"/>
              <w:bottom w:val="single" w:color="CCCCCC" w:sz="1"/>
              <w:right w:val="single" w:color="CCCCCC" w:sz="1"/>
            </w:tcBorders>
            <w:shd w:fill="D4EDDA" w:val="clear"/>
          </w:tcPr>
          <w:p>
            <w:pPr>
              <w:spacing w:after="80" w:before="80"/>
              <w:jc w:val="center"/>
            </w:pPr>
            <w:r>
              <w:rPr>
                <w:b/>
                <w:bCs/>
                <w:sz w:val="18"/>
                <w:szCs w:val="18"/>
              </w:rPr>
              <w:t xml:space="preserve">POT</w:t>
            </w:r>
          </w:p>
        </w:tc>
      </w:tr>
      <w:tr>
        <w:tc>
          <w:tcPr>
            <w:tcW w:type="dxa" w:w="2500"/>
            <w:tcBorders>
              <w:top w:val="single" w:color="CCCCCC" w:sz="1"/>
              <w:left w:val="single" w:color="CCCCCC" w:sz="1"/>
              <w:bottom w:val="single" w:color="CCCCCC" w:sz="1"/>
              <w:right w:val="single" w:color="CCCCCC" w:sz="1"/>
            </w:tcBorders>
            <w:shd w:fill="FFFFFF" w:val="clear"/>
          </w:tcPr>
          <w:p>
            <w:pPr>
              <w:spacing w:after="80" w:before="80"/>
            </w:pPr>
            <w:r>
              <w:rPr>
                <w:b/>
                <w:bCs/>
                <w:sz w:val="20"/>
                <w:szCs w:val="20"/>
              </w:rPr>
              <w:t xml:space="preserve">Deal-Readiness Signal</w:t>
            </w:r>
          </w:p>
        </w:tc>
        <w:tc>
          <w:tcPr>
            <w:tcW w:type="dxa" w:w="3000"/>
            <w:tcBorders>
              <w:top w:val="single" w:color="CCCCCC" w:sz="1"/>
              <w:left w:val="single" w:color="CCCCCC" w:sz="1"/>
              <w:bottom w:val="single" w:color="CCCCCC" w:sz="1"/>
              <w:right w:val="single" w:color="CCCCCC" w:sz="1"/>
            </w:tcBorders>
            <w:shd w:fill="FFFFFF" w:val="clear"/>
          </w:tcPr>
          <w:p>
            <w:pPr>
              <w:spacing w:after="80" w:before="80"/>
            </w:pPr>
            <w:r>
              <w:rPr>
                <w:sz w:val="20"/>
                <w:szCs w:val="20"/>
              </w:rPr>
              <w:t xml:space="preserve">Not present</w:t>
            </w:r>
          </w:p>
        </w:tc>
        <w:tc>
          <w:tcPr>
            <w:tcW w:type="dxa" w:w="3000"/>
            <w:tcBorders>
              <w:top w:val="single" w:color="CCCCCC" w:sz="1"/>
              <w:left w:val="single" w:color="CCCCCC" w:sz="1"/>
              <w:bottom w:val="single" w:color="CCCCCC" w:sz="1"/>
              <w:right w:val="single" w:color="CCCCCC" w:sz="1"/>
            </w:tcBorders>
            <w:shd w:fill="FFFFFF" w:val="clear"/>
          </w:tcPr>
          <w:p>
            <w:pPr>
              <w:spacing w:after="80" w:before="80"/>
            </w:pPr>
            <w:r>
              <w:rPr>
                <w:sz w:val="20"/>
                <w:szCs w:val="20"/>
              </w:rPr>
              <w:t xml:space="preserve">Explicit deal-readiness scoring in match ranking</w:t>
            </w:r>
          </w:p>
        </w:tc>
        <w:tc>
          <w:tcPr>
            <w:tcW w:type="dxa" w:w="860"/>
            <w:tcBorders>
              <w:top w:val="single" w:color="CCCCCC" w:sz="1"/>
              <w:left w:val="single" w:color="CCCCCC" w:sz="1"/>
              <w:bottom w:val="single" w:color="CCCCCC" w:sz="1"/>
              <w:right w:val="single" w:color="CCCCCC" w:sz="1"/>
            </w:tcBorders>
            <w:shd w:fill="D4EDDA" w:val="clear"/>
          </w:tcPr>
          <w:p>
            <w:pPr>
              <w:spacing w:after="80" w:before="80"/>
              <w:jc w:val="center"/>
            </w:pPr>
            <w:r>
              <w:rPr>
                <w:b/>
                <w:bCs/>
                <w:sz w:val="18"/>
                <w:szCs w:val="18"/>
              </w:rPr>
              <w:t xml:space="preserve">POT</w:t>
            </w:r>
          </w:p>
        </w:tc>
      </w:tr>
      <w:tr>
        <w:tc>
          <w:tcPr>
            <w:tcW w:type="dxa" w:w="2500"/>
            <w:tcBorders>
              <w:top w:val="single" w:color="CCCCCC" w:sz="1"/>
              <w:left w:val="single" w:color="CCCCCC" w:sz="1"/>
              <w:bottom w:val="single" w:color="CCCCCC" w:sz="1"/>
              <w:right w:val="single" w:color="CCCCCC" w:sz="1"/>
            </w:tcBorders>
            <w:shd w:fill="FFFFFF" w:val="clear"/>
          </w:tcPr>
          <w:p>
            <w:pPr>
              <w:spacing w:after="80" w:before="80"/>
            </w:pPr>
            <w:r>
              <w:rPr>
                <w:b/>
                <w:bCs/>
                <w:sz w:val="20"/>
                <w:szCs w:val="20"/>
              </w:rPr>
              <w:t xml:space="preserve">Cross-Event Learning</w:t>
            </w:r>
          </w:p>
        </w:tc>
        <w:tc>
          <w:tcPr>
            <w:tcW w:type="dxa" w:w="3000"/>
            <w:tcBorders>
              <w:top w:val="single" w:color="CCCCCC" w:sz="1"/>
              <w:left w:val="single" w:color="CCCCCC" w:sz="1"/>
              <w:bottom w:val="single" w:color="CCCCCC" w:sz="1"/>
              <w:right w:val="single" w:color="CCCCCC" w:sz="1"/>
            </w:tcBorders>
            <w:shd w:fill="FFFFFF" w:val="clear"/>
          </w:tcPr>
          <w:p>
            <w:pPr>
              <w:spacing w:after="80" w:before="80"/>
            </w:pPr>
            <w:r>
              <w:rPr>
                <w:sz w:val="20"/>
                <w:szCs w:val="20"/>
              </w:rPr>
              <w:t xml:space="preserve">Siloed — each event is isolated</w:t>
            </w:r>
          </w:p>
        </w:tc>
        <w:tc>
          <w:tcPr>
            <w:tcW w:type="dxa" w:w="3000"/>
            <w:tcBorders>
              <w:top w:val="single" w:color="CCCCCC" w:sz="1"/>
              <w:left w:val="single" w:color="CCCCCC" w:sz="1"/>
              <w:bottom w:val="single" w:color="CCCCCC" w:sz="1"/>
              <w:right w:val="single" w:color="CCCCCC" w:sz="1"/>
            </w:tcBorders>
            <w:shd w:fill="FFFFFF" w:val="clear"/>
          </w:tcPr>
          <w:p>
            <w:pPr>
              <w:spacing w:after="80" w:before="80"/>
            </w:pPr>
            <w:r>
              <w:rPr>
                <w:sz w:val="20"/>
                <w:szCs w:val="20"/>
              </w:rPr>
              <w:t xml:space="preserve">Persistent attendee profiles across POT editions (roadmap)</w:t>
            </w:r>
          </w:p>
        </w:tc>
        <w:tc>
          <w:tcPr>
            <w:tcW w:type="dxa" w:w="860"/>
            <w:tcBorders>
              <w:top w:val="single" w:color="CCCCCC" w:sz="1"/>
              <w:left w:val="single" w:color="CCCCCC" w:sz="1"/>
              <w:bottom w:val="single" w:color="CCCCCC" w:sz="1"/>
              <w:right w:val="single" w:color="CCCCCC" w:sz="1"/>
            </w:tcBorders>
            <w:shd w:fill="D4EDDA" w:val="clear"/>
          </w:tcPr>
          <w:p>
            <w:pPr>
              <w:spacing w:after="80" w:before="80"/>
              <w:jc w:val="center"/>
            </w:pPr>
            <w:r>
              <w:rPr>
                <w:b/>
                <w:bCs/>
                <w:sz w:val="18"/>
                <w:szCs w:val="18"/>
              </w:rPr>
              <w:t xml:space="preserve">POT</w:t>
            </w:r>
          </w:p>
        </w:tc>
      </w:tr>
      <w:tr>
        <w:tc>
          <w:tcPr>
            <w:tcW w:type="dxa" w:w="2500"/>
            <w:tcBorders>
              <w:top w:val="single" w:color="CCCCCC" w:sz="1"/>
              <w:left w:val="single" w:color="CCCCCC" w:sz="1"/>
              <w:bottom w:val="single" w:color="CCCCCC" w:sz="1"/>
              <w:right w:val="single" w:color="CCCCCC" w:sz="1"/>
            </w:tcBorders>
            <w:shd w:fill="FFFFFF" w:val="clear"/>
          </w:tcPr>
          <w:p>
            <w:pPr>
              <w:spacing w:after="80" w:before="80"/>
            </w:pPr>
            <w:r>
              <w:rPr>
                <w:b/>
                <w:bCs/>
                <w:sz w:val="20"/>
                <w:szCs w:val="20"/>
              </w:rPr>
              <w:t xml:space="preserve">Vertical Expertise</w:t>
            </w:r>
          </w:p>
        </w:tc>
        <w:tc>
          <w:tcPr>
            <w:tcW w:type="dxa" w:w="3000"/>
            <w:tcBorders>
              <w:top w:val="single" w:color="CCCCCC" w:sz="1"/>
              <w:left w:val="single" w:color="CCCCCC" w:sz="1"/>
              <w:bottom w:val="single" w:color="CCCCCC" w:sz="1"/>
              <w:right w:val="single" w:color="CCCCCC" w:sz="1"/>
            </w:tcBorders>
            <w:shd w:fill="FFFFFF" w:val="clear"/>
          </w:tcPr>
          <w:p>
            <w:pPr>
              <w:spacing w:after="80" w:before="80"/>
            </w:pPr>
            <w:r>
              <w:rPr>
                <w:sz w:val="20"/>
                <w:szCs w:val="20"/>
              </w:rPr>
              <w:t xml:space="preserve">Generic (all event types)</w:t>
            </w:r>
          </w:p>
        </w:tc>
        <w:tc>
          <w:tcPr>
            <w:tcW w:type="dxa" w:w="3000"/>
            <w:tcBorders>
              <w:top w:val="single" w:color="CCCCCC" w:sz="1"/>
              <w:left w:val="single" w:color="CCCCCC" w:sz="1"/>
              <w:bottom w:val="single" w:color="CCCCCC" w:sz="1"/>
              <w:right w:val="single" w:color="CCCCCC" w:sz="1"/>
            </w:tcBorders>
            <w:shd w:fill="FFFFFF" w:val="clear"/>
          </w:tcPr>
          <w:p>
            <w:pPr>
              <w:spacing w:after="80" w:before="80"/>
            </w:pPr>
            <w:r>
              <w:rPr>
                <w:sz w:val="20"/>
                <w:szCs w:val="20"/>
              </w:rPr>
              <w:t xml:space="preserve">Purpose-built for Web3 / institutional finance deal-making</w:t>
            </w:r>
          </w:p>
        </w:tc>
        <w:tc>
          <w:tcPr>
            <w:tcW w:type="dxa" w:w="860"/>
            <w:tcBorders>
              <w:top w:val="single" w:color="CCCCCC" w:sz="1"/>
              <w:left w:val="single" w:color="CCCCCC" w:sz="1"/>
              <w:bottom w:val="single" w:color="CCCCCC" w:sz="1"/>
              <w:right w:val="single" w:color="CCCCCC" w:sz="1"/>
            </w:tcBorders>
            <w:shd w:fill="D4EDDA" w:val="clear"/>
          </w:tcPr>
          <w:p>
            <w:pPr>
              <w:spacing w:after="80" w:before="80"/>
              <w:jc w:val="center"/>
            </w:pPr>
            <w:r>
              <w:rPr>
                <w:b/>
                <w:bCs/>
                <w:sz w:val="18"/>
                <w:szCs w:val="18"/>
              </w:rPr>
              <w:t xml:space="preserve">POT</w:t>
            </w:r>
          </w:p>
        </w:tc>
      </w:tr>
      <w:tr>
        <w:tc>
          <w:tcPr>
            <w:tcW w:type="dxa" w:w="2500"/>
            <w:tcBorders>
              <w:top w:val="single" w:color="CCCCCC" w:sz="1"/>
              <w:left w:val="single" w:color="CCCCCC" w:sz="1"/>
              <w:bottom w:val="single" w:color="CCCCCC" w:sz="1"/>
              <w:right w:val="single" w:color="CCCCCC" w:sz="1"/>
            </w:tcBorders>
            <w:shd w:fill="FFFFFF" w:val="clear"/>
          </w:tcPr>
          <w:p>
            <w:pPr>
              <w:spacing w:after="80" w:before="80"/>
            </w:pPr>
            <w:r>
              <w:rPr>
                <w:b/>
                <w:bCs/>
                <w:sz w:val="20"/>
                <w:szCs w:val="20"/>
              </w:rPr>
              <w:t xml:space="preserve">Organiser Analytics</w:t>
            </w:r>
          </w:p>
        </w:tc>
        <w:tc>
          <w:tcPr>
            <w:tcW w:type="dxa" w:w="3000"/>
            <w:tcBorders>
              <w:top w:val="single" w:color="CCCCCC" w:sz="1"/>
              <w:left w:val="single" w:color="CCCCCC" w:sz="1"/>
              <w:bottom w:val="single" w:color="CCCCCC" w:sz="1"/>
              <w:right w:val="single" w:color="CCCCCC" w:sz="1"/>
            </w:tcBorders>
            <w:shd w:fill="FFFFFF" w:val="clear"/>
          </w:tcPr>
          <w:p>
            <w:pPr>
              <w:spacing w:after="80" w:before="80"/>
            </w:pPr>
            <w:r>
              <w:rPr>
                <w:sz w:val="20"/>
                <w:szCs w:val="20"/>
              </w:rPr>
              <w:t xml:space="preserve">Post-event reports, sponsor dashboards</w:t>
            </w:r>
          </w:p>
        </w:tc>
        <w:tc>
          <w:tcPr>
            <w:tcW w:type="dxa" w:w="3000"/>
            <w:tcBorders>
              <w:top w:val="single" w:color="CCCCCC" w:sz="1"/>
              <w:left w:val="single" w:color="CCCCCC" w:sz="1"/>
              <w:bottom w:val="single" w:color="CCCCCC" w:sz="1"/>
              <w:right w:val="single" w:color="CCCCCC" w:sz="1"/>
            </w:tcBorders>
            <w:shd w:fill="FFFFFF" w:val="clear"/>
          </w:tcPr>
          <w:p>
            <w:pPr>
              <w:spacing w:after="80" w:before="80"/>
            </w:pPr>
            <w:r>
              <w:rPr>
                <w:sz w:val="20"/>
                <w:szCs w:val="20"/>
              </w:rPr>
              <w:t xml:space="preserve">Real-time funnel KPIs, deal-stage tracking, outcome metrics dashboard</w:t>
            </w:r>
          </w:p>
        </w:tc>
        <w:tc>
          <w:tcPr>
            <w:tcW w:type="dxa" w:w="860"/>
            <w:tcBorders>
              <w:top w:val="single" w:color="CCCCCC" w:sz="1"/>
              <w:left w:val="single" w:color="CCCCCC" w:sz="1"/>
              <w:bottom w:val="single" w:color="CCCCCC" w:sz="1"/>
              <w:right w:val="single" w:color="CCCCCC" w:sz="1"/>
            </w:tcBorders>
            <w:shd w:fill="D4EDDA" w:val="clear"/>
          </w:tcPr>
          <w:p>
            <w:pPr>
              <w:spacing w:after="80" w:before="80"/>
              <w:jc w:val="center"/>
            </w:pPr>
            <w:r>
              <w:rPr>
                <w:b/>
                <w:bCs/>
                <w:sz w:val="18"/>
                <w:szCs w:val="18"/>
              </w:rPr>
              <w:t xml:space="preserve">POT</w:t>
            </w:r>
          </w:p>
        </w:tc>
      </w:tr>
      <w:tr>
        <w:tc>
          <w:tcPr>
            <w:tcW w:type="dxa" w:w="2500"/>
            <w:tcBorders>
              <w:top w:val="single" w:color="CCCCCC" w:sz="1"/>
              <w:left w:val="single" w:color="CCCCCC" w:sz="1"/>
              <w:bottom w:val="single" w:color="CCCCCC" w:sz="1"/>
              <w:right w:val="single" w:color="CCCCCC" w:sz="1"/>
            </w:tcBorders>
            <w:shd w:fill="FFFFFF" w:val="clear"/>
          </w:tcPr>
          <w:p>
            <w:pPr>
              <w:spacing w:after="80" w:before="80"/>
            </w:pPr>
            <w:r>
              <w:rPr>
                <w:b/>
                <w:bCs/>
                <w:sz w:val="20"/>
                <w:szCs w:val="20"/>
              </w:rPr>
              <w:t xml:space="preserve">Meeting Scheduling</w:t>
            </w:r>
          </w:p>
        </w:tc>
        <w:tc>
          <w:tcPr>
            <w:tcW w:type="dxa" w:w="3000"/>
            <w:tcBorders>
              <w:top w:val="single" w:color="CCCCCC" w:sz="1"/>
              <w:left w:val="single" w:color="CCCCCC" w:sz="1"/>
              <w:bottom w:val="single" w:color="CCCCCC" w:sz="1"/>
              <w:right w:val="single" w:color="CCCCCC" w:sz="1"/>
            </w:tcBorders>
            <w:shd w:fill="FFFFFF" w:val="clear"/>
          </w:tcPr>
          <w:p>
            <w:pPr>
              <w:spacing w:after="80" w:before="80"/>
            </w:pPr>
            <w:r>
              <w:rPr>
                <w:sz w:val="20"/>
                <w:szCs w:val="20"/>
              </w:rPr>
              <w:t xml:space="preserve">Full in-app scheduling (iOS, Android, web)</w:t>
            </w:r>
          </w:p>
        </w:tc>
        <w:tc>
          <w:tcPr>
            <w:tcW w:type="dxa" w:w="3000"/>
            <w:tcBorders>
              <w:top w:val="single" w:color="CCCCCC" w:sz="1"/>
              <w:left w:val="single" w:color="CCCCCC" w:sz="1"/>
              <w:bottom w:val="single" w:color="CCCCCC" w:sz="1"/>
              <w:right w:val="single" w:color="CCCCCC" w:sz="1"/>
            </w:tcBorders>
            <w:shd w:fill="FFFFFF" w:val="clear"/>
          </w:tcPr>
          <w:p>
            <w:pPr>
              <w:spacing w:after="80" w:before="80"/>
            </w:pPr>
            <w:r>
              <w:rPr>
                <w:sz w:val="20"/>
                <w:szCs w:val="20"/>
              </w:rPr>
              <w:t xml:space="preserve">Match recommendations + API; scheduling via calendar integrations</w:t>
            </w:r>
          </w:p>
        </w:tc>
        <w:tc>
          <w:tcPr>
            <w:tcW w:type="dxa" w:w="860"/>
            <w:tcBorders>
              <w:top w:val="single" w:color="CCCCCC" w:sz="1"/>
              <w:left w:val="single" w:color="CCCCCC" w:sz="1"/>
              <w:bottom w:val="single" w:color="CCCCCC" w:sz="1"/>
              <w:right w:val="single" w:color="CCCCCC" w:sz="1"/>
            </w:tcBorders>
            <w:shd w:fill="FCE8E6" w:val="clear"/>
          </w:tcPr>
          <w:p>
            <w:pPr>
              <w:spacing w:after="80" w:before="80"/>
              <w:jc w:val="center"/>
            </w:pPr>
            <w:r>
              <w:rPr>
                <w:b/>
                <w:bCs/>
                <w:sz w:val="18"/>
                <w:szCs w:val="18"/>
              </w:rPr>
              <w:t xml:space="preserve">Brella</w:t>
            </w:r>
          </w:p>
        </w:tc>
      </w:tr>
      <w:tr>
        <w:tc>
          <w:tcPr>
            <w:tcW w:type="dxa" w:w="2500"/>
            <w:tcBorders>
              <w:top w:val="single" w:color="CCCCCC" w:sz="1"/>
              <w:left w:val="single" w:color="CCCCCC" w:sz="1"/>
              <w:bottom w:val="single" w:color="CCCCCC" w:sz="1"/>
              <w:right w:val="single" w:color="CCCCCC" w:sz="1"/>
            </w:tcBorders>
            <w:shd w:fill="FFFFFF" w:val="clear"/>
          </w:tcPr>
          <w:p>
            <w:pPr>
              <w:spacing w:after="80" w:before="80"/>
            </w:pPr>
            <w:r>
              <w:rPr>
                <w:b/>
                <w:bCs/>
                <w:sz w:val="20"/>
                <w:szCs w:val="20"/>
              </w:rPr>
              <w:t xml:space="preserve">Mobile Native App</w:t>
            </w:r>
          </w:p>
        </w:tc>
        <w:tc>
          <w:tcPr>
            <w:tcW w:type="dxa" w:w="3000"/>
            <w:tcBorders>
              <w:top w:val="single" w:color="CCCCCC" w:sz="1"/>
              <w:left w:val="single" w:color="CCCCCC" w:sz="1"/>
              <w:bottom w:val="single" w:color="CCCCCC" w:sz="1"/>
              <w:right w:val="single" w:color="CCCCCC" w:sz="1"/>
            </w:tcBorders>
            <w:shd w:fill="FFFFFF" w:val="clear"/>
          </w:tcPr>
          <w:p>
            <w:pPr>
              <w:spacing w:after="80" w:before="80"/>
            </w:pPr>
            <w:r>
              <w:rPr>
                <w:sz w:val="20"/>
                <w:szCs w:val="20"/>
              </w:rPr>
              <w:t xml:space="preserve">iOS + Android native apps</w:t>
            </w:r>
          </w:p>
        </w:tc>
        <w:tc>
          <w:tcPr>
            <w:tcW w:type="dxa" w:w="3000"/>
            <w:tcBorders>
              <w:top w:val="single" w:color="CCCCCC" w:sz="1"/>
              <w:left w:val="single" w:color="CCCCCC" w:sz="1"/>
              <w:bottom w:val="single" w:color="CCCCCC" w:sz="1"/>
              <w:right w:val="single" w:color="CCCCCC" w:sz="1"/>
            </w:tcBorders>
            <w:shd w:fill="FFFFFF" w:val="clear"/>
          </w:tcPr>
          <w:p>
            <w:pPr>
              <w:spacing w:after="80" w:before="80"/>
            </w:pPr>
            <w:r>
              <w:rPr>
                <w:sz w:val="20"/>
                <w:szCs w:val="20"/>
              </w:rPr>
              <w:t xml:space="preserve">Responsive web app (native app on roadmap)</w:t>
            </w:r>
          </w:p>
        </w:tc>
        <w:tc>
          <w:tcPr>
            <w:tcW w:type="dxa" w:w="860"/>
            <w:tcBorders>
              <w:top w:val="single" w:color="CCCCCC" w:sz="1"/>
              <w:left w:val="single" w:color="CCCCCC" w:sz="1"/>
              <w:bottom w:val="single" w:color="CCCCCC" w:sz="1"/>
              <w:right w:val="single" w:color="CCCCCC" w:sz="1"/>
            </w:tcBorders>
            <w:shd w:fill="FCE8E6" w:val="clear"/>
          </w:tcPr>
          <w:p>
            <w:pPr>
              <w:spacing w:after="80" w:before="80"/>
              <w:jc w:val="center"/>
            </w:pPr>
            <w:r>
              <w:rPr>
                <w:b/>
                <w:bCs/>
                <w:sz w:val="18"/>
                <w:szCs w:val="18"/>
              </w:rPr>
              <w:t xml:space="preserve">Brella</w:t>
            </w:r>
          </w:p>
        </w:tc>
      </w:tr>
      <w:tr>
        <w:tc>
          <w:tcPr>
            <w:tcW w:type="dxa" w:w="2500"/>
            <w:tcBorders>
              <w:top w:val="single" w:color="CCCCCC" w:sz="1"/>
              <w:left w:val="single" w:color="CCCCCC" w:sz="1"/>
              <w:bottom w:val="single" w:color="CCCCCC" w:sz="1"/>
              <w:right w:val="single" w:color="CCCCCC" w:sz="1"/>
            </w:tcBorders>
            <w:shd w:fill="FFFFFF" w:val="clear"/>
          </w:tcPr>
          <w:p>
            <w:pPr>
              <w:spacing w:after="80" w:before="80"/>
            </w:pPr>
            <w:r>
              <w:rPr>
                <w:b/>
                <w:bCs/>
                <w:sz w:val="20"/>
                <w:szCs w:val="20"/>
              </w:rPr>
              <w:t xml:space="preserve">Sponsor Portal</w:t>
            </w:r>
          </w:p>
        </w:tc>
        <w:tc>
          <w:tcPr>
            <w:tcW w:type="dxa" w:w="3000"/>
            <w:tcBorders>
              <w:top w:val="single" w:color="CCCCCC" w:sz="1"/>
              <w:left w:val="single" w:color="CCCCCC" w:sz="1"/>
              <w:bottom w:val="single" w:color="CCCCCC" w:sz="1"/>
              <w:right w:val="single" w:color="CCCCCC" w:sz="1"/>
            </w:tcBorders>
            <w:shd w:fill="FFFFFF" w:val="clear"/>
          </w:tcPr>
          <w:p>
            <w:pPr>
              <w:spacing w:after="80" w:before="80"/>
            </w:pPr>
            <w:r>
              <w:rPr>
                <w:sz w:val="20"/>
                <w:szCs w:val="20"/>
              </w:rPr>
              <w:t xml:space="preserve">Dedicated sponsor prospecting + lead tools</w:t>
            </w:r>
          </w:p>
        </w:tc>
        <w:tc>
          <w:tcPr>
            <w:tcW w:type="dxa" w:w="3000"/>
            <w:tcBorders>
              <w:top w:val="single" w:color="CCCCCC" w:sz="1"/>
              <w:left w:val="single" w:color="CCCCCC" w:sz="1"/>
              <w:bottom w:val="single" w:color="CCCCCC" w:sz="1"/>
              <w:right w:val="single" w:color="CCCCCC" w:sz="1"/>
            </w:tcBorders>
            <w:shd w:fill="FFFFFF" w:val="clear"/>
          </w:tcPr>
          <w:p>
            <w:pPr>
              <w:spacing w:after="80" w:before="80"/>
            </w:pPr>
            <w:r>
              <w:rPr>
                <w:sz w:val="20"/>
                <w:szCs w:val="20"/>
              </w:rPr>
              <w:t xml:space="preserve">Not yet purpose-built for sponsors</w:t>
            </w:r>
          </w:p>
        </w:tc>
        <w:tc>
          <w:tcPr>
            <w:tcW w:type="dxa" w:w="860"/>
            <w:tcBorders>
              <w:top w:val="single" w:color="CCCCCC" w:sz="1"/>
              <w:left w:val="single" w:color="CCCCCC" w:sz="1"/>
              <w:bottom w:val="single" w:color="CCCCCC" w:sz="1"/>
              <w:right w:val="single" w:color="CCCCCC" w:sz="1"/>
            </w:tcBorders>
            <w:shd w:fill="FCE8E6" w:val="clear"/>
          </w:tcPr>
          <w:p>
            <w:pPr>
              <w:spacing w:after="80" w:before="80"/>
              <w:jc w:val="center"/>
            </w:pPr>
            <w:r>
              <w:rPr>
                <w:b/>
                <w:bCs/>
                <w:sz w:val="18"/>
                <w:szCs w:val="18"/>
              </w:rPr>
              <w:t xml:space="preserve">Brella</w:t>
            </w:r>
          </w:p>
        </w:tc>
      </w:tr>
      <w:tr>
        <w:tc>
          <w:tcPr>
            <w:tcW w:type="dxa" w:w="2500"/>
            <w:tcBorders>
              <w:top w:val="single" w:color="CCCCCC" w:sz="1"/>
              <w:left w:val="single" w:color="CCCCCC" w:sz="1"/>
              <w:bottom w:val="single" w:color="CCCCCC" w:sz="1"/>
              <w:right w:val="single" w:color="CCCCCC" w:sz="1"/>
            </w:tcBorders>
            <w:shd w:fill="FFFFFF" w:val="clear"/>
          </w:tcPr>
          <w:p>
            <w:pPr>
              <w:spacing w:after="80" w:before="80"/>
            </w:pPr>
            <w:r>
              <w:rPr>
                <w:b/>
                <w:bCs/>
                <w:sz w:val="20"/>
                <w:szCs w:val="20"/>
              </w:rPr>
              <w:t xml:space="preserve">White-Label Deploy</w:t>
            </w:r>
          </w:p>
        </w:tc>
        <w:tc>
          <w:tcPr>
            <w:tcW w:type="dxa" w:w="3000"/>
            <w:tcBorders>
              <w:top w:val="single" w:color="CCCCCC" w:sz="1"/>
              <w:left w:val="single" w:color="CCCCCC" w:sz="1"/>
              <w:bottom w:val="single" w:color="CCCCCC" w:sz="1"/>
              <w:right w:val="single" w:color="CCCCCC" w:sz="1"/>
            </w:tcBorders>
            <w:shd w:fill="FFFFFF" w:val="clear"/>
          </w:tcPr>
          <w:p>
            <w:pPr>
              <w:spacing w:after="80" w:before="80"/>
            </w:pPr>
            <w:r>
              <w:rPr>
                <w:sz w:val="20"/>
                <w:szCs w:val="20"/>
              </w:rPr>
              <w:t xml:space="preserve">Full white-label with custom app store listing</w:t>
            </w:r>
          </w:p>
        </w:tc>
        <w:tc>
          <w:tcPr>
            <w:tcW w:type="dxa" w:w="3000"/>
            <w:tcBorders>
              <w:top w:val="single" w:color="CCCCCC" w:sz="1"/>
              <w:left w:val="single" w:color="CCCCCC" w:sz="1"/>
              <w:bottom w:val="single" w:color="CCCCCC" w:sz="1"/>
              <w:right w:val="single" w:color="CCCCCC" w:sz="1"/>
            </w:tcBorders>
            <w:shd w:fill="FFFFFF" w:val="clear"/>
          </w:tcPr>
          <w:p>
            <w:pPr>
              <w:spacing w:after="80" w:before="80"/>
            </w:pPr>
            <w:r>
              <w:rPr>
                <w:sz w:val="20"/>
                <w:szCs w:val="20"/>
              </w:rPr>
              <w:t xml:space="preserve">Custom branding for organiser (app store listing on roadmap)</w:t>
            </w:r>
          </w:p>
        </w:tc>
        <w:tc>
          <w:tcPr>
            <w:tcW w:type="dxa" w:w="860"/>
            <w:tcBorders>
              <w:top w:val="single" w:color="CCCCCC" w:sz="1"/>
              <w:left w:val="single" w:color="CCCCCC" w:sz="1"/>
              <w:bottom w:val="single" w:color="CCCCCC" w:sz="1"/>
              <w:right w:val="single" w:color="CCCCCC" w:sz="1"/>
            </w:tcBorders>
            <w:shd w:fill="FCE8E6" w:val="clear"/>
          </w:tcPr>
          <w:p>
            <w:pPr>
              <w:spacing w:after="80" w:before="80"/>
              <w:jc w:val="center"/>
            </w:pPr>
            <w:r>
              <w:rPr>
                <w:b/>
                <w:bCs/>
                <w:sz w:val="18"/>
                <w:szCs w:val="18"/>
              </w:rPr>
              <w:t xml:space="preserve">Brella</w:t>
            </w:r>
          </w:p>
        </w:tc>
      </w:tr>
      <w:tr>
        <w:tc>
          <w:tcPr>
            <w:tcW w:type="dxa" w:w="2500"/>
            <w:tcBorders>
              <w:top w:val="single" w:color="CCCCCC" w:sz="1"/>
              <w:left w:val="single" w:color="CCCCCC" w:sz="1"/>
              <w:bottom w:val="single" w:color="CCCCCC" w:sz="1"/>
              <w:right w:val="single" w:color="CCCCCC" w:sz="1"/>
            </w:tcBorders>
            <w:shd w:fill="FFFFFF" w:val="clear"/>
          </w:tcPr>
          <w:p>
            <w:pPr>
              <w:spacing w:after="80" w:before="80"/>
            </w:pPr>
            <w:r>
              <w:rPr>
                <w:b/>
                <w:bCs/>
                <w:sz w:val="20"/>
                <w:szCs w:val="20"/>
              </w:rPr>
              <w:t xml:space="preserve">Integration Ecosystem</w:t>
            </w:r>
          </w:p>
        </w:tc>
        <w:tc>
          <w:tcPr>
            <w:tcW w:type="dxa" w:w="3000"/>
            <w:tcBorders>
              <w:top w:val="single" w:color="CCCCCC" w:sz="1"/>
              <w:left w:val="single" w:color="CCCCCC" w:sz="1"/>
              <w:bottom w:val="single" w:color="CCCCCC" w:sz="1"/>
              <w:right w:val="single" w:color="CCCCCC" w:sz="1"/>
            </w:tcBorders>
            <w:shd w:fill="FFFFFF" w:val="clear"/>
          </w:tcPr>
          <w:p>
            <w:pPr>
              <w:spacing w:after="80" w:before="80"/>
            </w:pPr>
            <w:r>
              <w:rPr>
                <w:sz w:val="20"/>
                <w:szCs w:val="20"/>
              </w:rPr>
              <w:t xml:space="preserve">REST API, Zapier, HubSpot, Salesforce, 500+ tools</w:t>
            </w:r>
          </w:p>
        </w:tc>
        <w:tc>
          <w:tcPr>
            <w:tcW w:type="dxa" w:w="3000"/>
            <w:tcBorders>
              <w:top w:val="single" w:color="CCCCCC" w:sz="1"/>
              <w:left w:val="single" w:color="CCCCCC" w:sz="1"/>
              <w:bottom w:val="single" w:color="CCCCCC" w:sz="1"/>
              <w:right w:val="single" w:color="CCCCCC" w:sz="1"/>
            </w:tcBorders>
            <w:shd w:fill="FFFFFF" w:val="clear"/>
          </w:tcPr>
          <w:p>
            <w:pPr>
              <w:spacing w:after="80" w:before="80"/>
            </w:pPr>
            <w:r>
              <w:rPr>
                <w:sz w:val="20"/>
                <w:szCs w:val="20"/>
              </w:rPr>
              <w:t xml:space="preserve">REST API; deeper CRM integrations on roadmap</w:t>
            </w:r>
          </w:p>
        </w:tc>
        <w:tc>
          <w:tcPr>
            <w:tcW w:type="dxa" w:w="860"/>
            <w:tcBorders>
              <w:top w:val="single" w:color="CCCCCC" w:sz="1"/>
              <w:left w:val="single" w:color="CCCCCC" w:sz="1"/>
              <w:bottom w:val="single" w:color="CCCCCC" w:sz="1"/>
              <w:right w:val="single" w:color="CCCCCC" w:sz="1"/>
            </w:tcBorders>
            <w:shd w:fill="FCE8E6" w:val="clear"/>
          </w:tcPr>
          <w:p>
            <w:pPr>
              <w:spacing w:after="80" w:before="80"/>
              <w:jc w:val="center"/>
            </w:pPr>
            <w:r>
              <w:rPr>
                <w:b/>
                <w:bCs/>
                <w:sz w:val="18"/>
                <w:szCs w:val="18"/>
              </w:rPr>
              <w:t xml:space="preserve">Brella</w:t>
            </w:r>
          </w:p>
        </w:tc>
      </w:tr>
      <w:tr>
        <w:tc>
          <w:tcPr>
            <w:tcW w:type="dxa" w:w="2500"/>
            <w:tcBorders>
              <w:top w:val="single" w:color="CCCCCC" w:sz="1"/>
              <w:left w:val="single" w:color="CCCCCC" w:sz="1"/>
              <w:bottom w:val="single" w:color="CCCCCC" w:sz="1"/>
              <w:right w:val="single" w:color="CCCCCC" w:sz="1"/>
            </w:tcBorders>
            <w:shd w:fill="FFFFFF" w:val="clear"/>
          </w:tcPr>
          <w:p>
            <w:pPr>
              <w:spacing w:after="80" w:before="80"/>
            </w:pPr>
            <w:r>
              <w:rPr>
                <w:b/>
                <w:bCs/>
                <w:sz w:val="20"/>
                <w:szCs w:val="20"/>
              </w:rPr>
              <w:t xml:space="preserve">Pricing Transparency</w:t>
            </w:r>
          </w:p>
        </w:tc>
        <w:tc>
          <w:tcPr>
            <w:tcW w:type="dxa" w:w="3000"/>
            <w:tcBorders>
              <w:top w:val="single" w:color="CCCCCC" w:sz="1"/>
              <w:left w:val="single" w:color="CCCCCC" w:sz="1"/>
              <w:bottom w:val="single" w:color="CCCCCC" w:sz="1"/>
              <w:right w:val="single" w:color="CCCCCC" w:sz="1"/>
            </w:tcBorders>
            <w:shd w:fill="FFFFFF" w:val="clear"/>
          </w:tcPr>
          <w:p>
            <w:pPr>
              <w:spacing w:after="80" w:before="80"/>
            </w:pPr>
            <w:r>
              <w:rPr>
                <w:sz w:val="20"/>
                <w:szCs w:val="20"/>
              </w:rPr>
              <w:t xml:space="preserve">Opaque — sales-led only, no public pricing</w:t>
            </w:r>
          </w:p>
        </w:tc>
        <w:tc>
          <w:tcPr>
            <w:tcW w:type="dxa" w:w="3000"/>
            <w:tcBorders>
              <w:top w:val="single" w:color="CCCCCC" w:sz="1"/>
              <w:left w:val="single" w:color="CCCCCC" w:sz="1"/>
              <w:bottom w:val="single" w:color="CCCCCC" w:sz="1"/>
              <w:right w:val="single" w:color="CCCCCC" w:sz="1"/>
            </w:tcBorders>
            <w:shd w:fill="FFFFFF" w:val="clear"/>
          </w:tcPr>
          <w:p>
            <w:pPr>
              <w:spacing w:after="80" w:before="80"/>
            </w:pPr>
            <w:r>
              <w:rPr>
                <w:sz w:val="20"/>
                <w:szCs w:val="20"/>
              </w:rPr>
              <w:t xml:space="preserve">Outcome-based pricing model (roadmap)</w:t>
            </w:r>
          </w:p>
        </w:tc>
        <w:tc>
          <w:tcPr>
            <w:tcW w:type="dxa" w:w="860"/>
            <w:tcBorders>
              <w:top w:val="single" w:color="CCCCCC" w:sz="1"/>
              <w:left w:val="single" w:color="CCCCCC" w:sz="1"/>
              <w:bottom w:val="single" w:color="CCCCCC" w:sz="1"/>
              <w:right w:val="single" w:color="CCCCCC" w:sz="1"/>
            </w:tcBorders>
            <w:shd w:fill="D4EDDA" w:val="clear"/>
          </w:tcPr>
          <w:p>
            <w:pPr>
              <w:spacing w:after="80" w:before="80"/>
              <w:jc w:val="center"/>
            </w:pPr>
            <w:r>
              <w:rPr>
                <w:b/>
                <w:bCs/>
                <w:sz w:val="18"/>
                <w:szCs w:val="18"/>
              </w:rPr>
              <w:t xml:space="preserve">POT</w:t>
            </w:r>
          </w:p>
        </w:tc>
      </w:tr>
      <w:tr>
        <w:tc>
          <w:tcPr>
            <w:tcW w:type="dxa" w:w="2500"/>
            <w:tcBorders>
              <w:top w:val="single" w:color="CCCCCC" w:sz="1"/>
              <w:left w:val="single" w:color="CCCCCC" w:sz="1"/>
              <w:bottom w:val="single" w:color="CCCCCC" w:sz="1"/>
              <w:right w:val="single" w:color="CCCCCC" w:sz="1"/>
            </w:tcBorders>
            <w:shd w:fill="FFFFFF" w:val="clear"/>
          </w:tcPr>
          <w:p>
            <w:pPr>
              <w:spacing w:after="80" w:before="80"/>
            </w:pPr>
            <w:r>
              <w:rPr>
                <w:b/>
                <w:bCs/>
                <w:sz w:val="20"/>
                <w:szCs w:val="20"/>
              </w:rPr>
              <w:t xml:space="preserve">Setup &amp; Onboarding</w:t>
            </w:r>
          </w:p>
        </w:tc>
        <w:tc>
          <w:tcPr>
            <w:tcW w:type="dxa" w:w="3000"/>
            <w:tcBorders>
              <w:top w:val="single" w:color="CCCCCC" w:sz="1"/>
              <w:left w:val="single" w:color="CCCCCC" w:sz="1"/>
              <w:bottom w:val="single" w:color="CCCCCC" w:sz="1"/>
              <w:right w:val="single" w:color="CCCCCC" w:sz="1"/>
            </w:tcBorders>
            <w:shd w:fill="FFFFFF" w:val="clear"/>
          </w:tcPr>
          <w:p>
            <w:pPr>
              <w:spacing w:after="80" w:before="80"/>
            </w:pPr>
            <w:r>
              <w:rPr>
                <w:sz w:val="20"/>
                <w:szCs w:val="20"/>
              </w:rPr>
              <w:t xml:space="preserve">Managed onboarding by Brella team</w:t>
            </w:r>
          </w:p>
        </w:tc>
        <w:tc>
          <w:tcPr>
            <w:tcW w:type="dxa" w:w="3000"/>
            <w:tcBorders>
              <w:top w:val="single" w:color="CCCCCC" w:sz="1"/>
              <w:left w:val="single" w:color="CCCCCC" w:sz="1"/>
              <w:bottom w:val="single" w:color="CCCCCC" w:sz="1"/>
              <w:right w:val="single" w:color="CCCCCC" w:sz="1"/>
            </w:tcBorders>
            <w:shd w:fill="FFFFFF" w:val="clear"/>
          </w:tcPr>
          <w:p>
            <w:pPr>
              <w:spacing w:after="80" w:before="80"/>
            </w:pPr>
            <w:r>
              <w:rPr>
                <w:sz w:val="20"/>
                <w:szCs w:val="20"/>
              </w:rPr>
              <w:t xml:space="preserve">Rapid deployment with seed data and enrichment pipeline</w:t>
            </w:r>
          </w:p>
        </w:tc>
        <w:tc>
          <w:tcPr>
            <w:tcW w:type="dxa" w:w="860"/>
            <w:tcBorders>
              <w:top w:val="single" w:color="CCCCCC" w:sz="1"/>
              <w:left w:val="single" w:color="CCCCCC" w:sz="1"/>
              <w:bottom w:val="single" w:color="CCCCCC" w:sz="1"/>
              <w:right w:val="single" w:color="CCCCCC" w:sz="1"/>
            </w:tcBorders>
            <w:shd w:fill="FFF3CD" w:val="clear"/>
          </w:tcPr>
          <w:p>
            <w:pPr>
              <w:spacing w:after="80" w:before="80"/>
              <w:jc w:val="center"/>
            </w:pPr>
            <w:r>
              <w:rPr>
                <w:b/>
                <w:bCs/>
                <w:sz w:val="18"/>
                <w:szCs w:val="18"/>
              </w:rPr>
              <w:t xml:space="preserve">Tie</w:t>
            </w:r>
          </w:p>
        </w:tc>
      </w:tr>
    </w:tbl>
    <w:p>
      <w:r>
        <w:t xml:space="preserve"/>
      </w:r>
    </w:p>
    <w:p>
      <w:pPr>
        <w:spacing w:after="120" w:before="80"/>
      </w:pPr>
      <w:r>
        <w:t xml:space="preserve">Summary: POT Matchmaker leads on intelligence depth, match quality, and vertical expertise. Brella leads on product completeness (native app, sponsor portal, integrations). The opportunity is clear: own the intelligence layer that Brella cannot replicate without rebuilding its core.</w:t>
      </w:r>
    </w:p>
    <w:p>
      <w:r>
        <w:t xml:space="preserve"/>
      </w:r>
    </w:p>
    <w:p>
      <w:r>
        <w:br w:type="page"/>
      </w:r>
    </w:p>
    <w:p>
      <w:pPr>
        <w:pStyle w:val="Heading1"/>
      </w:pPr>
      <w:r>
        <w:t xml:space="preserve">5. Positioning Strategy</w:t>
      </w:r>
    </w:p>
    <w:p>
      <w:pPr>
        <w:pStyle w:val="Heading2"/>
      </w:pPr>
      <w:r>
        <w:t xml:space="preserve">5.1 Core Positioning Statement</w:t>
      </w:r>
    </w:p>
    <w:p>
      <w:r>
        <w:t xml:space="preserve"/>
      </w:r>
    </w:p>
    <w:p>
      <w:pPr>
        <w:spacing w:after="160" w:before="160"/>
        <w:ind w:left="720" w:right="720"/>
      </w:pPr>
      <w:r>
        <w:rPr>
          <w:i/>
          <w:iCs/>
          <w:color w:val="1A1A2E"/>
          <w:sz w:val="26"/>
          <w:szCs w:val="26"/>
        </w:rPr>
        <w:t xml:space="preserve">"Brella helps everyone network. POT Matchmaker helps the right people close deals. For conferences where a single wrong introduction is a wasted day and a single right one is worth $50M, we don't offer networking — we offer intelligence."</w:t>
      </w:r>
    </w:p>
    <w:p>
      <w:r>
        <w:t xml:space="preserve"/>
      </w:r>
    </w:p>
    <w:p>
      <w:pPr>
        <w:pStyle w:val="Heading2"/>
      </w:pPr>
      <w:r>
        <w:t xml:space="preserve">5.2 Target Segment Clarity</w:t>
      </w:r>
    </w:p>
    <w:p>
      <w:pPr>
        <w:spacing w:after="120" w:before="80"/>
      </w:pPr>
      <w:r>
        <w:t xml:space="preserve">Brella targets every event organizer. POT Matchmaker targets a specific profile:</w:t>
      </w:r>
    </w:p>
    <w:p>
      <w:pPr>
        <w:pStyle w:val="ListParagraph"/>
        <w:numPr>
          <w:ilvl w:val="0"/>
          <w:numId w:val="4"/>
        </w:numPr>
        <w:spacing w:after="80"/>
      </w:pPr>
      <w:r>
        <w:t xml:space="preserve">Curated invitation-only events (100–2,500 attendees)</w:t>
      </w:r>
    </w:p>
    <w:p>
      <w:pPr>
        <w:pStyle w:val="ListParagraph"/>
        <w:numPr>
          <w:ilvl w:val="0"/>
          <w:numId w:val="4"/>
        </w:numPr>
        <w:spacing w:after="80"/>
      </w:pPr>
      <w:r>
        <w:t xml:space="preserve">Institutional finance, Web3, deep tech, and sovereign capital conferences</w:t>
      </w:r>
    </w:p>
    <w:p>
      <w:pPr>
        <w:pStyle w:val="ListParagraph"/>
        <w:numPr>
          <w:ilvl w:val="0"/>
          <w:numId w:val="4"/>
        </w:numPr>
        <w:spacing w:after="80"/>
      </w:pPr>
      <w:r>
        <w:t xml:space="preserve">Events where attendees are decision-makers with real capital allocation authority</w:t>
      </w:r>
    </w:p>
    <w:p>
      <w:pPr>
        <w:pStyle w:val="ListParagraph"/>
        <w:numPr>
          <w:ilvl w:val="0"/>
          <w:numId w:val="4"/>
        </w:numPr>
        <w:spacing w:after="80"/>
      </w:pPr>
      <w:r>
        <w:t xml:space="preserve">Organizers who compete on quality of connections — not volume of meetings</w:t>
      </w:r>
    </w:p>
    <w:p>
      <w:r>
        <w:t xml:space="preserve"/>
      </w:r>
    </w:p>
    <w:p>
      <w:pPr>
        <w:spacing w:after="120" w:before="80"/>
      </w:pPr>
      <w:r>
        <w:t xml:space="preserve">This is not a niche. It is the premium tier of the market — and it is underserved.</w:t>
      </w:r>
    </w:p>
    <w:p>
      <w:r>
        <w:t xml:space="preserve"/>
      </w:r>
    </w:p>
    <w:p>
      <w:pPr>
        <w:pStyle w:val="Heading2"/>
      </w:pPr>
      <w:r>
        <w:t xml:space="preserve">5.3 The Three Differentiation Pillars</w:t>
      </w:r>
    </w:p>
    <w:p>
      <w:r>
        <w:t xml:space="preserve"/>
      </w:r>
    </w:p>
    <w:p>
      <w:pPr>
        <w:pStyle w:val="Heading3"/>
      </w:pPr>
      <w:r>
        <w:t xml:space="preserve">Pillar 1: Intelligence over Discovery</w:t>
      </w:r>
    </w:p>
    <w:p>
      <w:pPr>
        <w:spacing w:after="120" w:before="80"/>
      </w:pPr>
      <w:r>
        <w:t xml:space="preserve">Brella discovers that two people share an interest in DeFi. POT Matchmaker determines that Amara (SWF, $200M mandate) and Marcus (custody infrastructure, Series B) represent a deal-ready custody partnership for sovereign fund tokenisation — and explains precisely why. The difference is not a feature gap. It is the difference between a search engine and an analyst.</w:t>
      </w:r>
    </w:p>
    <w:p>
      <w:r>
        <w:t xml:space="preserve"/>
      </w:r>
    </w:p>
    <w:p>
      <w:pPr>
        <w:pStyle w:val="Heading3"/>
      </w:pPr>
      <w:r>
        <w:t xml:space="preserve">Pillar 2: Enriched Profiles vs. Self-Reported Tags</w:t>
      </w:r>
    </w:p>
    <w:p>
      <w:pPr>
        <w:spacing w:after="120" w:before="80"/>
      </w:pPr>
      <w:r>
        <w:t xml:space="preserve">Brella's matching is only as good as what attendees remember to type in a registration form. POT Matchmaker runs a 5-source enrichment pipeline: registration form data, LinkedIn career trajectory, Twitter real-time positioning, company website intelligence, and Crunchbase deal history. The composite embedding captures the full picture. No other platform in this market does this at the profile level.</w:t>
      </w:r>
    </w:p>
    <w:p>
      <w:r>
        <w:t xml:space="preserve"/>
      </w:r>
    </w:p>
    <w:p>
      <w:pPr>
        <w:pStyle w:val="Heading3"/>
      </w:pPr>
      <w:r>
        <w:t xml:space="preserve">Pillar 3: Vertical Depth vs. Horizontal Scale</w:t>
      </w:r>
    </w:p>
    <w:p>
      <w:pPr>
        <w:spacing w:after="120" w:before="80"/>
      </w:pPr>
      <w:r>
        <w:t xml:space="preserve">Brella's strength is scale — thousands of events, all types, all sectors. Its weakness is the same. It cannot build deep domain expertise in Web3 compliance infrastructure, CBDC regulatory dynamics, or MiCA implementation timelines. POT Matchmaker is architected around these realities. The matching logic understands that James Whitfield (enterprise L2, compliance modules) and Sophie Bergmann (Bundesbank, MiCA) represent a non-obvious but highly strategic regulatory infrastructure partnership — a connection that no general-purpose tag-matching platform would surface.</w:t>
      </w:r>
    </w:p>
    <w:p>
      <w:r>
        <w:t xml:space="preserve"/>
      </w:r>
    </w:p>
    <w:p>
      <w:pPr>
        <w:pStyle w:val="Heading2"/>
      </w:pPr>
      <w:r>
        <w:t xml:space="preserve">5.4 Messaging Matrix by Audience</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60"/>
          <w:bottom w:type="dxa" w:w="100"/>
          <w:right w:type="dxa" w:w="160"/>
        </w:tblCellMar>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A1A2E" w:val="clear"/>
          </w:tcPr>
          <w:p>
            <w:r>
              <w:rPr>
                <w:b/>
                <w:bCs/>
                <w:color w:val="FFFFFF"/>
                <w:sz w:val="20"/>
                <w:szCs w:val="20"/>
              </w:rPr>
              <w:t xml:space="preserve">Audience</w:t>
            </w:r>
          </w:p>
        </w:tc>
        <w:tc>
          <w:tcPr>
            <w:tcW w:type="dxa" w:w="3680"/>
            <w:tcBorders>
              <w:top w:val="single" w:color="CCCCCC" w:sz="1"/>
              <w:left w:val="single" w:color="CCCCCC" w:sz="1"/>
              <w:bottom w:val="single" w:color="CCCCCC" w:sz="1"/>
              <w:right w:val="single" w:color="CCCCCC" w:sz="1"/>
            </w:tcBorders>
            <w:shd w:fill="1A1A2E" w:val="clear"/>
          </w:tcPr>
          <w:p>
            <w:r>
              <w:rPr>
                <w:b/>
                <w:bCs/>
                <w:color w:val="FFFFFF"/>
                <w:sz w:val="20"/>
                <w:szCs w:val="20"/>
              </w:rPr>
              <w:t xml:space="preserve">Primary Message</w:t>
            </w:r>
          </w:p>
        </w:tc>
        <w:tc>
          <w:tcPr>
            <w:tcW w:type="dxa" w:w="3680"/>
            <w:tcBorders>
              <w:top w:val="single" w:color="CCCCCC" w:sz="1"/>
              <w:left w:val="single" w:color="CCCCCC" w:sz="1"/>
              <w:bottom w:val="single" w:color="CCCCCC" w:sz="1"/>
              <w:right w:val="single" w:color="CCCCCC" w:sz="1"/>
            </w:tcBorders>
            <w:shd w:fill="1A1A2E" w:val="clear"/>
          </w:tcPr>
          <w:p>
            <w:r>
              <w:rPr>
                <w:b/>
                <w:bCs/>
                <w:color w:val="FFFFFF"/>
                <w:sz w:val="20"/>
                <w:szCs w:val="20"/>
              </w:rPr>
              <w:t xml:space="preserve">Proof Point</w:t>
            </w:r>
          </w:p>
        </w:tc>
      </w:tr>
      <w:tr>
        <w:tc>
          <w:tcPr>
            <w:tcW w:type="dxa" w:w="2000"/>
            <w:tcBorders>
              <w:top w:val="single" w:color="CCCCCC" w:sz="1"/>
              <w:left w:val="single" w:color="CCCCCC" w:sz="1"/>
              <w:bottom w:val="single" w:color="CCCCCC" w:sz="1"/>
              <w:right w:val="single" w:color="CCCCCC" w:sz="1"/>
            </w:tcBorders>
            <w:shd w:fill="E8F0FE" w:val="clear"/>
          </w:tcPr>
          <w:p>
            <w:r>
              <w:rPr>
                <w:b/>
                <w:bCs/>
                <w:sz w:val="20"/>
                <w:szCs w:val="20"/>
              </w:rPr>
              <w:t xml:space="preserve">Event Organiser</w:t>
            </w:r>
          </w:p>
        </w:tc>
        <w:tc>
          <w:tcPr>
            <w:tcW w:type="dxa" w:w="3680"/>
            <w:tcBorders>
              <w:top w:val="single" w:color="CCCCCC" w:sz="1"/>
              <w:left w:val="single" w:color="CCCCCC" w:sz="1"/>
              <w:bottom w:val="single" w:color="CCCCCC" w:sz="1"/>
              <w:right w:val="single" w:color="CCCCCC" w:sz="1"/>
            </w:tcBorders>
            <w:shd w:fill="FFFFFF" w:val="clear"/>
          </w:tcPr>
          <w:p>
            <w:r>
              <w:rPr>
                <w:sz w:val="20"/>
                <w:szCs w:val="20"/>
              </w:rPr>
              <w:t xml:space="preserve">Your NPS rises when attendees leave with deals in pipeline, not business cards. We engineer those outcomes.</w:t>
            </w:r>
          </w:p>
        </w:tc>
        <w:tc>
          <w:tcPr>
            <w:tcW w:type="dxa" w:w="3680"/>
            <w:tcBorders>
              <w:top w:val="single" w:color="CCCCCC" w:sz="1"/>
              <w:left w:val="single" w:color="CCCCCC" w:sz="1"/>
              <w:bottom w:val="single" w:color="CCCCCC" w:sz="1"/>
              <w:right w:val="single" w:color="CCCCCC" w:sz="1"/>
            </w:tcBorders>
            <w:shd w:fill="FFFFFF" w:val="clear"/>
          </w:tcPr>
          <w:p>
            <w:r>
              <w:rPr>
                <w:sz w:val="20"/>
                <w:szCs w:val="20"/>
              </w:rPr>
              <w:t xml:space="preserve">Demo matches between 5 POT seed profiles produce 7 non-obvious high-value connections with full LLM explanations.</w:t>
            </w:r>
          </w:p>
        </w:tc>
      </w:tr>
      <w:tr>
        <w:tc>
          <w:tcPr>
            <w:tcW w:type="dxa" w:w="2000"/>
            <w:tcBorders>
              <w:top w:val="single" w:color="CCCCCC" w:sz="1"/>
              <w:left w:val="single" w:color="CCCCCC" w:sz="1"/>
              <w:bottom w:val="single" w:color="CCCCCC" w:sz="1"/>
              <w:right w:val="single" w:color="CCCCCC" w:sz="1"/>
            </w:tcBorders>
            <w:shd w:fill="E8F0FE" w:val="clear"/>
          </w:tcPr>
          <w:p>
            <w:r>
              <w:rPr>
                <w:b/>
                <w:bCs/>
                <w:sz w:val="20"/>
                <w:szCs w:val="20"/>
              </w:rPr>
              <w:t xml:space="preserve">Investor Attendee</w:t>
            </w:r>
          </w:p>
        </w:tc>
        <w:tc>
          <w:tcPr>
            <w:tcW w:type="dxa" w:w="3680"/>
            <w:tcBorders>
              <w:top w:val="single" w:color="CCCCCC" w:sz="1"/>
              <w:left w:val="single" w:color="CCCCCC" w:sz="1"/>
              <w:bottom w:val="single" w:color="CCCCCC" w:sz="1"/>
              <w:right w:val="single" w:color="CCCCCC" w:sz="1"/>
            </w:tcBorders>
            <w:shd w:fill="FFFFFF" w:val="clear"/>
          </w:tcPr>
          <w:p>
            <w:r>
              <w:rPr>
                <w:sz w:val="20"/>
                <w:szCs w:val="20"/>
              </w:rPr>
              <w:t xml:space="preserve">We read your mandate, not your badge. Every recommended meeting is pre-filtered for thesis alignment and deal readiness.</w:t>
            </w:r>
          </w:p>
        </w:tc>
        <w:tc>
          <w:tcPr>
            <w:tcW w:type="dxa" w:w="3680"/>
            <w:tcBorders>
              <w:top w:val="single" w:color="CCCCCC" w:sz="1"/>
              <w:left w:val="single" w:color="CCCCCC" w:sz="1"/>
              <w:bottom w:val="single" w:color="CCCCCC" w:sz="1"/>
              <w:right w:val="single" w:color="CCCCCC" w:sz="1"/>
            </w:tcBorders>
            <w:shd w:fill="FFFFFF" w:val="clear"/>
          </w:tcPr>
          <w:p>
            <w:r>
              <w:rPr>
                <w:sz w:val="20"/>
                <w:szCs w:val="20"/>
              </w:rPr>
              <w:t xml:space="preserve">Amara/Marcus match: SWF custody mandate meets Series B custody infrastructure — surfaced without either party flagging it.</w:t>
            </w:r>
          </w:p>
        </w:tc>
      </w:tr>
      <w:tr>
        <w:tc>
          <w:tcPr>
            <w:tcW w:type="dxa" w:w="2000"/>
            <w:tcBorders>
              <w:top w:val="single" w:color="CCCCCC" w:sz="1"/>
              <w:left w:val="single" w:color="CCCCCC" w:sz="1"/>
              <w:bottom w:val="single" w:color="CCCCCC" w:sz="1"/>
              <w:right w:val="single" w:color="CCCCCC" w:sz="1"/>
            </w:tcBorders>
            <w:shd w:fill="E8F0FE" w:val="clear"/>
          </w:tcPr>
          <w:p>
            <w:r>
              <w:rPr>
                <w:b/>
                <w:bCs/>
                <w:sz w:val="20"/>
                <w:szCs w:val="20"/>
              </w:rPr>
              <w:t xml:space="preserve">Founder Attendee</w:t>
            </w:r>
          </w:p>
        </w:tc>
        <w:tc>
          <w:tcPr>
            <w:tcW w:type="dxa" w:w="3680"/>
            <w:tcBorders>
              <w:top w:val="single" w:color="CCCCCC" w:sz="1"/>
              <w:left w:val="single" w:color="CCCCCC" w:sz="1"/>
              <w:bottom w:val="single" w:color="CCCCCC" w:sz="1"/>
              <w:right w:val="single" w:color="CCCCCC" w:sz="1"/>
            </w:tcBorders>
            <w:shd w:fill="FFFFFF" w:val="clear"/>
          </w:tcPr>
          <w:p>
            <w:r>
              <w:rPr>
                <w:sz w:val="20"/>
                <w:szCs w:val="20"/>
              </w:rPr>
              <w:t xml:space="preserve">Stop pitching the room. We tell you exactly who to talk to, what they care about, and why you're the answer.</w:t>
            </w:r>
          </w:p>
        </w:tc>
        <w:tc>
          <w:tcPr>
            <w:tcW w:type="dxa" w:w="3680"/>
            <w:tcBorders>
              <w:top w:val="single" w:color="CCCCCC" w:sz="1"/>
              <w:left w:val="single" w:color="CCCCCC" w:sz="1"/>
              <w:bottom w:val="single" w:color="CCCCCC" w:sz="1"/>
              <w:right w:val="single" w:color="CCCCCC" w:sz="1"/>
            </w:tcBorders>
            <w:shd w:fill="FFFFFF" w:val="clear"/>
          </w:tcPr>
          <w:p>
            <w:r>
              <w:rPr>
                <w:sz w:val="20"/>
                <w:szCs w:val="20"/>
              </w:rPr>
              <w:t xml:space="preserve">Match explanation: 'James builds the compliance layer Elena's portfolio companies need to pass MiCA audit. First-mover window is Q3 2026.'</w:t>
            </w:r>
          </w:p>
        </w:tc>
      </w:tr>
      <w:tr>
        <w:tc>
          <w:tcPr>
            <w:tcW w:type="dxa" w:w="2000"/>
            <w:tcBorders>
              <w:top w:val="single" w:color="CCCCCC" w:sz="1"/>
              <w:left w:val="single" w:color="CCCCCC" w:sz="1"/>
              <w:bottom w:val="single" w:color="CCCCCC" w:sz="1"/>
              <w:right w:val="single" w:color="CCCCCC" w:sz="1"/>
            </w:tcBorders>
            <w:shd w:fill="E8F0FE" w:val="clear"/>
          </w:tcPr>
          <w:p>
            <w:r>
              <w:rPr>
                <w:b/>
                <w:bCs/>
                <w:sz w:val="20"/>
                <w:szCs w:val="20"/>
              </w:rPr>
              <w:t xml:space="preserve">Regulator Attendee</w:t>
            </w:r>
          </w:p>
        </w:tc>
        <w:tc>
          <w:tcPr>
            <w:tcW w:type="dxa" w:w="3680"/>
            <w:tcBorders>
              <w:top w:val="single" w:color="CCCCCC" w:sz="1"/>
              <w:left w:val="single" w:color="CCCCCC" w:sz="1"/>
              <w:bottom w:val="single" w:color="CCCCCC" w:sz="1"/>
              <w:right w:val="single" w:color="CCCCCC" w:sz="1"/>
            </w:tcBorders>
            <w:shd w:fill="FFFFFF" w:val="clear"/>
          </w:tcPr>
          <w:p>
            <w:r>
              <w:rPr>
                <w:sz w:val="20"/>
                <w:szCs w:val="20"/>
              </w:rPr>
              <w:t xml:space="preserve">We identify who is building inside your regulatory framework — not who claims to be.</w:t>
            </w:r>
          </w:p>
        </w:tc>
        <w:tc>
          <w:tcPr>
            <w:tcW w:type="dxa" w:w="3680"/>
            <w:tcBorders>
              <w:top w:val="single" w:color="CCCCCC" w:sz="1"/>
              <w:left w:val="single" w:color="CCCCCC" w:sz="1"/>
              <w:bottom w:val="single" w:color="CCCCCC" w:sz="1"/>
              <w:right w:val="single" w:color="CCCCCC" w:sz="1"/>
            </w:tcBorders>
            <w:shd w:fill="FFFFFF" w:val="clear"/>
          </w:tcPr>
          <w:p>
            <w:r>
              <w:rPr>
                <w:sz w:val="20"/>
                <w:szCs w:val="20"/>
              </w:rPr>
              <w:t xml:space="preserve">Sophie/James match: CBDC architect meets enterprise L2 compliance module builder — mutual dependency surfaced from enriched data.</w:t>
            </w:r>
          </w:p>
        </w:tc>
      </w:tr>
    </w:tbl>
    <w:p>
      <w:r>
        <w:t xml:space="preserve"/>
      </w:r>
    </w:p>
    <w:p>
      <w:r>
        <w:br w:type="page"/>
      </w:r>
    </w:p>
    <w:p>
      <w:pPr>
        <w:pStyle w:val="Heading1"/>
      </w:pPr>
      <w:r>
        <w:t xml:space="preserve">6. Competitive Moat &amp; Defensibility</w:t>
      </w:r>
    </w:p>
    <w:p>
      <w:pPr>
        <w:pStyle w:val="Heading2"/>
      </w:pPr>
      <w:r>
        <w:t xml:space="preserve">6.1 Short-Term Moat (Launch to 12 months)</w:t>
      </w:r>
    </w:p>
    <w:p>
      <w:pPr>
        <w:pStyle w:val="ListParagraph"/>
        <w:numPr>
          <w:ilvl w:val="0"/>
          <w:numId w:val="5"/>
        </w:numPr>
        <w:spacing w:after="80"/>
      </w:pPr>
      <w:r>
        <w:t xml:space="preserve">Vertical specificity: no general-purpose platform can credibly claim Web3 + institutional finance domain depth without rebuilding their matching logic from the ground up</w:t>
      </w:r>
    </w:p>
    <w:p>
      <w:pPr>
        <w:pStyle w:val="ListParagraph"/>
        <w:numPr>
          <w:ilvl w:val="0"/>
          <w:numId w:val="5"/>
        </w:numPr>
        <w:spacing w:after="80"/>
      </w:pPr>
      <w:r>
        <w:t xml:space="preserve">Enrichment pipeline: a 5-source async enrichment system with pgvector storage and composite embeddings is a significant build — not a feature a team adds in a sprint</w:t>
      </w:r>
    </w:p>
    <w:p>
      <w:pPr>
        <w:pStyle w:val="ListParagraph"/>
        <w:numPr>
          <w:ilvl w:val="0"/>
          <w:numId w:val="5"/>
        </w:numPr>
        <w:spacing w:after="80"/>
      </w:pPr>
      <w:r>
        <w:t xml:space="preserve">LLM explanation layer: Brella's architecture does not have a reasoning layer. Adding one requires rethinking how matches are presented to users, not just adding an API call</w:t>
      </w:r>
    </w:p>
    <w:p>
      <w:pPr>
        <w:pStyle w:val="ListParagraph"/>
        <w:numPr>
          <w:ilvl w:val="0"/>
          <w:numId w:val="5"/>
        </w:numPr>
        <w:spacing w:after="80"/>
      </w:pPr>
      <w:r>
        <w:t xml:space="preserve">POT brand access: exclusive integration with Proof of Talk 2026 gives POT Matchmaker a live 2,500-attendee dataset at launch — a moat Brella cannot buy</w:t>
      </w:r>
    </w:p>
    <w:p>
      <w:r>
        <w:t xml:space="preserve"/>
      </w:r>
    </w:p>
    <w:p>
      <w:pPr>
        <w:pStyle w:val="Heading2"/>
      </w:pPr>
      <w:r>
        <w:t xml:space="preserve">6.2 Medium-Term Moat (12–36 months)</w:t>
      </w:r>
    </w:p>
    <w:p>
      <w:pPr>
        <w:pStyle w:val="ListParagraph"/>
        <w:numPr>
          <w:ilvl w:val="0"/>
          <w:numId w:val="6"/>
        </w:numPr>
        <w:spacing w:after="80"/>
      </w:pPr>
      <w:r>
        <w:t xml:space="preserve">Persistent attendee graph: as the platform accumulates cross-event relationship history, the matching intelligence compounds. Brella's siloed model cannot catch up without a rebuild</w:t>
      </w:r>
    </w:p>
    <w:p>
      <w:pPr>
        <w:pStyle w:val="ListParagraph"/>
        <w:numPr>
          <w:ilvl w:val="0"/>
          <w:numId w:val="6"/>
        </w:numPr>
        <w:spacing w:after="80"/>
      </w:pPr>
      <w:r>
        <w:t xml:space="preserve">Deal outcome tracking: if POT Matchmaker can tie introductions to closed deals (even self-reported), it builds an ROI feedback loop that trains the model and validates pricing</w:t>
      </w:r>
    </w:p>
    <w:p>
      <w:pPr>
        <w:pStyle w:val="ListParagraph"/>
        <w:numPr>
          <w:ilvl w:val="0"/>
          <w:numId w:val="6"/>
        </w:numPr>
        <w:spacing w:after="80"/>
      </w:pPr>
      <w:r>
        <w:t xml:space="preserve">Regulatory intelligence layer: as MiCA, CBDC frameworks, and tokenised asset regulations evolve, a matchmaker that tracks regulatory context has structural advantage in this segment</w:t>
      </w:r>
    </w:p>
    <w:p>
      <w:r>
        <w:t xml:space="preserve"/>
      </w:r>
    </w:p>
    <w:p>
      <w:pPr>
        <w:pStyle w:val="Heading2"/>
      </w:pPr>
      <w:r>
        <w:t xml:space="preserve">6.3 The Achilles Heel to Watch</w:t>
      </w:r>
    </w:p>
    <w:p>
      <w:pPr>
        <w:spacing w:after="120" w:before="80"/>
      </w:pPr>
      <w:r>
        <w:t xml:space="preserve">Brella's key strategic move to neutralise POT would be: acquiring an enrichment API provider (like Proxycurl or a Crunchbase competitor) and adding an LLM explanation layer on top of their existing match engine. This would close the intelligence gap within 18 months if executed. The counter-strategy is to move fast on the persistent identity layer and deal outcome tracking — both of which require time-in-market, not just engineering.</w:t>
      </w:r>
    </w:p>
    <w:p>
      <w:r>
        <w:t xml:space="preserve"/>
      </w:r>
    </w:p>
    <w:p>
      <w:pPr>
        <w:pStyle w:val="Heading1"/>
      </w:pPr>
      <w:r>
        <w:t xml:space="preserve">7. Go-to-Market Recommendations</w:t>
      </w:r>
    </w:p>
    <w:p>
      <w:pPr>
        <w:pStyle w:val="Heading2"/>
      </w:pPr>
      <w:r>
        <w:t xml:space="preserve">7.1 Immediate Actions</w:t>
      </w:r>
    </w:p>
    <w:p>
      <w:pPr>
        <w:pStyle w:val="ListParagraph"/>
        <w:numPr>
          <w:ilvl w:val="0"/>
          <w:numId w:val="7"/>
        </w:numPr>
        <w:spacing w:after="80"/>
      </w:pPr>
      <w:r>
        <w:t xml:space="preserve">Lead every organiser pitch with the demo match set: Amara/Marcus, James/Sophie, Elena/Amara. These are better talking points than any slide</w:t>
      </w:r>
    </w:p>
    <w:p>
      <w:pPr>
        <w:pStyle w:val="ListParagraph"/>
        <w:numPr>
          <w:ilvl w:val="0"/>
          <w:numId w:val="7"/>
        </w:numPr>
        <w:spacing w:after="80"/>
      </w:pPr>
      <w:r>
        <w:t xml:space="preserve">Publish a one-page 'Why POT vs Brella' comparison on the product site — capture comparison search intent before Brella does</w:t>
      </w:r>
    </w:p>
    <w:p>
      <w:pPr>
        <w:pStyle w:val="ListParagraph"/>
        <w:numPr>
          <w:ilvl w:val="0"/>
          <w:numId w:val="7"/>
        </w:numPr>
        <w:spacing w:after="80"/>
      </w:pPr>
      <w:r>
        <w:t xml:space="preserve">Film a 3-minute demo video showing the enrichment pipeline feeding a match explanation — this is the product's WOW moment and no competitor can replicate it yet</w:t>
      </w:r>
    </w:p>
    <w:p>
      <w:pPr>
        <w:pStyle w:val="ListParagraph"/>
        <w:numPr>
          <w:ilvl w:val="0"/>
          <w:numId w:val="7"/>
        </w:numPr>
        <w:spacing w:after="80"/>
      </w:pPr>
      <w:r>
        <w:t xml:space="preserve">Target Brella's pricing opacity: offer transparent outcome-based pricing (per verified match request, or per event) to signal confidence in results</w:t>
      </w:r>
    </w:p>
    <w:p>
      <w:r>
        <w:t xml:space="preserve"/>
      </w:r>
    </w:p>
    <w:p>
      <w:pPr>
        <w:pStyle w:val="Heading2"/>
      </w:pPr>
      <w:r>
        <w:t xml:space="preserve">7.2 Positioning in Sales Conversations</w:t>
      </w:r>
    </w:p>
    <w:p>
      <w:pPr>
        <w:spacing w:after="120" w:before="80"/>
      </w:pPr>
      <w:r>
        <w:t xml:space="preserve">When Brella comes up in a competitive sales conversation, the framing is:</w:t>
      </w:r>
    </w:p>
    <w:p>
      <w:r>
        <w:t xml:space="preserve"/>
      </w:r>
    </w:p>
    <w:p>
      <w:pPr>
        <w:spacing w:after="120" w:before="120"/>
        <w:ind w:left="720" w:right="720"/>
      </w:pPr>
      <w:r>
        <w:rPr>
          <w:i/>
          <w:iCs/>
          <w:color w:val="2C3E7A"/>
          <w:sz w:val="22"/>
          <w:szCs w:val="22"/>
        </w:rPr>
        <w:t xml:space="preserve">"Brella is excellent for events where the goal is volume networking. If you're running a conference where an investment partner from a sovereign wealth fund should be in the same room as the right Series B infrastructure company — and you need to engineer that specific meeting before day one — you need a different tool. We built that tool."</w:t>
      </w:r>
    </w:p>
    <w:p>
      <w:r>
        <w:t xml:space="preserve"/>
      </w:r>
    </w:p>
    <w:p>
      <w:pPr>
        <w:pStyle w:val="Heading2"/>
      </w:pPr>
      <w:r>
        <w:t xml:space="preserve">7.3 Metrics to Track &amp; Publish</w:t>
      </w:r>
    </w:p>
    <w:p>
      <w:pPr>
        <w:spacing w:after="120" w:before="80"/>
      </w:pPr>
      <w:r>
        <w:t xml:space="preserve">The following metrics will be the most persuasive proof points against Brella's vague ROI claims:</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60"/>
          <w:bottom w:type="dxa" w:w="100"/>
          <w:right w:type="dxa" w:w="16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1A2E" w:val="clear"/>
          </w:tcPr>
          <w:p>
            <w:r>
              <w:rPr>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A1A2E" w:val="clear"/>
          </w:tcPr>
          <w:p>
            <w:r>
              <w:rPr>
                <w:b/>
                <w:bCs/>
                <w:color w:val="FFFFFF"/>
                <w:sz w:val="20"/>
                <w:szCs w:val="20"/>
              </w:rPr>
              <w:t xml:space="preserve">Why It Matters</w:t>
            </w:r>
          </w:p>
        </w:tc>
        <w:tc>
          <w:tcPr>
            <w:tcW w:type="dxa" w:w="3120"/>
            <w:tcBorders>
              <w:top w:val="single" w:color="CCCCCC" w:sz="1"/>
              <w:left w:val="single" w:color="CCCCCC" w:sz="1"/>
              <w:bottom w:val="single" w:color="CCCCCC" w:sz="1"/>
              <w:right w:val="single" w:color="CCCCCC" w:sz="1"/>
            </w:tcBorders>
            <w:shd w:fill="1A1A2E" w:val="clear"/>
          </w:tcPr>
          <w:p>
            <w:r>
              <w:rPr>
                <w:b/>
                <w:bCs/>
                <w:color w:val="FFFFFF"/>
                <w:sz w:val="20"/>
                <w:szCs w:val="20"/>
              </w:rPr>
              <w:t xml:space="preserve">Target (POT 2026)</w:t>
            </w:r>
          </w:p>
        </w:tc>
      </w:tr>
      <w:tr>
        <w:tc>
          <w:tcPr>
            <w:tcW w:type="dxa" w:w="3120"/>
            <w:tcBorders>
              <w:top w:val="single" w:color="CCCCCC" w:sz="1"/>
              <w:left w:val="single" w:color="CCCCCC" w:sz="1"/>
              <w:bottom w:val="single" w:color="CCCCCC" w:sz="1"/>
              <w:right w:val="single" w:color="CCCCCC" w:sz="1"/>
            </w:tcBorders>
            <w:shd w:fill="FFFFFF" w:val="clear"/>
          </w:tcPr>
          <w:p>
            <w:r>
              <w:rPr>
                <w:sz w:val="20"/>
                <w:szCs w:val="20"/>
              </w:rPr>
              <w:t xml:space="preserve">Match acceptance rate</w:t>
            </w:r>
          </w:p>
        </w:tc>
        <w:tc>
          <w:tcPr>
            <w:tcW w:type="dxa" w:w="3120"/>
            <w:tcBorders>
              <w:top w:val="single" w:color="CCCCCC" w:sz="1"/>
              <w:left w:val="single" w:color="CCCCCC" w:sz="1"/>
              <w:bottom w:val="single" w:color="CCCCCC" w:sz="1"/>
              <w:right w:val="single" w:color="CCCCCC" w:sz="1"/>
            </w:tcBorders>
            <w:shd w:fill="FFFFFF" w:val="clear"/>
          </w:tcPr>
          <w:p>
            <w:r>
              <w:rPr>
                <w:sz w:val="20"/>
                <w:szCs w:val="20"/>
              </w:rPr>
              <w:t xml:space="preserve">Proxy for match relevance — Brella never publishes this</w:t>
            </w:r>
          </w:p>
        </w:tc>
        <w:tc>
          <w:tcPr>
            <w:tcW w:type="dxa" w:w="3120"/>
            <w:tcBorders>
              <w:top w:val="single" w:color="CCCCCC" w:sz="1"/>
              <w:left w:val="single" w:color="CCCCCC" w:sz="1"/>
              <w:bottom w:val="single" w:color="CCCCCC" w:sz="1"/>
              <w:right w:val="single" w:color="CCCCCC" w:sz="1"/>
            </w:tcBorders>
            <w:shd w:fill="D4EDDA" w:val="clear"/>
          </w:tcPr>
          <w:p>
            <w:r>
              <w:rPr>
                <w:b/>
                <w:bCs/>
                <w:sz w:val="20"/>
                <w:szCs w:val="20"/>
              </w:rPr>
              <w:t xml:space="preserve">&gt;60%</w:t>
            </w:r>
          </w:p>
        </w:tc>
      </w:tr>
      <w:tr>
        <w:tc>
          <w:tcPr>
            <w:tcW w:type="dxa" w:w="3120"/>
            <w:tcBorders>
              <w:top w:val="single" w:color="CCCCCC" w:sz="1"/>
              <w:left w:val="single" w:color="CCCCCC" w:sz="1"/>
              <w:bottom w:val="single" w:color="CCCCCC" w:sz="1"/>
              <w:right w:val="single" w:color="CCCCCC" w:sz="1"/>
            </w:tcBorders>
            <w:shd w:fill="F8F9FA" w:val="clear"/>
          </w:tcPr>
          <w:p>
            <w:r>
              <w:rPr>
                <w:sz w:val="20"/>
                <w:szCs w:val="20"/>
              </w:rPr>
              <w:t xml:space="preserve">% matches from non-obvious connections</w:t>
            </w:r>
          </w:p>
        </w:tc>
        <w:tc>
          <w:tcPr>
            <w:tcW w:type="dxa" w:w="3120"/>
            <w:tcBorders>
              <w:top w:val="single" w:color="CCCCCC" w:sz="1"/>
              <w:left w:val="single" w:color="CCCCCC" w:sz="1"/>
              <w:bottom w:val="single" w:color="CCCCCC" w:sz="1"/>
              <w:right w:val="single" w:color="CCCCCC" w:sz="1"/>
            </w:tcBorders>
            <w:shd w:fill="F8F9FA" w:val="clear"/>
          </w:tcPr>
          <w:p>
            <w:r>
              <w:rPr>
                <w:sz w:val="20"/>
                <w:szCs w:val="20"/>
              </w:rPr>
              <w:t xml:space="preserve">Proves LLM reasoning adds value beyond tag-matching</w:t>
            </w:r>
          </w:p>
        </w:tc>
        <w:tc>
          <w:tcPr>
            <w:tcW w:type="dxa" w:w="3120"/>
            <w:tcBorders>
              <w:top w:val="single" w:color="CCCCCC" w:sz="1"/>
              <w:left w:val="single" w:color="CCCCCC" w:sz="1"/>
              <w:bottom w:val="single" w:color="CCCCCC" w:sz="1"/>
              <w:right w:val="single" w:color="CCCCCC" w:sz="1"/>
            </w:tcBorders>
            <w:shd w:fill="D4EDDA" w:val="clear"/>
          </w:tcPr>
          <w:p>
            <w:r>
              <w:rPr>
                <w:b/>
                <w:bCs/>
                <w:sz w:val="20"/>
                <w:szCs w:val="20"/>
              </w:rPr>
              <w:t xml:space="preserve">&gt;40%</w:t>
            </w:r>
          </w:p>
        </w:tc>
      </w:tr>
      <w:tr>
        <w:tc>
          <w:tcPr>
            <w:tcW w:type="dxa" w:w="3120"/>
            <w:tcBorders>
              <w:top w:val="single" w:color="CCCCCC" w:sz="1"/>
              <w:left w:val="single" w:color="CCCCCC" w:sz="1"/>
              <w:bottom w:val="single" w:color="CCCCCC" w:sz="1"/>
              <w:right w:val="single" w:color="CCCCCC" w:sz="1"/>
            </w:tcBorders>
            <w:shd w:fill="FFFFFF" w:val="clear"/>
          </w:tcPr>
          <w:p>
            <w:r>
              <w:rPr>
                <w:sz w:val="20"/>
                <w:szCs w:val="20"/>
              </w:rPr>
              <w:t xml:space="preserve">Attendee profile enrichment coverage</w:t>
            </w:r>
          </w:p>
        </w:tc>
        <w:tc>
          <w:tcPr>
            <w:tcW w:type="dxa" w:w="3120"/>
            <w:tcBorders>
              <w:top w:val="single" w:color="CCCCCC" w:sz="1"/>
              <w:left w:val="single" w:color="CCCCCC" w:sz="1"/>
              <w:bottom w:val="single" w:color="CCCCCC" w:sz="1"/>
              <w:right w:val="single" w:color="CCCCCC" w:sz="1"/>
            </w:tcBorders>
            <w:shd w:fill="FFFFFF" w:val="clear"/>
          </w:tcPr>
          <w:p>
            <w:r>
              <w:rPr>
                <w:sz w:val="20"/>
                <w:szCs w:val="20"/>
              </w:rPr>
              <w:t xml:space="preserve">Demonstrates enrichment pipeline reliability</w:t>
            </w:r>
          </w:p>
        </w:tc>
        <w:tc>
          <w:tcPr>
            <w:tcW w:type="dxa" w:w="3120"/>
            <w:tcBorders>
              <w:top w:val="single" w:color="CCCCCC" w:sz="1"/>
              <w:left w:val="single" w:color="CCCCCC" w:sz="1"/>
              <w:bottom w:val="single" w:color="CCCCCC" w:sz="1"/>
              <w:right w:val="single" w:color="CCCCCC" w:sz="1"/>
            </w:tcBorders>
            <w:shd w:fill="D4EDDA" w:val="clear"/>
          </w:tcPr>
          <w:p>
            <w:r>
              <w:rPr>
                <w:b/>
                <w:bCs/>
                <w:sz w:val="20"/>
                <w:szCs w:val="20"/>
              </w:rPr>
              <w:t xml:space="preserve">&gt;80%</w:t>
            </w:r>
          </w:p>
        </w:tc>
      </w:tr>
      <w:tr>
        <w:tc>
          <w:tcPr>
            <w:tcW w:type="dxa" w:w="3120"/>
            <w:tcBorders>
              <w:top w:val="single" w:color="CCCCCC" w:sz="1"/>
              <w:left w:val="single" w:color="CCCCCC" w:sz="1"/>
              <w:bottom w:val="single" w:color="CCCCCC" w:sz="1"/>
              <w:right w:val="single" w:color="CCCCCC" w:sz="1"/>
            </w:tcBorders>
            <w:shd w:fill="F8F9FA" w:val="clear"/>
          </w:tcPr>
          <w:p>
            <w:r>
              <w:rPr>
                <w:sz w:val="20"/>
                <w:szCs w:val="20"/>
              </w:rPr>
              <w:t xml:space="preserve">Organiser NPS vs previous event</w:t>
            </w:r>
          </w:p>
        </w:tc>
        <w:tc>
          <w:tcPr>
            <w:tcW w:type="dxa" w:w="3120"/>
            <w:tcBorders>
              <w:top w:val="single" w:color="CCCCCC" w:sz="1"/>
              <w:left w:val="single" w:color="CCCCCC" w:sz="1"/>
              <w:bottom w:val="single" w:color="CCCCCC" w:sz="1"/>
              <w:right w:val="single" w:color="CCCCCC" w:sz="1"/>
            </w:tcBorders>
            <w:shd w:fill="F8F9FA" w:val="clear"/>
          </w:tcPr>
          <w:p>
            <w:r>
              <w:rPr>
                <w:sz w:val="20"/>
                <w:szCs w:val="20"/>
              </w:rPr>
              <w:t xml:space="preserve">Ties matchmaking quality to overall event satisfaction</w:t>
            </w:r>
          </w:p>
        </w:tc>
        <w:tc>
          <w:tcPr>
            <w:tcW w:type="dxa" w:w="3120"/>
            <w:tcBorders>
              <w:top w:val="single" w:color="CCCCCC" w:sz="1"/>
              <w:left w:val="single" w:color="CCCCCC" w:sz="1"/>
              <w:bottom w:val="single" w:color="CCCCCC" w:sz="1"/>
              <w:right w:val="single" w:color="CCCCCC" w:sz="1"/>
            </w:tcBorders>
            <w:shd w:fill="D4EDDA" w:val="clear"/>
          </w:tcPr>
          <w:p>
            <w:r>
              <w:rPr>
                <w:b/>
                <w:bCs/>
                <w:sz w:val="20"/>
                <w:szCs w:val="20"/>
              </w:rPr>
              <w:t xml:space="preserve">+20 pts lift</w:t>
            </w:r>
          </w:p>
        </w:tc>
      </w:tr>
    </w:tbl>
    <w:p>
      <w:r>
        <w:t xml:space="preserve"/>
      </w:r>
    </w:p>
    <w:p>
      <w:r>
        <w:br w:type="page"/>
      </w:r>
    </w:p>
    <w:p>
      <w:pPr>
        <w:pStyle w:val="Heading1"/>
      </w:pPr>
      <w:r>
        <w:t xml:space="preserve">8. Conclusion</w:t>
      </w:r>
    </w:p>
    <w:p>
      <w:pPr>
        <w:spacing w:after="120" w:before="80"/>
      </w:pPr>
      <w:r>
        <w:t xml:space="preserve">Brella is a mature, well-executed platform with a strong general-purpose offering. But maturity in a horizontal market creates blindspots — and Brella's blindspot is exactly where POT Matchmaker is built to win.</w:t>
      </w:r>
    </w:p>
    <w:p>
      <w:r>
        <w:t xml:space="preserve"/>
      </w:r>
    </w:p>
    <w:p>
      <w:pPr>
        <w:spacing w:after="120" w:before="80"/>
      </w:pPr>
      <w:r>
        <w:t xml:space="preserve">The gap is not about features. A native app and a sponsor portal can be shipped. The gap is about intelligence architecture: enriched profiles, LLM-powered reasoning, complementarity scoring, and deal-readiness signals are not features you bolt on to a tag-matching engine. They require a different model of what matchmaking means.</w:t>
      </w:r>
    </w:p>
    <w:p>
      <w:r>
        <w:t xml:space="preserve"/>
      </w:r>
    </w:p>
    <w:p>
      <w:pPr>
        <w:spacing w:after="120" w:before="80"/>
      </w:pPr>
      <w:r>
        <w:t xml:space="preserve">POT Matchmaker's thesis is that at elite conferences — where every attendee is a decision-maker and every introduction has capital implications — the right product is not a networking app with a good UI. It is an analyst with a good API.</w:t>
      </w:r>
    </w:p>
    <w:p>
      <w:r>
        <w:t xml:space="preserve"/>
      </w:r>
    </w:p>
    <w:p>
      <w:pPr>
        <w:spacing w:after="120" w:before="80"/>
      </w:pPr>
      <w:r>
        <w:t xml:space="preserve">Brella built the best event app. POT Matchmaker is building the best deal engine.</w:t>
      </w:r>
    </w:p>
    <w:p>
      <w:r>
        <w:t xml:space="preserve"/>
      </w:r>
    </w:p>
    <w:p>
      <w:r>
        <w:t xml:space="preserve"/>
      </w:r>
    </w:p>
    <w:p>
      <w:pPr>
        <w:spacing w:after="200" w:before="200"/>
        <w:jc w:val="center"/>
      </w:pPr>
      <w:r>
        <w:rPr>
          <w:i/>
          <w:iCs/>
          <w:color w:val="888888"/>
          <w:sz w:val="20"/>
          <w:szCs w:val="20"/>
        </w:rPr>
        <w:t xml:space="preserve">— End of Report —</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CONFIDENTIAL — POT Matchmaker Competitive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Arial" w:cs="Arial" w:eastAsia="Arial" w:hAnsi="Arial"/>
      <w:b/>
      <w:bCs/>
      <w:color w:val="1A1A2E"/>
      <w:sz w:val="64"/>
      <w:szCs w:val="64"/>
    </w:rPr>
  </w:style>
  <w:style w:type="paragraph" w:styleId="Heading1">
    <w:name w:val="Heading 1"/>
    <w:basedOn w:val="Normal"/>
    <w:next w:val="Normal"/>
    <w:qFormat/>
    <w:pPr>
      <w:pBdr>
        <w:bottom w:val="single" w:color="4A90D9" w:sz="2"/>
      </w:pBdr>
      <w:spacing w:after="16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C3E7A"/>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2026-03-10T11:43:16.958Z</dcterms:created>
  <dcterms:modified xsi:type="dcterms:W3CDTF">2026-03-10T11:43:16.959Z</dcterms:modified>
</cp:coreProperties>
</file>

<file path=docProps/custom.xml><?xml version="1.0" encoding="utf-8"?>
<Properties xmlns="http://schemas.openxmlformats.org/officeDocument/2006/custom-properties" xmlns:vt="http://schemas.openxmlformats.org/officeDocument/2006/docPropsVTypes"/>
</file>