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f938577eb872cdcfeb8c5f172e91452764d5a5d"/>
    <w:p>
      <w:pPr>
        <w:pStyle w:val="Heading1"/>
      </w:pPr>
      <w:r>
        <w:t xml:space="preserve">Artificial Intelligence-Powered Diagnostic Tools for Healthcare Transformation in Sub-Saharan Africa: A Comprehensive Analysis of Tuberculosis, Skin Cancer, and Drug Discovery Applications</w:t>
      </w:r>
    </w:p>
    <w:p>
      <w:pPr>
        <w:pStyle w:val="FirstParagraph"/>
      </w:pPr>
      <w:r>
        <w:rPr>
          <w:b/>
          <w:bCs/>
        </w:rPr>
        <w:t xml:space="preserve">Authors:</w:t>
      </w:r>
      <w:r>
        <w:t xml:space="preserve"> </w:t>
      </w:r>
      <w:r>
        <w:t xml:space="preserve">Medical AI Project Research Team</w:t>
      </w:r>
      <w:r>
        <w:t xml:space="preserve"> </w:t>
      </w:r>
      <w:r>
        <w:rPr>
          <w:b/>
          <w:bCs/>
        </w:rPr>
        <w:t xml:space="preserve">Date:</w:t>
      </w:r>
      <w:r>
        <w:t xml:space="preserve"> </w:t>
      </w:r>
      <w:r>
        <w:t xml:space="preserve">January 2026</w:t>
      </w:r>
      <w:r>
        <w:t xml:space="preserve"> </w:t>
      </w:r>
      <w:r>
        <w:rPr>
          <w:b/>
          <w:bCs/>
        </w:rPr>
        <w:t xml:space="preserve">Status:</w:t>
      </w:r>
      <w:r>
        <w:t xml:space="preserve"> </w:t>
      </w:r>
      <w:r>
        <w:t xml:space="preserve">Prepared for Peer Review</w:t>
      </w:r>
    </w:p>
    <w:p>
      <w:r>
        <w:pict>
          <v:rect style="width:0;height:1.5pt" o:hralign="center" o:hrstd="t" o:hr="t"/>
        </w:pict>
      </w:r>
    </w:p>
    <w:bookmarkStart w:id="9" w:name="abstract"/>
    <w:p>
      <w:pPr>
        <w:pStyle w:val="Heading2"/>
      </w:pPr>
      <w:r>
        <w:t xml:space="preserve">Abstract</w:t>
      </w:r>
    </w:p>
    <w:p>
      <w:pPr>
        <w:pStyle w:val="FirstParagraph"/>
      </w:pPr>
      <w:r>
        <w:t xml:space="preserve">Sub-Saharan Africa faces an unprecedented healthcare crisis characterized by severe workforce shortages, inadequate diagnostic infrastructure, and disproportionate disease burden. This paper examines the transformative potential of three artificial intelligence diagnostic systems—chest X-ray classification for tuberculosis detection, skin lesion analysis for melanoma screening, and graph neural networks for drug discovery—in addressing these critical gaps. We present evidence demonstrating that AI-powered diagnostics can substantially improve case detection rates, reduce diagnostic delays, and expand healthcare access to underserved populations. Our analysis reveals that the African region has achieved a 46% reduction in tuberculosis deaths between 2015-2024, the steepest decline globally, with AI-assisted screening contributing to detection rates 2-3 times higher than symptom-based approaches. However, significant challenges remain, including algorithmic bias affecting darker skin tones (Fitzpatrick V-VI) where AI sensitivity drops from 69% to 23% without proper training data representation. We propose implementation strategies leveraging Africa’s exceptional mobile infrastructure—615 million subscribers and 66.2 million M-PESA customers—to deploy AI diagnostics at scale. This comprehensive review synthesizes epidemiological data, clinical implementation evidence, and health system analyses to provide a roadmap for responsible AI deployment that could save an estimated 200,000+ lives annually by 2035.</w:t>
      </w:r>
    </w:p>
    <w:p>
      <w:pPr>
        <w:pStyle w:val="BodyText"/>
      </w:pPr>
      <w:r>
        <w:rPr>
          <w:b/>
          <w:bCs/>
        </w:rPr>
        <w:t xml:space="preserve">Keywords:</w:t>
      </w:r>
      <w:r>
        <w:t xml:space="preserve"> </w:t>
      </w:r>
      <w:r>
        <w:t xml:space="preserve">Artificial intelligence, tuberculosis, melanoma, drug discovery, Sub-Saharan Africa, healthcare workforce, mobile health, diagnostic disparities</w:t>
      </w:r>
    </w:p>
    <w:p>
      <w:r>
        <w:pict>
          <v:rect style="width:0;height:1.5pt" o:hralign="center" o:hrstd="t" o:hr="t"/>
        </w:pict>
      </w:r>
    </w:p>
    <w:bookmarkEnd w:id="9"/>
    <w:bookmarkStart w:id="12" w:name="introduction"/>
    <w:p>
      <w:pPr>
        <w:pStyle w:val="Heading2"/>
      </w:pPr>
      <w:r>
        <w:t xml:space="preserve">1. Introduction</w:t>
      </w:r>
    </w:p>
    <w:bookmarkStart w:id="10" w:name="Xf023287254b666ebf2068602afe54f5cc7ec140"/>
    <w:p>
      <w:pPr>
        <w:pStyle w:val="Heading3"/>
      </w:pPr>
      <w:r>
        <w:t xml:space="preserve">1.1 The Healthcare Crisis in Sub-Saharan Africa</w:t>
      </w:r>
    </w:p>
    <w:p>
      <w:pPr>
        <w:pStyle w:val="FirstParagraph"/>
      </w:pPr>
      <w:r>
        <w:t xml:space="preserve">Sub-Saharan Africa confronts a healthcare crisis of extraordinary magnitude, characterized by the simultaneous burden of infectious diseases, emerging non-communicable conditions, and profound healthcare system limitations. The region carries 24% of the global disease burden while possessing only 3% of the world’s healthcare workforce (WHO AFRO, 2018). This disparity manifests in preventable deaths, delayed diagnoses, and limited access to specialized care for the continent’s 1.4 billion inhabitants.</w:t>
      </w:r>
    </w:p>
    <w:p>
      <w:pPr>
        <w:pStyle w:val="BodyText"/>
      </w:pPr>
      <w:r>
        <w:t xml:space="preserve">The healthcare workforce shortage represents perhaps the most fundamental constraint on health system capacity. The World Health Organization recommends a minimum density of 4.45 health workers per 1,000 population to achieve universal health coverage; Sub-Saharan Africa maintains only 1.55 per 1,000—approximately one-third of the recommended threshold (WHO AFRO, 2018). By 2030, the projected shortage will reach 6.1 million health workers, constituting 52% of the anticipated global deficit (WHO, 2024).</w:t>
      </w:r>
    </w:p>
    <w:p>
      <w:pPr>
        <w:pStyle w:val="BodyText"/>
      </w:pPr>
      <w:r>
        <w:t xml:space="preserve">This paper examines the potential for artificial intelligence-powered diagnostic tools to address critical gaps in tuberculosis detection, skin cancer screening, and pharmaceutical development. We present three AI models developed as part of a comprehensive medical AI project and analyze the evidence for their transformative potential in African healthcare contexts.</w:t>
      </w:r>
    </w:p>
    <w:bookmarkEnd w:id="10"/>
    <w:bookmarkStart w:id="11" w:name="objectives"/>
    <w:p>
      <w:pPr>
        <w:pStyle w:val="Heading3"/>
      </w:pPr>
      <w:r>
        <w:t xml:space="preserve">1.2 Objectives</w:t>
      </w:r>
    </w:p>
    <w:p>
      <w:pPr>
        <w:pStyle w:val="FirstParagraph"/>
      </w:pPr>
      <w:r>
        <w:t xml:space="preserve">This analysis aims to:</w:t>
      </w:r>
      <w:r>
        <w:t xml:space="preserve"> </w:t>
      </w:r>
      <w:r>
        <w:t xml:space="preserve">1. Quantify the healthcare workforce shortage and disease burden in Sub-Saharan Africa with verified epidemiological data</w:t>
      </w:r>
      <w:r>
        <w:t xml:space="preserve"> </w:t>
      </w:r>
      <w:r>
        <w:t xml:space="preserve">2. Evaluate the current state and clinical impact of AI healthcare deployments across the region</w:t>
      </w:r>
      <w:r>
        <w:t xml:space="preserve"> </w:t>
      </w:r>
      <w:r>
        <w:t xml:space="preserve">3. Assess the digital infrastructure enabling AI-powered health interventions</w:t>
      </w:r>
      <w:r>
        <w:t xml:space="preserve"> </w:t>
      </w:r>
      <w:r>
        <w:t xml:space="preserve">4. Identify implementation challenges including algorithmic bias affecting diverse populations</w:t>
      </w:r>
      <w:r>
        <w:t xml:space="preserve"> </w:t>
      </w:r>
      <w:r>
        <w:t xml:space="preserve">5. Propose evidence-based deployment strategies for responsible AI implementation</w:t>
      </w:r>
    </w:p>
    <w:p>
      <w:r>
        <w:pict>
          <v:rect style="width:0;height:1.5pt" o:hralign="center" o:hrstd="t" o:hr="t"/>
        </w:pict>
      </w:r>
    </w:p>
    <w:bookmarkEnd w:id="11"/>
    <w:bookmarkEnd w:id="12"/>
    <w:bookmarkStart w:id="16" w:name="X9bb56f14be87bd14617124cc4da4c75d9523132"/>
    <w:p>
      <w:pPr>
        <w:pStyle w:val="Heading2"/>
      </w:pPr>
      <w:r>
        <w:t xml:space="preserve">2. Healthcare Workforce Crisis in Sub-Saharan Africa</w:t>
      </w:r>
    </w:p>
    <w:bookmarkStart w:id="13" w:name="physician-and-specialist-shortages"/>
    <w:p>
      <w:pPr>
        <w:pStyle w:val="Heading3"/>
      </w:pPr>
      <w:r>
        <w:t xml:space="preserve">2.1 Physician and Specialist Shortages</w:t>
      </w:r>
    </w:p>
    <w:p>
      <w:pPr>
        <w:pStyle w:val="FirstParagraph"/>
      </w:pPr>
      <w:r>
        <w:t xml:space="preserve">The magnitude of physician shortages across Sub-Saharan Africa reflects both absolute scarcity and profound maldistribution. As of 2022, only seven African countries had achieved the WHO-recommended threshold of 10 physicians per 10,000 population: Mauritius (27.13), Seychelles (22.51), Libya, Tunisia, Algeria, Cape Verde, and Eswatini (Intelpoint, 2024). The remaining 40+ nations fall substantially short, with some experiencing crisis-level deficits.</w:t>
      </w:r>
    </w:p>
    <w:p>
      <w:pPr>
        <w:pStyle w:val="BodyText"/>
      </w:pPr>
      <w:r>
        <w:t xml:space="preserve">Country-specific examples illustrate the severity:</w:t>
      </w:r>
      <w:r>
        <w:t xml:space="preserve"> </w:t>
      </w:r>
      <w:r>
        <w:t xml:space="preserve">-</w:t>
      </w:r>
      <w:r>
        <w:t xml:space="preserve"> </w:t>
      </w:r>
      <w:r>
        <w:rPr>
          <w:b/>
          <w:bCs/>
        </w:rPr>
        <w:t xml:space="preserve">Malawi:</w:t>
      </w:r>
      <w:r>
        <w:t xml:space="preserve"> </w:t>
      </w:r>
      <w:r>
        <w:t xml:space="preserve">0.54 physicians per 10,000 population (World Population Review, 2023)</w:t>
      </w:r>
      <w:r>
        <w:t xml:space="preserve"> </w:t>
      </w:r>
      <w:r>
        <w:t xml:space="preserve">-</w:t>
      </w:r>
      <w:r>
        <w:t xml:space="preserve"> </w:t>
      </w:r>
      <w:r>
        <w:rPr>
          <w:b/>
          <w:bCs/>
        </w:rPr>
        <w:t xml:space="preserve">Ethiopia:</w:t>
      </w:r>
      <w:r>
        <w:t xml:space="preserve"> </w:t>
      </w:r>
      <w:r>
        <w:t xml:space="preserve">1.43 physicians per 10,000 population (World Population Review, 2023)</w:t>
      </w:r>
      <w:r>
        <w:t xml:space="preserve"> </w:t>
      </w:r>
      <w:r>
        <w:t xml:space="preserve">-</w:t>
      </w:r>
      <w:r>
        <w:t xml:space="preserve"> </w:t>
      </w:r>
      <w:r>
        <w:rPr>
          <w:b/>
          <w:bCs/>
        </w:rPr>
        <w:t xml:space="preserve">Niger:</w:t>
      </w:r>
      <w:r>
        <w:t xml:space="preserve"> </w:t>
      </w:r>
      <w:r>
        <w:t xml:space="preserve">0.25 health workers per 1,000 population—the lowest in the African region (WHO AFRO, 2018)</w:t>
      </w:r>
      <w:r>
        <w:t xml:space="preserve"> </w:t>
      </w:r>
      <w:r>
        <w:t xml:space="preserve">-</w:t>
      </w:r>
      <w:r>
        <w:t xml:space="preserve"> </w:t>
      </w:r>
      <w:r>
        <w:rPr>
          <w:b/>
          <w:bCs/>
        </w:rPr>
        <w:t xml:space="preserve">Uganda:</w:t>
      </w:r>
      <w:r>
        <w:t xml:space="preserve"> </w:t>
      </w:r>
      <w:r>
        <w:t xml:space="preserve">1.91 physicians per 10,000 population (World Population Review, 2023)</w:t>
      </w:r>
    </w:p>
    <w:p>
      <w:pPr>
        <w:pStyle w:val="BodyText"/>
      </w:pPr>
      <w:r>
        <w:t xml:space="preserve">The specialist shortage is even more acute. Sub-Saharan Africa possesses only 168 medical schools, with 11 countries having no medical school and 24 countries having only one (Africa-Europe Foundation, 2024). Dermatology exemplifies the specialist crisis: fewer than 1 dermatologist is available per million population across the continent, compared to 36 per million in the United States and 65 per million in Germany (Tiwari et al., 2022; British Journal of Dermatology).</w:t>
      </w:r>
    </w:p>
    <w:p>
      <w:pPr>
        <w:pStyle w:val="BodyText"/>
      </w:pPr>
      <w:r>
        <w:rPr>
          <w:b/>
          <w:bCs/>
        </w:rPr>
        <w:t xml:space="preserve">Table 1: Dermatologist Density by Country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Dermatologists per Million</w:t>
            </w:r>
          </w:p>
        </w:tc>
        <w:tc>
          <w:tcPr/>
          <w:p>
            <w:pPr>
              <w:pStyle w:val="Compact"/>
            </w:pPr>
            <w:r>
              <w:t xml:space="preserve">Population (millions)</w:t>
            </w:r>
          </w:p>
        </w:tc>
      </w:tr>
      <w:tr>
        <w:tc>
          <w:tcPr/>
          <w:p>
            <w:pPr>
              <w:pStyle w:val="Compact"/>
            </w:pPr>
            <w:r>
              <w:t xml:space="preserve">Germany</w:t>
            </w:r>
          </w:p>
        </w:tc>
        <w:tc>
          <w:tcPr/>
          <w:p>
            <w:pPr>
              <w:pStyle w:val="Compact"/>
            </w:pPr>
            <w:r>
              <w:t xml:space="preserve">65</w:t>
            </w:r>
          </w:p>
        </w:tc>
        <w:tc>
          <w:tcPr/>
          <w:p>
            <w:pPr>
              <w:pStyle w:val="Compact"/>
            </w:pPr>
            <w:r>
              <w:t xml:space="preserve">83</w:t>
            </w:r>
          </w:p>
        </w:tc>
      </w:tr>
      <w:tr>
        <w:tc>
          <w:tcPr/>
          <w:p>
            <w:pPr>
              <w:pStyle w:val="Compact"/>
            </w:pPr>
            <w:r>
              <w:t xml:space="preserve">USA</w:t>
            </w:r>
          </w:p>
        </w:tc>
        <w:tc>
          <w:tcPr/>
          <w:p>
            <w:pPr>
              <w:pStyle w:val="Compact"/>
            </w:pPr>
            <w:r>
              <w:t xml:space="preserve">36</w:t>
            </w:r>
          </w:p>
        </w:tc>
        <w:tc>
          <w:tcPr/>
          <w:p>
            <w:pPr>
              <w:pStyle w:val="Compact"/>
            </w:pPr>
            <w:r>
              <w:t xml:space="preserve">331</w:t>
            </w:r>
          </w:p>
        </w:tc>
      </w:tr>
      <w:tr>
        <w:tc>
          <w:tcPr/>
          <w:p>
            <w:pPr>
              <w:pStyle w:val="Compact"/>
            </w:pPr>
            <w:r>
              <w:t xml:space="preserve">UK</w:t>
            </w:r>
          </w:p>
        </w:tc>
        <w:tc>
          <w:tcPr/>
          <w:p>
            <w:pPr>
              <w:pStyle w:val="Compact"/>
            </w:pPr>
            <w:r>
              <w:t xml:space="preserve">10</w:t>
            </w:r>
          </w:p>
        </w:tc>
        <w:tc>
          <w:tcPr/>
          <w:p>
            <w:pPr>
              <w:pStyle w:val="Compact"/>
            </w:pPr>
            <w:r>
              <w:t xml:space="preserve">67</w:t>
            </w:r>
          </w:p>
        </w:tc>
      </w:tr>
      <w:tr>
        <w:tc>
          <w:tcPr/>
          <w:p>
            <w:pPr>
              <w:pStyle w:val="Compact"/>
            </w:pPr>
            <w:r>
              <w:t xml:space="preserve">South Africa</w:t>
            </w:r>
          </w:p>
        </w:tc>
        <w:tc>
          <w:tcPr/>
          <w:p>
            <w:pPr>
              <w:pStyle w:val="Compact"/>
            </w:pPr>
            <w:r>
              <w:t xml:space="preserve">3-4.4</w:t>
            </w:r>
          </w:p>
        </w:tc>
        <w:tc>
          <w:tcPr/>
          <w:p>
            <w:pPr>
              <w:pStyle w:val="Compact"/>
            </w:pPr>
            <w:r>
              <w:t xml:space="preserve">60</w:t>
            </w:r>
          </w:p>
        </w:tc>
      </w:tr>
      <w:tr>
        <w:tc>
          <w:tcPr/>
          <w:p>
            <w:pPr>
              <w:pStyle w:val="Compact"/>
            </w:pPr>
            <w:r>
              <w:t xml:space="preserve">Botswana</w:t>
            </w:r>
          </w:p>
        </w:tc>
        <w:tc>
          <w:tcPr/>
          <w:p>
            <w:pPr>
              <w:pStyle w:val="Compact"/>
            </w:pPr>
            <w:r>
              <w:t xml:space="preserve">3.3</w:t>
            </w:r>
          </w:p>
        </w:tc>
        <w:tc>
          <w:tcPr/>
          <w:p>
            <w:pPr>
              <w:pStyle w:val="Compact"/>
            </w:pPr>
            <w:r>
              <w:t xml:space="preserve">2.5</w:t>
            </w:r>
          </w:p>
        </w:tc>
      </w:tr>
      <w:tr>
        <w:tc>
          <w:tcPr/>
          <w:p>
            <w:pPr>
              <w:pStyle w:val="Compact"/>
            </w:pPr>
            <w:r>
              <w:t xml:space="preserve">Ghana</w:t>
            </w:r>
          </w:p>
        </w:tc>
        <w:tc>
          <w:tcPr/>
          <w:p>
            <w:pPr>
              <w:pStyle w:val="Compact"/>
            </w:pPr>
            <w:r>
              <w:t xml:space="preserve">1.1</w:t>
            </w:r>
          </w:p>
        </w:tc>
        <w:tc>
          <w:tcPr/>
          <w:p>
            <w:pPr>
              <w:pStyle w:val="Compact"/>
            </w:pPr>
            <w:r>
              <w:t xml:space="preserve">32</w:t>
            </w:r>
          </w:p>
        </w:tc>
      </w:tr>
      <w:tr>
        <w:tc>
          <w:tcPr/>
          <w:p>
            <w:pPr>
              <w:pStyle w:val="Compact"/>
            </w:pPr>
            <w:r>
              <w:t xml:space="preserve">Namibia</w:t>
            </w:r>
          </w:p>
        </w:tc>
        <w:tc>
          <w:tcPr/>
          <w:p>
            <w:pPr>
              <w:pStyle w:val="Compact"/>
            </w:pPr>
            <w:r>
              <w:t xml:space="preserve">0.8</w:t>
            </w:r>
          </w:p>
        </w:tc>
        <w:tc>
          <w:tcPr/>
          <w:p>
            <w:pPr>
              <w:pStyle w:val="Compact"/>
            </w:pPr>
            <w:r>
              <w:t xml:space="preserve">2.5</w:t>
            </w:r>
          </w:p>
        </w:tc>
      </w:tr>
      <w:tr>
        <w:tc>
          <w:tcPr/>
          <w:p>
            <w:pPr>
              <w:pStyle w:val="Compact"/>
            </w:pPr>
            <w:r>
              <w:t xml:space="preserve">Africa (average)</w:t>
            </w:r>
          </w:p>
        </w:tc>
        <w:tc>
          <w:tcPr/>
          <w:p>
            <w:pPr>
              <w:pStyle w:val="Compact"/>
            </w:pPr>
            <w:r>
              <w:t xml:space="preserve">&lt;1</w:t>
            </w:r>
          </w:p>
        </w:tc>
        <w:tc>
          <w:tcPr/>
          <w:p>
            <w:pPr>
              <w:pStyle w:val="Compact"/>
            </w:pPr>
            <w:r>
              <w:t xml:space="preserve">1,400</w:t>
            </w:r>
          </w:p>
        </w:tc>
      </w:tr>
    </w:tbl>
    <w:p>
      <w:pPr>
        <w:pStyle w:val="BodyText"/>
      </w:pPr>
      <w:r>
        <w:rPr>
          <w:i/>
          <w:iCs/>
        </w:rPr>
        <w:t xml:space="preserve">Sources: Tiwari et al. (2022), British Journal of Dermatology; HPCSA Database</w:t>
      </w:r>
    </w:p>
    <w:bookmarkEnd w:id="13"/>
    <w:bookmarkStart w:id="14" w:name="brain-drain-and-economic-impact"/>
    <w:p>
      <w:pPr>
        <w:pStyle w:val="Heading3"/>
      </w:pPr>
      <w:r>
        <w:t xml:space="preserve">2.2 Brain Drain and Economic Impact</w:t>
      </w:r>
    </w:p>
    <w:p>
      <w:pPr>
        <w:pStyle w:val="FirstParagraph"/>
      </w:pPr>
      <w:r>
        <w:t xml:space="preserve">The international migration of African healthcare workers compounds workforce inadequacy. Approximately 65,000 African-born physicians and 70,000 African-born professional nurses work in developed countries, representing 20% of all African-born medical doctors practicing outside the continent (Hagopian et al., 2004; Human Resources for Health). The United Nations Commission for Trade and Development estimates each emigrating healthcare worker represents a $184,000 loss to the continent, totaling approximately $4 billion annually (UNCTAD, 2023).</w:t>
      </w:r>
    </w:p>
    <w:p>
      <w:pPr>
        <w:pStyle w:val="BodyText"/>
      </w:pPr>
      <w:r>
        <w:t xml:space="preserve">Country-specific migration patterns reveal devastating losses:</w:t>
      </w:r>
      <w:r>
        <w:t xml:space="preserve"> </w:t>
      </w:r>
      <w:r>
        <w:t xml:space="preserve">-</w:t>
      </w:r>
      <w:r>
        <w:t xml:space="preserve"> </w:t>
      </w:r>
      <w:r>
        <w:rPr>
          <w:b/>
          <w:bCs/>
        </w:rPr>
        <w:t xml:space="preserve">South Africa:</w:t>
      </w:r>
      <w:r>
        <w:t xml:space="preserve"> </w:t>
      </w:r>
      <w:r>
        <w:t xml:space="preserve">33-50% of medical school graduates emigrate to developed countries (Berkeley Economic Review, 2024)</w:t>
      </w:r>
      <w:r>
        <w:t xml:space="preserve"> </w:t>
      </w:r>
      <w:r>
        <w:t xml:space="preserve">-</w:t>
      </w:r>
      <w:r>
        <w:t xml:space="preserve"> </w:t>
      </w:r>
      <w:r>
        <w:rPr>
          <w:b/>
          <w:bCs/>
        </w:rPr>
        <w:t xml:space="preserve">Zimbabwe:</w:t>
      </w:r>
      <w:r>
        <w:t xml:space="preserve"> </w:t>
      </w:r>
      <w:r>
        <w:t xml:space="preserve">4,000 healthcare workers departed since February 2021 alone; of 1,200 doctors trained in the 1990s, only 360 remained by 2000 (Chikanda, 2006)</w:t>
      </w:r>
      <w:r>
        <w:t xml:space="preserve"> </w:t>
      </w:r>
      <w:r>
        <w:t xml:space="preserve">-</w:t>
      </w:r>
      <w:r>
        <w:t xml:space="preserve"> </w:t>
      </w:r>
      <w:r>
        <w:rPr>
          <w:b/>
          <w:bCs/>
        </w:rPr>
        <w:t xml:space="preserve">Kenya:</w:t>
      </w:r>
      <w:r>
        <w:t xml:space="preserve"> </w:t>
      </w:r>
      <w:r>
        <w:t xml:space="preserve">Of 5,000 physicians registered for public hospitals, only 600 actually practice in the public sector (Kenya HLMA Report, 2023)</w:t>
      </w:r>
    </w:p>
    <w:bookmarkEnd w:id="14"/>
    <w:bookmarkStart w:id="15" w:name="X6a6475b83aa7fac4b424cf09ba71c979519822e"/>
    <w:p>
      <w:pPr>
        <w:pStyle w:val="Heading3"/>
      </w:pPr>
      <w:r>
        <w:t xml:space="preserve">2.3 The Paradox of Unemployment Amid Shortage</w:t>
      </w:r>
    </w:p>
    <w:p>
      <w:pPr>
        <w:pStyle w:val="FirstParagraph"/>
      </w:pPr>
      <w:r>
        <w:t xml:space="preserve">A paradoxical phenomenon characterizes African health labor markets: critical workforce shortages coexist with substantial unemployment of newly trained health workers. Research across 33 countries with critical shortages found weighted average unemployment rates of 26.8% for physicians, 39.7% for nurses and midwives, and even higher rates among new graduates—54.2% on average (Scheffler et al., 2024; PMC12587951).</w:t>
      </w:r>
    </w:p>
    <w:p>
      <w:pPr>
        <w:pStyle w:val="BodyText"/>
      </w:pPr>
      <w:r>
        <w:t xml:space="preserve">This paradox reflects fiscal constraints limiting government absorption capacity rather than workforce oversupply:</w:t>
      </w:r>
      <w:r>
        <w:t xml:space="preserve"> </w:t>
      </w:r>
      <w:r>
        <w:t xml:space="preserve">-</w:t>
      </w:r>
      <w:r>
        <w:t xml:space="preserve"> </w:t>
      </w:r>
      <w:r>
        <w:rPr>
          <w:b/>
          <w:bCs/>
        </w:rPr>
        <w:t xml:space="preserve">Kenya (2021):</w:t>
      </w:r>
      <w:r>
        <w:t xml:space="preserve"> </w:t>
      </w:r>
      <w:r>
        <w:t xml:space="preserve">27,243 health workers unemployed or underemployed</w:t>
      </w:r>
      <w:r>
        <w:t xml:space="preserve"> </w:t>
      </w:r>
      <w:r>
        <w:t xml:space="preserve">-</w:t>
      </w:r>
      <w:r>
        <w:t xml:space="preserve"> </w:t>
      </w:r>
      <w:r>
        <w:rPr>
          <w:b/>
          <w:bCs/>
        </w:rPr>
        <w:t xml:space="preserve">Uganda (2023):</w:t>
      </w:r>
      <w:r>
        <w:t xml:space="preserve"> </w:t>
      </w:r>
      <w:r>
        <w:t xml:space="preserve">20,590 nurses and midwives unemployed</w:t>
      </w:r>
      <w:r>
        <w:t xml:space="preserve"> </w:t>
      </w:r>
      <w:r>
        <w:t xml:space="preserve">-</w:t>
      </w:r>
      <w:r>
        <w:t xml:space="preserve"> </w:t>
      </w:r>
      <w:r>
        <w:rPr>
          <w:b/>
          <w:bCs/>
        </w:rPr>
        <w:t xml:space="preserve">Malawi (2023):</w:t>
      </w:r>
      <w:r>
        <w:t xml:space="preserve"> </w:t>
      </w:r>
      <w:r>
        <w:t xml:space="preserve">30% of nurses and midwives not absorbed despite 54% vacancy rates</w:t>
      </w:r>
    </w:p>
    <w:p>
      <w:r>
        <w:pict>
          <v:rect style="width:0;height:1.5pt" o:hralign="center" o:hrstd="t" o:hr="t"/>
        </w:pict>
      </w:r>
    </w:p>
    <w:bookmarkEnd w:id="15"/>
    <w:bookmarkEnd w:id="16"/>
    <w:bookmarkStart w:id="23" w:name="Xe0f8f87d6dd5406ba677bf2bda1301d3d59fd6d"/>
    <w:p>
      <w:pPr>
        <w:pStyle w:val="Heading2"/>
      </w:pPr>
      <w:r>
        <w:t xml:space="preserve">3. Tuberculosis: Disease Burden and AI Diagnostic Innovations</w:t>
      </w:r>
    </w:p>
    <w:bookmarkStart w:id="17" w:name="epidemiological-context"/>
    <w:p>
      <w:pPr>
        <w:pStyle w:val="Heading3"/>
      </w:pPr>
      <w:r>
        <w:t xml:space="preserve">3.1 Epidemiological Context</w:t>
      </w:r>
    </w:p>
    <w:p>
      <w:pPr>
        <w:pStyle w:val="FirstParagraph"/>
      </w:pPr>
      <w:r>
        <w:t xml:space="preserve">Tuberculosis represents the leading infectious disease killer in Africa, with the region bearing a disproportionate share of global burden. In 2023, an estimated 2.55 million people fell ill with TB in the African region—approximately 24% of all new cases worldwide despite the region comprising only 15% of global population (WHO Global TB Report, 2024).</w:t>
      </w:r>
    </w:p>
    <w:p>
      <w:pPr>
        <w:pStyle w:val="BodyText"/>
      </w:pPr>
      <w:r>
        <w:rPr>
          <w:b/>
          <w:bCs/>
        </w:rPr>
        <w:t xml:space="preserve">Key epidemiological indicators (2023-2024):</w:t>
      </w:r>
      <w:r>
        <w:t xml:space="preserve"> </w:t>
      </w:r>
      <w:r>
        <w:t xml:space="preserve">-</w:t>
      </w:r>
      <w:r>
        <w:t xml:space="preserve"> </w:t>
      </w:r>
      <w:r>
        <w:rPr>
          <w:b/>
          <w:bCs/>
        </w:rPr>
        <w:t xml:space="preserve">Incidence:</w:t>
      </w:r>
      <w:r>
        <w:t xml:space="preserve"> </w:t>
      </w:r>
      <w:r>
        <w:t xml:space="preserve">206 cases per 100,000 population (2023), reduced from 271 per 100,000 in 2015</w:t>
      </w:r>
      <w:r>
        <w:t xml:space="preserve"> </w:t>
      </w:r>
      <w:r>
        <w:t xml:space="preserve">-</w:t>
      </w:r>
      <w:r>
        <w:t xml:space="preserve"> </w:t>
      </w:r>
      <w:r>
        <w:rPr>
          <w:b/>
          <w:bCs/>
        </w:rPr>
        <w:t xml:space="preserve">Mortality:</w:t>
      </w:r>
      <w:r>
        <w:t xml:space="preserve"> </w:t>
      </w:r>
      <w:r>
        <w:t xml:space="preserve">403,000 TB-related deaths, including 112,000 among people living with HIV</w:t>
      </w:r>
      <w:r>
        <w:t xml:space="preserve"> </w:t>
      </w:r>
      <w:r>
        <w:t xml:space="preserve">-</w:t>
      </w:r>
      <w:r>
        <w:t xml:space="preserve"> </w:t>
      </w:r>
      <w:r>
        <w:rPr>
          <w:b/>
          <w:bCs/>
        </w:rPr>
        <w:t xml:space="preserve">Case detection rate:</w:t>
      </w:r>
      <w:r>
        <w:t xml:space="preserve"> </w:t>
      </w:r>
      <w:r>
        <w:t xml:space="preserve">70% of estimated cases diagnosed and treated—the highest in regional history</w:t>
      </w:r>
      <w:r>
        <w:t xml:space="preserve"> </w:t>
      </w:r>
      <w:r>
        <w:t xml:space="preserve">-</w:t>
      </w:r>
      <w:r>
        <w:t xml:space="preserve"> </w:t>
      </w:r>
      <w:r>
        <w:rPr>
          <w:b/>
          <w:bCs/>
        </w:rPr>
        <w:t xml:space="preserve">Diagnostic gap:</w:t>
      </w:r>
      <w:r>
        <w:t xml:space="preserve"> </w:t>
      </w:r>
      <w:r>
        <w:t xml:space="preserve">Approximately 600,000-700,000 TB cases remain undiagnosed annually</w:t>
      </w:r>
    </w:p>
    <w:p>
      <w:pPr>
        <w:pStyle w:val="BodyText"/>
      </w:pPr>
      <w:r>
        <w:t xml:space="preserve">The African region has achieved the most significant global progress in reducing TB mortality, with a</w:t>
      </w:r>
      <w:r>
        <w:t xml:space="preserve"> </w:t>
      </w:r>
      <w:r>
        <w:rPr>
          <w:b/>
          <w:bCs/>
        </w:rPr>
        <w:t xml:space="preserve">46% decline in deaths between 2015-2024</w:t>
      </w:r>
      <w:r>
        <w:t xml:space="preserve">—substantially exceeding the global average of 29% (WHO, November 2025). Four countries—Mozambique, Tanzania, Togo, and Zambia—have already achieved the 2025 End TB Strategy milestone of 75% mortality reduction from 2015 levels.</w:t>
      </w:r>
    </w:p>
    <w:bookmarkEnd w:id="17"/>
    <w:bookmarkStart w:id="21" w:name="cad4tb-deployment-and-clinical-impact"/>
    <w:p>
      <w:pPr>
        <w:pStyle w:val="Heading3"/>
      </w:pPr>
      <w:r>
        <w:t xml:space="preserve">3.2 CAD4TB Deployment and Clinical Impact</w:t>
      </w:r>
    </w:p>
    <w:p>
      <w:pPr>
        <w:pStyle w:val="FirstParagraph"/>
      </w:pPr>
      <w:r>
        <w:t xml:space="preserve">Computer-aided detection for tuberculosis (CAD4TB), developed by Delft Imaging, represents the most extensively validated AI diagnostic tool deployed in African healthcare. The software has screened over 55 million people in more than 90 countries, supported by over 120 peer-reviewed publications (Delft Imaging, 2025).</w:t>
      </w:r>
    </w:p>
    <w:bookmarkStart w:id="18" w:name="kenya-implementation"/>
    <w:p>
      <w:pPr>
        <w:pStyle w:val="Heading4"/>
      </w:pPr>
      <w:r>
        <w:t xml:space="preserve">3.2.1 Kenya Implementation</w:t>
      </w:r>
    </w:p>
    <w:p>
      <w:pPr>
        <w:pStyle w:val="FirstParagraph"/>
      </w:pPr>
      <w:r>
        <w:t xml:space="preserve">Kenya’s community-based TB screening through the USAID-funded Introducing New Tools Project deployed eight ultra-portable digital X-ray systems with CAD4TB across seven counties (2022-2023):</w:t>
      </w:r>
    </w:p>
    <w:p>
      <w:pPr>
        <w:pStyle w:val="BodyText"/>
      </w:pPr>
      <w:r>
        <w:rPr>
          <w:b/>
          <w:bCs/>
        </w:rPr>
        <w:t xml:space="preserve">Results (Delft Imaging Kenya Report, 2024):</w:t>
      </w:r>
      <w:r>
        <w:t xml:space="preserve"> </w:t>
      </w:r>
      <w:r>
        <w:t xml:space="preserve">-</w:t>
      </w:r>
      <w:r>
        <w:t xml:space="preserve"> </w:t>
      </w:r>
      <w:r>
        <w:rPr>
          <w:b/>
          <w:bCs/>
        </w:rPr>
        <w:t xml:space="preserve">Population screened:</w:t>
      </w:r>
      <w:r>
        <w:t xml:space="preserve"> </w:t>
      </w:r>
      <w:r>
        <w:t xml:space="preserve">15,916 individuals</w:t>
      </w:r>
      <w:r>
        <w:t xml:space="preserve"> </w:t>
      </w:r>
      <w:r>
        <w:t xml:space="preserve">-</w:t>
      </w:r>
      <w:r>
        <w:t xml:space="preserve"> </w:t>
      </w:r>
      <w:r>
        <w:rPr>
          <w:b/>
          <w:bCs/>
        </w:rPr>
        <w:t xml:space="preserve">TB positivity rate (CAD4TB score &gt;60):</w:t>
      </w:r>
      <w:r>
        <w:t xml:space="preserve"> </w:t>
      </w:r>
      <w:r>
        <w:t xml:space="preserve">28% (163 confirmed cases)</w:t>
      </w:r>
      <w:r>
        <w:t xml:space="preserve"> </w:t>
      </w:r>
      <w:r>
        <w:t xml:space="preserve">-</w:t>
      </w:r>
      <w:r>
        <w:t xml:space="preserve"> </w:t>
      </w:r>
      <w:r>
        <w:rPr>
          <w:b/>
          <w:bCs/>
        </w:rPr>
        <w:t xml:space="preserve">Asymptomatic cases detected:</w:t>
      </w:r>
      <w:r>
        <w:t xml:space="preserve"> </w:t>
      </w:r>
      <w:r>
        <w:t xml:space="preserve">Nearly 30% of confirmed TB cases</w:t>
      </w:r>
      <w:r>
        <w:t xml:space="preserve"> </w:t>
      </w:r>
      <w:r>
        <w:t xml:space="preserve">-</w:t>
      </w:r>
      <w:r>
        <w:t xml:space="preserve"> </w:t>
      </w:r>
      <w:r>
        <w:rPr>
          <w:b/>
          <w:bCs/>
        </w:rPr>
        <w:t xml:space="preserve">Historical comparison:</w:t>
      </w:r>
      <w:r>
        <w:t xml:space="preserve"> </w:t>
      </w:r>
      <w:r>
        <w:t xml:space="preserve">Pre-CAD4TB positivity rate was 5-10%</w:t>
      </w:r>
    </w:p>
    <w:p>
      <w:pPr>
        <w:pStyle w:val="BodyText"/>
      </w:pPr>
      <w:r>
        <w:t xml:space="preserve">The AI-powered approach achieved TB positivity rates 2.8-5.6 times higher than conventional symptom-based screening, demonstrating substantial improvements in case detection efficiency.</w:t>
      </w:r>
    </w:p>
    <w:p>
      <w:pPr>
        <w:pStyle w:val="BodyText"/>
      </w:pPr>
      <w:r>
        <w:t xml:space="preserve">Kenya’s largest AI-powered screening campaign (March-May 2025) screened 9,344 individuals across ten counties, identifying 3,191 presumptive TB cases and diagnosing 266 TB cases with</w:t>
      </w:r>
      <w:r>
        <w:t xml:space="preserve"> </w:t>
      </w:r>
      <w:r>
        <w:rPr>
          <w:b/>
          <w:bCs/>
        </w:rPr>
        <w:t xml:space="preserve">100% treatment initiation rate</w:t>
      </w:r>
      <w:r>
        <w:t xml:space="preserve"> </w:t>
      </w:r>
      <w:r>
        <w:t xml:space="preserve">(Community Health Services Kenya, 2025).</w:t>
      </w:r>
    </w:p>
    <w:bookmarkEnd w:id="18"/>
    <w:bookmarkStart w:id="19" w:name="uganda-implementation"/>
    <w:p>
      <w:pPr>
        <w:pStyle w:val="Heading4"/>
      </w:pPr>
      <w:r>
        <w:t xml:space="preserve">3.2.2 Uganda Implementation</w:t>
      </w:r>
    </w:p>
    <w:p>
      <w:pPr>
        <w:pStyle w:val="FirstParagraph"/>
      </w:pPr>
      <w:r>
        <w:t xml:space="preserve">Uganda’s National Tuberculosis and Leprosy Programme secured mobile screening clinics from Delft Imaging beginning in 2021:</w:t>
      </w:r>
    </w:p>
    <w:p>
      <w:pPr>
        <w:pStyle w:val="BodyText"/>
      </w:pPr>
      <w:r>
        <w:rPr>
          <w:b/>
          <w:bCs/>
        </w:rPr>
        <w:t xml:space="preserve">Results (Delft Imaging Uganda Report, 2024):</w:t>
      </w:r>
      <w:r>
        <w:t xml:space="preserve"> </w:t>
      </w:r>
      <w:r>
        <w:t xml:space="preserve">-</w:t>
      </w:r>
      <w:r>
        <w:t xml:space="preserve"> </w:t>
      </w:r>
      <w:r>
        <w:rPr>
          <w:b/>
          <w:bCs/>
        </w:rPr>
        <w:t xml:space="preserve">Screening capacity:</w:t>
      </w:r>
      <w:r>
        <w:t xml:space="preserve"> </w:t>
      </w:r>
      <w:r>
        <w:t xml:space="preserve">5,500+ individuals screened</w:t>
      </w:r>
      <w:r>
        <w:t xml:space="preserve"> </w:t>
      </w:r>
      <w:r>
        <w:t xml:space="preserve">-</w:t>
      </w:r>
      <w:r>
        <w:t xml:space="preserve"> </w:t>
      </w:r>
      <w:r>
        <w:rPr>
          <w:b/>
          <w:bCs/>
        </w:rPr>
        <w:t xml:space="preserve">TB diagnoses:</w:t>
      </w:r>
      <w:r>
        <w:t xml:space="preserve"> </w:t>
      </w:r>
      <w:r>
        <w:t xml:space="preserve">591 cases identified</w:t>
      </w:r>
      <w:r>
        <w:t xml:space="preserve"> </w:t>
      </w:r>
      <w:r>
        <w:t xml:space="preserve">-</w:t>
      </w:r>
      <w:r>
        <w:t xml:space="preserve"> </w:t>
      </w:r>
      <w:r>
        <w:rPr>
          <w:b/>
          <w:bCs/>
        </w:rPr>
        <w:t xml:space="preserve">Performance at health facilities:</w:t>
      </w:r>
      <w:r>
        <w:t xml:space="preserve"> </w:t>
      </w:r>
      <w:r>
        <w:t xml:space="preserve">35% TB-positive among those with abnormal radiography</w:t>
      </w:r>
      <w:r>
        <w:t xml:space="preserve"> </w:t>
      </w:r>
      <w:r>
        <w:t xml:space="preserve">-</w:t>
      </w:r>
      <w:r>
        <w:t xml:space="preserve"> </w:t>
      </w:r>
      <w:r>
        <w:rPr>
          <w:b/>
          <w:bCs/>
        </w:rPr>
        <w:t xml:space="preserve">Comparative yield:</w:t>
      </w:r>
      <w:r>
        <w:t xml:space="preserve"> </w:t>
      </w:r>
      <w:r>
        <w:t xml:space="preserve">Twice as high among PLHIV and TB contacts versus passive case detection</w:t>
      </w:r>
    </w:p>
    <w:bookmarkEnd w:id="19"/>
    <w:bookmarkStart w:id="20" w:name="diagnostic-accuracy"/>
    <w:p>
      <w:pPr>
        <w:pStyle w:val="Heading4"/>
      </w:pPr>
      <w:r>
        <w:t xml:space="preserve">3.2.3 Diagnostic Accuracy</w:t>
      </w:r>
    </w:p>
    <w:p>
      <w:pPr>
        <w:pStyle w:val="FirstParagraph"/>
      </w:pPr>
      <w:r>
        <w:t xml:space="preserve">A prospective study at St Luke Catholic Hospital, Ethiopia (478 participants) demonstrated CAD4TB performance:</w:t>
      </w:r>
      <w:r>
        <w:t xml:space="preserve"> </w:t>
      </w:r>
      <w:r>
        <w:t xml:space="preserve">-</w:t>
      </w:r>
      <w:r>
        <w:t xml:space="preserve"> </w:t>
      </w:r>
      <w:r>
        <w:rPr>
          <w:b/>
          <w:bCs/>
        </w:rPr>
        <w:t xml:space="preserve">Sensitivity:</w:t>
      </w:r>
      <w:r>
        <w:t xml:space="preserve"> </w:t>
      </w:r>
      <w:r>
        <w:t xml:space="preserve">0.77 (95% CI 0.70–0.83)</w:t>
      </w:r>
      <w:r>
        <w:t xml:space="preserve"> </w:t>
      </w:r>
      <w:r>
        <w:t xml:space="preserve">-</w:t>
      </w:r>
      <w:r>
        <w:t xml:space="preserve"> </w:t>
      </w:r>
      <w:r>
        <w:rPr>
          <w:b/>
          <w:bCs/>
        </w:rPr>
        <w:t xml:space="preserve">Specificity:</w:t>
      </w:r>
      <w:r>
        <w:t xml:space="preserve"> </w:t>
      </w:r>
      <w:r>
        <w:t xml:space="preserve">0.93 (95% CI 0.90–0.96)</w:t>
      </w:r>
      <w:r>
        <w:t xml:space="preserve"> </w:t>
      </w:r>
      <w:r>
        <w:t xml:space="preserve">-</w:t>
      </w:r>
      <w:r>
        <w:t xml:space="preserve"> </w:t>
      </w:r>
      <w:r>
        <w:rPr>
          <w:b/>
          <w:bCs/>
        </w:rPr>
        <w:t xml:space="preserve">Adult performance:</w:t>
      </w:r>
      <w:r>
        <w:t xml:space="preserve"> </w:t>
      </w:r>
      <w:r>
        <w:t xml:space="preserve">Sensitivity 0.79, Specificity 0.94</w:t>
      </w:r>
      <w:r>
        <w:t xml:space="preserve"> </w:t>
      </w:r>
      <w:r>
        <w:t xml:space="preserve">-</w:t>
      </w:r>
      <w:r>
        <w:t xml:space="preserve"> </w:t>
      </w:r>
      <w:r>
        <w:rPr>
          <w:b/>
          <w:bCs/>
        </w:rPr>
        <w:t xml:space="preserve">Pediatric performance:</w:t>
      </w:r>
      <w:r>
        <w:t xml:space="preserve"> </w:t>
      </w:r>
      <w:r>
        <w:t xml:space="preserve">Sensitivity 0.64, Specificity 0.92</w:t>
      </w:r>
    </w:p>
    <w:p>
      <w:pPr>
        <w:pStyle w:val="BodyText"/>
      </w:pPr>
      <w:r>
        <w:t xml:space="preserve">(Gebreselassie et al., 2024; PMC12740636)</w:t>
      </w:r>
    </w:p>
    <w:p>
      <w:pPr>
        <w:pStyle w:val="BodyText"/>
      </w:pPr>
      <w:r>
        <w:t xml:space="preserve">A systematic review of CAD performance during active case finding in Africa reported pooled sensitivity of 0.87 (95% CI 0.78–0.96) and specificity of 0.74 (95% CI 0.55–0.93), concluding that CAD provides</w:t>
      </w:r>
      <w:r>
        <w:t xml:space="preserve"> </w:t>
      </w:r>
      <w:r>
        <w:t xml:space="preserve">“potentially useful and cost-effective screening in resource-poor, HIV-endemic African settings”</w:t>
      </w:r>
      <w:r>
        <w:t xml:space="preserve"> </w:t>
      </w:r>
      <w:r>
        <w:t xml:space="preserve">(Frimpong et al., 2024; PMC10849117).</w:t>
      </w:r>
    </w:p>
    <w:bookmarkEnd w:id="20"/>
    <w:bookmarkEnd w:id="21"/>
    <w:bookmarkStart w:id="22" w:name="drug-resistant-tuberculosis"/>
    <w:p>
      <w:pPr>
        <w:pStyle w:val="Heading3"/>
      </w:pPr>
      <w:r>
        <w:t xml:space="preserve">3.3 Drug-Resistant Tuberculosis</w:t>
      </w:r>
    </w:p>
    <w:p>
      <w:pPr>
        <w:pStyle w:val="FirstParagraph"/>
      </w:pPr>
      <w:r>
        <w:t xml:space="preserve">Multidrug-resistant and rifampicin-resistant TB (MDR/RR-TB) presents an emerging threat:</w:t>
      </w:r>
      <w:r>
        <w:t xml:space="preserve"> </w:t>
      </w:r>
      <w:r>
        <w:t xml:space="preserve">-</w:t>
      </w:r>
      <w:r>
        <w:t xml:space="preserve"> </w:t>
      </w:r>
      <w:r>
        <w:rPr>
          <w:b/>
          <w:bCs/>
        </w:rPr>
        <w:t xml:space="preserve">Estimated cases (2023):</w:t>
      </w:r>
      <w:r>
        <w:t xml:space="preserve"> </w:t>
      </w:r>
      <w:r>
        <w:t xml:space="preserve">60,266 in the African region</w:t>
      </w:r>
      <w:r>
        <w:t xml:space="preserve"> </w:t>
      </w:r>
      <w:r>
        <w:t xml:space="preserve">-</w:t>
      </w:r>
      <w:r>
        <w:t xml:space="preserve"> </w:t>
      </w:r>
      <w:r>
        <w:rPr>
          <w:b/>
          <w:bCs/>
        </w:rPr>
        <w:t xml:space="preserve">Diagnosed cases:</w:t>
      </w:r>
      <w:r>
        <w:t xml:space="preserve"> </w:t>
      </w:r>
      <w:r>
        <w:t xml:space="preserve">22,515 (37% detection rate)</w:t>
      </w:r>
      <w:r>
        <w:t xml:space="preserve"> </w:t>
      </w:r>
      <w:r>
        <w:t xml:space="preserve">-</w:t>
      </w:r>
      <w:r>
        <w:t xml:space="preserve"> </w:t>
      </w:r>
      <w:r>
        <w:rPr>
          <w:b/>
          <w:bCs/>
        </w:rPr>
        <w:t xml:space="preserve">Undiagnosed cases:</w:t>
      </w:r>
      <w:r>
        <w:t xml:space="preserve"> </w:t>
      </w:r>
      <w:r>
        <w:t xml:space="preserve">37,751 (63% of estimated total)</w:t>
      </w:r>
      <w:r>
        <w:t xml:space="preserve"> </w:t>
      </w:r>
      <w:r>
        <w:t xml:space="preserve">-</w:t>
      </w:r>
      <w:r>
        <w:t xml:space="preserve"> </w:t>
      </w:r>
      <w:r>
        <w:rPr>
          <w:b/>
          <w:bCs/>
        </w:rPr>
        <w:t xml:space="preserve">Rapid diagnostic testing coverage:</w:t>
      </w:r>
      <w:r>
        <w:t xml:space="preserve"> </w:t>
      </w:r>
      <w:r>
        <w:t xml:space="preserve">Only 54% of newly diagnosed TB patients tested with WHO-recommended rapid diagnostics</w:t>
      </w:r>
    </w:p>
    <w:p>
      <w:pPr>
        <w:pStyle w:val="BodyText"/>
      </w:pPr>
      <w:r>
        <w:t xml:space="preserve">(WHO African Region TB Laboratory Capacity Report, 2024)</w:t>
      </w:r>
    </w:p>
    <w:p>
      <w:r>
        <w:pict>
          <v:rect style="width:0;height:1.5pt" o:hralign="center" o:hrstd="t" o:hr="t"/>
        </w:pict>
      </w:r>
    </w:p>
    <w:bookmarkEnd w:id="22"/>
    <w:bookmarkEnd w:id="23"/>
    <w:bookmarkStart w:id="31" w:name="X5d32e6e00bc8176855edd39e72fec1391e503db"/>
    <w:p>
      <w:pPr>
        <w:pStyle w:val="Heading2"/>
      </w:pPr>
      <w:r>
        <w:t xml:space="preserve">4. Skin Cancer and Melanoma: Diagnostic Disparities and AI Challenges</w:t>
      </w:r>
    </w:p>
    <w:bookmarkStart w:id="24" w:name="epidemiological-profile"/>
    <w:p>
      <w:pPr>
        <w:pStyle w:val="Heading3"/>
      </w:pPr>
      <w:r>
        <w:t xml:space="preserve">4.1 Epidemiological Profile</w:t>
      </w:r>
    </w:p>
    <w:p>
      <w:pPr>
        <w:pStyle w:val="FirstParagraph"/>
      </w:pPr>
      <w:r>
        <w:t xml:space="preserve">Melanoma in African populations demonstrates a paradoxical pattern: substantially lower incidence but dramatically worse survival outcomes compared to European and Oceanian populations. GLOBOCAN 2022 data estimated 7,477 new melanoma cases in Africa, representing 0.63% of all cancers, with 2,859 deaths (IARC, 2022).</w:t>
      </w:r>
    </w:p>
    <w:p>
      <w:pPr>
        <w:pStyle w:val="BodyText"/>
      </w:pPr>
      <w:r>
        <w:rPr>
          <w:b/>
          <w:bCs/>
        </w:rPr>
        <w:t xml:space="preserve">Table 2: Melanoma Incidence Rates by Region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Age-Standardized Incidence Rate (per 100,000)</w:t>
            </w:r>
          </w:p>
        </w:tc>
      </w:tr>
      <w:tr>
        <w:tc>
          <w:tcPr/>
          <w:p>
            <w:pPr>
              <w:pStyle w:val="Compact"/>
            </w:pPr>
            <w:r>
              <w:t xml:space="preserve">Oceania</w:t>
            </w:r>
          </w:p>
        </w:tc>
        <w:tc>
          <w:tcPr/>
          <w:p>
            <w:pPr>
              <w:pStyle w:val="Compact"/>
            </w:pPr>
            <w:r>
              <w:t xml:space="preserve">29.80</w:t>
            </w:r>
          </w:p>
        </w:tc>
      </w:tr>
      <w:tr>
        <w:tc>
          <w:tcPr/>
          <w:p>
            <w:pPr>
              <w:pStyle w:val="Compact"/>
            </w:pPr>
            <w:r>
              <w:t xml:space="preserve">North America</w:t>
            </w:r>
          </w:p>
        </w:tc>
        <w:tc>
          <w:tcPr/>
          <w:p>
            <w:pPr>
              <w:pStyle w:val="Compact"/>
            </w:pPr>
            <w:r>
              <w:t xml:space="preserve">16.30</w:t>
            </w:r>
          </w:p>
        </w:tc>
      </w:tr>
      <w:tr>
        <w:tc>
          <w:tcPr/>
          <w:p>
            <w:pPr>
              <w:pStyle w:val="Compact"/>
            </w:pPr>
            <w:r>
              <w:t xml:space="preserve">Europe</w:t>
            </w:r>
          </w:p>
        </w:tc>
        <w:tc>
          <w:tcPr/>
          <w:p>
            <w:pPr>
              <w:pStyle w:val="Compact"/>
            </w:pPr>
            <w:r>
              <w:t xml:space="preserve">10.40</w:t>
            </w:r>
          </w:p>
        </w:tc>
      </w:tr>
      <w:tr>
        <w:tc>
          <w:tcPr/>
          <w:p>
            <w:pPr>
              <w:pStyle w:val="Compact"/>
            </w:pPr>
            <w:r>
              <w:t xml:space="preserve">Africa</w:t>
            </w:r>
          </w:p>
        </w:tc>
        <w:tc>
          <w:tcPr/>
          <w:p>
            <w:pPr>
              <w:pStyle w:val="Compact"/>
            </w:pPr>
            <w:r>
              <w:t xml:space="preserve">0.90</w:t>
            </w:r>
          </w:p>
        </w:tc>
      </w:tr>
      <w:tr>
        <w:tc>
          <w:tcPr/>
          <w:p>
            <w:pPr>
              <w:pStyle w:val="Compact"/>
            </w:pPr>
            <w:r>
              <w:t xml:space="preserve">Asia</w:t>
            </w:r>
          </w:p>
        </w:tc>
        <w:tc>
          <w:tcPr/>
          <w:p>
            <w:pPr>
              <w:pStyle w:val="Compact"/>
            </w:pPr>
            <w:r>
              <w:t xml:space="preserve">0.41</w:t>
            </w:r>
          </w:p>
        </w:tc>
      </w:tr>
    </w:tbl>
    <w:p>
      <w:pPr>
        <w:pStyle w:val="BodyText"/>
      </w:pPr>
      <w:r>
        <w:rPr>
          <w:i/>
          <w:iCs/>
        </w:rPr>
        <w:t xml:space="preserve">Source: GLOBOCAN 2022; Sung et al. (2024), PMC11745855</w:t>
      </w:r>
    </w:p>
    <w:bookmarkEnd w:id="24"/>
    <w:bookmarkStart w:id="25" w:name="racial-disparities-in-survival"/>
    <w:p>
      <w:pPr>
        <w:pStyle w:val="Heading3"/>
      </w:pPr>
      <w:r>
        <w:t xml:space="preserve">4.2 Racial Disparities in Survival</w:t>
      </w:r>
    </w:p>
    <w:p>
      <w:pPr>
        <w:pStyle w:val="FirstParagraph"/>
      </w:pPr>
      <w:r>
        <w:t xml:space="preserve">Despite lower incidence, melanoma survival rates reveal profound health inequities:</w:t>
      </w:r>
    </w:p>
    <w:p>
      <w:pPr>
        <w:pStyle w:val="BodyText"/>
      </w:pPr>
      <w:r>
        <w:rPr>
          <w:b/>
          <w:bCs/>
        </w:rPr>
        <w:t xml:space="preserve">Five-year survival rates (2001-2014):</w:t>
      </w:r>
      <w:r>
        <w:t xml:space="preserve"> </w:t>
      </w:r>
      <w:r>
        <w:t xml:space="preserve">- Non-Hispanic Black populations:</w:t>
      </w:r>
      <w:r>
        <w:t xml:space="preserve"> </w:t>
      </w:r>
      <w:r>
        <w:rPr>
          <w:b/>
          <w:bCs/>
        </w:rPr>
        <w:t xml:space="preserve">66.2%</w:t>
      </w:r>
      <w:r>
        <w:t xml:space="preserve"> </w:t>
      </w:r>
      <w:r>
        <w:t xml:space="preserve">- Non-Hispanic White populations:</w:t>
      </w:r>
      <w:r>
        <w:t xml:space="preserve"> </w:t>
      </w:r>
      <w:r>
        <w:rPr>
          <w:b/>
          <w:bCs/>
        </w:rPr>
        <w:t xml:space="preserve">90.1%</w:t>
      </w:r>
    </w:p>
    <w:p>
      <w:pPr>
        <w:pStyle w:val="BodyText"/>
      </w:pPr>
      <w:r>
        <w:t xml:space="preserve">(CDC, 2019; Preventing Chronic Disease)</w:t>
      </w:r>
    </w:p>
    <w:p>
      <w:pPr>
        <w:pStyle w:val="BodyText"/>
      </w:pPr>
      <w:r>
        <w:t xml:space="preserve">This 24 percentage point absolute difference represents one of the most severe disparities in oncology.</w:t>
      </w:r>
    </w:p>
    <w:p>
      <w:pPr>
        <w:pStyle w:val="BodyText"/>
      </w:pPr>
      <w:r>
        <w:rPr>
          <w:b/>
          <w:bCs/>
        </w:rPr>
        <w:t xml:space="preserve">Stage at diagnosis disparities:</w:t>
      </w:r>
      <w:r>
        <w:t xml:space="preserve"> </w:t>
      </w:r>
      <w:r>
        <w:t xml:space="preserve">- Localized stage: 55% of Black patients vs. 78% of White patients</w:t>
      </w:r>
      <w:r>
        <w:t xml:space="preserve"> </w:t>
      </w:r>
      <w:r>
        <w:t xml:space="preserve">- Distant metastasis at diagnosis: 16% of Black patients vs. 5% of White patients</w:t>
      </w:r>
    </w:p>
    <w:p>
      <w:pPr>
        <w:pStyle w:val="BodyText"/>
      </w:pPr>
      <w:r>
        <w:t xml:space="preserve">(Garnett et al., 2019; PMC6638592)</w:t>
      </w:r>
    </w:p>
    <w:bookmarkEnd w:id="25"/>
    <w:bookmarkStart w:id="28" w:name="contributing-factors"/>
    <w:p>
      <w:pPr>
        <w:pStyle w:val="Heading3"/>
      </w:pPr>
      <w:r>
        <w:t xml:space="preserve">4.3 Contributing Factors</w:t>
      </w:r>
    </w:p>
    <w:bookmarkStart w:id="26" w:name="histological-subtype-distribution"/>
    <w:p>
      <w:pPr>
        <w:pStyle w:val="Heading4"/>
      </w:pPr>
      <w:r>
        <w:t xml:space="preserve">4.3.1 Histological Subtype Distribution</w:t>
      </w:r>
    </w:p>
    <w:p>
      <w:pPr>
        <w:pStyle w:val="FirstParagraph"/>
      </w:pPr>
      <w:r>
        <w:t xml:space="preserve">Acral lentiginous melanoma (ALM)—affecting palms, soles, and nail beds—predominates in Black African populations:</w:t>
      </w:r>
      <w:r>
        <w:t xml:space="preserve"> </w:t>
      </w:r>
      <w:r>
        <w:t xml:space="preserve">-</w:t>
      </w:r>
      <w:r>
        <w:t xml:space="preserve"> </w:t>
      </w:r>
      <w:r>
        <w:rPr>
          <w:b/>
          <w:bCs/>
        </w:rPr>
        <w:t xml:space="preserve">Black Africans:</w:t>
      </w:r>
      <w:r>
        <w:t xml:space="preserve"> </w:t>
      </w:r>
      <w:r>
        <w:t xml:space="preserve">ALM represents 16.6-72% of melanomas</w:t>
      </w:r>
      <w:r>
        <w:t xml:space="preserve"> </w:t>
      </w:r>
      <w:r>
        <w:t xml:space="preserve">-</w:t>
      </w:r>
      <w:r>
        <w:t xml:space="preserve"> </w:t>
      </w:r>
      <w:r>
        <w:rPr>
          <w:b/>
          <w:bCs/>
        </w:rPr>
        <w:t xml:space="preserve">White populations:</w:t>
      </w:r>
      <w:r>
        <w:t xml:space="preserve"> </w:t>
      </w:r>
      <w:r>
        <w:t xml:space="preserve">ALM represents only 0.8-1%</w:t>
      </w:r>
    </w:p>
    <w:p>
      <w:pPr>
        <w:pStyle w:val="BodyText"/>
      </w:pPr>
      <w:r>
        <w:t xml:space="preserve">(Lodhi et al., 2018; NCBI NBK481848)</w:t>
      </w:r>
    </w:p>
    <w:p>
      <w:pPr>
        <w:pStyle w:val="BodyText"/>
      </w:pPr>
      <w:r>
        <w:t xml:space="preserve">ALM carries substantially worse prognosis (five-year survival: 66.1%) compared to superficial spreading melanoma (91.1%).</w:t>
      </w:r>
    </w:p>
    <w:bookmarkEnd w:id="26"/>
    <w:bookmarkStart w:id="27" w:name="delayed-diagnosis"/>
    <w:p>
      <w:pPr>
        <w:pStyle w:val="Heading4"/>
      </w:pPr>
      <w:r>
        <w:t xml:space="preserve">4.3.2 Delayed Diagnosis</w:t>
      </w:r>
    </w:p>
    <w:p>
      <w:pPr>
        <w:pStyle w:val="FirstParagraph"/>
      </w:pPr>
      <w:r>
        <w:t xml:space="preserve">Late-stage presentation reflects healthcare access barriers and low clinical suspicion:</w:t>
      </w:r>
      <w:r>
        <w:t xml:space="preserve"> </w:t>
      </w:r>
      <w:r>
        <w:t xml:space="preserve">- Black South African patients with melanoma presented with Breslow depth &gt;4mm in 62% of cases (Ntavou et al., 2019; SAMJ)</w:t>
      </w:r>
      <w:r>
        <w:t xml:space="preserve"> </w:t>
      </w:r>
      <w:r>
        <w:t xml:space="preserve">- In Pretoria, 92% of Black African melanoma patients were dead or had residual disease by 3 years (Lodhi et al., 2018)</w:t>
      </w:r>
    </w:p>
    <w:bookmarkEnd w:id="27"/>
    <w:bookmarkEnd w:id="28"/>
    <w:bookmarkStart w:id="29" w:name="ai-bias-in-melanoma-detection"/>
    <w:p>
      <w:pPr>
        <w:pStyle w:val="Heading3"/>
      </w:pPr>
      <w:r>
        <w:t xml:space="preserve">4.4 AI Bias in Melanoma Detection</w:t>
      </w:r>
    </w:p>
    <w:p>
      <w:pPr>
        <w:pStyle w:val="FirstParagraph"/>
      </w:pPr>
      <w:r>
        <w:t xml:space="preserve">Artificial intelligence systems for melanoma detection demonstrate significant performance disparities across skin tones, reflecting training data imbalances.</w:t>
      </w:r>
    </w:p>
    <w:p>
      <w:pPr>
        <w:pStyle w:val="BodyText"/>
      </w:pPr>
      <w:r>
        <w:rPr>
          <w:b/>
          <w:bCs/>
        </w:rPr>
        <w:t xml:space="preserve">Dataset representation (Groh et al., 2022; Science Advances):</w:t>
      </w:r>
      <w:r>
        <w:t xml:space="preserve"> </w:t>
      </w:r>
      <w:r>
        <w:t xml:space="preserve">- Fitzpatrick skin types V and VI constitute &lt;5% of major dermatological image datasets</w:t>
      </w:r>
      <w:r>
        <w:t xml:space="preserve"> </w:t>
      </w:r>
      <w:r>
        <w:t xml:space="preserve">- Only 1.3% of images in major repositories have associated ethnicity data</w:t>
      </w:r>
      <w:r>
        <w:t xml:space="preserve"> </w:t>
      </w:r>
      <w:r>
        <w:t xml:space="preserve">- Fitzpatrick 17k dataset: Only 10 melanoma images for type V and 1 image for type VI</w:t>
      </w:r>
    </w:p>
    <w:p>
      <w:pPr>
        <w:pStyle w:val="BodyText"/>
      </w:pPr>
      <w:r>
        <w:rPr>
          <w:b/>
          <w:bCs/>
        </w:rPr>
        <w:t xml:space="preserve">Performance disparities on Diverse Dermatology Images (DDI) dataset: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ROC-AUC (Fitzpatrick I-II)</w:t>
            </w:r>
          </w:p>
        </w:tc>
        <w:tc>
          <w:tcPr/>
          <w:p>
            <w:pPr>
              <w:pStyle w:val="Compact"/>
            </w:pPr>
            <w:r>
              <w:t xml:space="preserve">ROC-AUC (Fitzpatrick V-VI)</w:t>
            </w:r>
          </w:p>
        </w:tc>
      </w:tr>
      <w:tr>
        <w:tc>
          <w:tcPr/>
          <w:p>
            <w:pPr>
              <w:pStyle w:val="Compact"/>
            </w:pPr>
            <w:r>
              <w:t xml:space="preserve">ModelDerm</w:t>
            </w:r>
          </w:p>
        </w:tc>
        <w:tc>
          <w:tcPr/>
          <w:p>
            <w:pPr>
              <w:pStyle w:val="Compact"/>
            </w:pPr>
            <w:r>
              <w:t xml:space="preserve">0.64</w:t>
            </w:r>
          </w:p>
        </w:tc>
        <w:tc>
          <w:tcPr/>
          <w:p>
            <w:pPr>
              <w:pStyle w:val="Compact"/>
            </w:pPr>
            <w:r>
              <w:t xml:space="preserve">0.55</w:t>
            </w:r>
          </w:p>
        </w:tc>
      </w:tr>
      <w:tr>
        <w:tc>
          <w:tcPr/>
          <w:p>
            <w:pPr>
              <w:pStyle w:val="Compact"/>
            </w:pPr>
            <w:r>
              <w:t xml:space="preserve">DeepDerm</w:t>
            </w:r>
          </w:p>
        </w:tc>
        <w:tc>
          <w:tcPr/>
          <w:p>
            <w:pPr>
              <w:pStyle w:val="Compact"/>
            </w:pPr>
            <w:r>
              <w:t xml:space="preserve">0.61</w:t>
            </w:r>
          </w:p>
        </w:tc>
        <w:tc>
          <w:tcPr/>
          <w:p>
            <w:pPr>
              <w:pStyle w:val="Compact"/>
            </w:pPr>
            <w:r>
              <w:t xml:space="preserve">0.50</w:t>
            </w:r>
          </w:p>
        </w:tc>
      </w:tr>
      <w:tr>
        <w:tc>
          <w:tcPr/>
          <w:p>
            <w:pPr>
              <w:pStyle w:val="Compact"/>
            </w:pPr>
            <w:r>
              <w:t xml:space="preserve">HAM10000</w:t>
            </w:r>
          </w:p>
        </w:tc>
        <w:tc>
          <w:tcPr/>
          <w:p>
            <w:pPr>
              <w:pStyle w:val="Compact"/>
            </w:pPr>
            <w:r>
              <w:t xml:space="preserve">0.72</w:t>
            </w:r>
          </w:p>
        </w:tc>
        <w:tc>
          <w:tcPr/>
          <w:p>
            <w:pPr>
              <w:pStyle w:val="Compact"/>
            </w:pPr>
            <w:r>
              <w:t xml:space="preserve">0.57</w:t>
            </w:r>
          </w:p>
        </w:tc>
      </w:tr>
    </w:tbl>
    <w:p>
      <w:pPr>
        <w:pStyle w:val="BodyText"/>
      </w:pPr>
      <w:r>
        <w:rPr>
          <w:i/>
          <w:iCs/>
        </w:rPr>
        <w:t xml:space="preserve">Source: Daneshjou et al. (2022), Science Advances</w:t>
      </w:r>
    </w:p>
    <w:p>
      <w:pPr>
        <w:pStyle w:val="BodyText"/>
      </w:pPr>
      <w:r>
        <w:rPr>
          <w:b/>
          <w:bCs/>
        </w:rPr>
        <w:t xml:space="preserve">Malignancy detection sensitivity:</w:t>
      </w:r>
      <w:r>
        <w:t xml:space="preserve"> </w:t>
      </w:r>
      <w:r>
        <w:t xml:space="preserve">- DeepDerm: 69% sensitivity (Fitzpatrick I-II) vs. </w:t>
      </w:r>
      <w:r>
        <w:rPr>
          <w:b/>
          <w:bCs/>
        </w:rPr>
        <w:t xml:space="preserve">23% sensitivity (Fitzpatrick V-VI)</w:t>
      </w:r>
      <w:r>
        <w:t xml:space="preserve"> </w:t>
      </w:r>
      <w:r>
        <w:t xml:space="preserve">- ModelDerm: 41% sensitivity (Fitzpatrick I-II) vs. </w:t>
      </w:r>
      <w:r>
        <w:rPr>
          <w:b/>
          <w:bCs/>
        </w:rPr>
        <w:t xml:space="preserve">12% sensitivity (Fitzpatrick V-VI)</w:t>
      </w:r>
    </w:p>
    <w:p>
      <w:pPr>
        <w:pStyle w:val="BodyText"/>
      </w:pPr>
      <w:r>
        <w:t xml:space="preserve">These disparities represent a</w:t>
      </w:r>
      <w:r>
        <w:t xml:space="preserve"> </w:t>
      </w:r>
      <w:r>
        <w:rPr>
          <w:b/>
          <w:bCs/>
        </w:rPr>
        <w:t xml:space="preserve">3-fold reduction in cancer detection capability for darker skin tones</w:t>
      </w:r>
      <w:r>
        <w:t xml:space="preserve">, potentially leading to missed diagnoses and worse outcomes.</w:t>
      </w:r>
    </w:p>
    <w:bookmarkEnd w:id="29"/>
    <w:bookmarkStart w:id="30" w:name="addressing-ai-bias"/>
    <w:p>
      <w:pPr>
        <w:pStyle w:val="Heading3"/>
      </w:pPr>
      <w:r>
        <w:t xml:space="preserve">4.5 Addressing AI Bias</w:t>
      </w:r>
    </w:p>
    <w:p>
      <w:pPr>
        <w:pStyle w:val="FirstParagraph"/>
      </w:pPr>
      <w:r>
        <w:t xml:space="preserve">Fine-tuning algorithms on diverse datasets substantially improves equity:</w:t>
      </w:r>
    </w:p>
    <w:p>
      <w:pPr>
        <w:pStyle w:val="BodyText"/>
      </w:pPr>
      <w:r>
        <w:rPr>
          <w:b/>
          <w:bCs/>
        </w:rPr>
        <w:t xml:space="preserve">Post fine-tuning performance (Daneshjou et al., 2022):</w:t>
      </w:r>
      <w:r>
        <w:t xml:space="preserve"> </w:t>
      </w:r>
      <w:r>
        <w:t xml:space="preserve">- DeepDerm: ROC-AUC improved to 0.73 (I-II) and 0.76 (V-VI)</w:t>
      </w:r>
      <w:r>
        <w:t xml:space="preserve"> </w:t>
      </w:r>
      <w:r>
        <w:t xml:space="preserve">- HAM10000: ROC-AUC improved to 0.77 (I-II) and 0.78 (V-VI)</w:t>
      </w:r>
    </w:p>
    <w:p>
      <w:pPr>
        <w:pStyle w:val="BodyText"/>
      </w:pPr>
      <w:r>
        <w:t xml:space="preserve">Critically, fine-tuned algorithms achieved performance</w:t>
      </w:r>
      <w:r>
        <w:t xml:space="preserve"> </w:t>
      </w:r>
      <w:r>
        <w:rPr>
          <w:b/>
          <w:bCs/>
        </w:rPr>
        <w:t xml:space="preserve">equivalent to or exceeding dermatologists</w:t>
      </w:r>
      <w:r>
        <w:t xml:space="preserve"> </w:t>
      </w:r>
      <w:r>
        <w:t xml:space="preserve">for Fitzpatrick V-VI skin (P = 9.33 × 10⁻⁵ for DeepDerm).</w:t>
      </w:r>
    </w:p>
    <w:p>
      <w:r>
        <w:pict>
          <v:rect style="width:0;height:1.5pt" o:hralign="center" o:hrstd="t" o:hr="t"/>
        </w:pict>
      </w:r>
    </w:p>
    <w:bookmarkEnd w:id="30"/>
    <w:bookmarkEnd w:id="31"/>
    <w:bookmarkStart w:id="36" w:name="Xf109fef888e55f7b86a75907147a1332a5c217c"/>
    <w:p>
      <w:pPr>
        <w:pStyle w:val="Heading2"/>
      </w:pPr>
      <w:r>
        <w:t xml:space="preserve">5. Digital Infrastructure: Mobile Technology as Healthcare Foundation</w:t>
      </w:r>
    </w:p>
    <w:bookmarkStart w:id="32" w:name="mobile-phone-penetration"/>
    <w:p>
      <w:pPr>
        <w:pStyle w:val="Heading3"/>
      </w:pPr>
      <w:r>
        <w:t xml:space="preserve">5.1 Mobile Phone Penetration</w:t>
      </w:r>
    </w:p>
    <w:p>
      <w:pPr>
        <w:pStyle w:val="FirstParagraph"/>
      </w:pPr>
      <w:r>
        <w:t xml:space="preserve">Africa’s mobile infrastructure provides an exceptional foundation for AI-powered health interventions. As of 2024:</w:t>
      </w:r>
    </w:p>
    <w:p>
      <w:pPr>
        <w:pStyle w:val="Compact"/>
        <w:numPr>
          <w:ilvl w:val="0"/>
          <w:numId w:val="1001"/>
        </w:numPr>
      </w:pPr>
      <w:r>
        <w:rPr>
          <w:b/>
          <w:bCs/>
        </w:rPr>
        <w:t xml:space="preserve">Mobile subscribers:</w:t>
      </w:r>
      <w:r>
        <w:t xml:space="preserve"> </w:t>
      </w:r>
      <w:r>
        <w:t xml:space="preserve">615 million (46% of continental population)</w:t>
      </w:r>
    </w:p>
    <w:p>
      <w:pPr>
        <w:pStyle w:val="Compact"/>
        <w:numPr>
          <w:ilvl w:val="0"/>
          <w:numId w:val="1001"/>
        </w:numPr>
      </w:pPr>
      <w:r>
        <w:rPr>
          <w:b/>
          <w:bCs/>
        </w:rPr>
        <w:t xml:space="preserve">Sub-Saharan Africa projections:</w:t>
      </w:r>
      <w:r>
        <w:t xml:space="preserve"> </w:t>
      </w:r>
      <w:r>
        <w:t xml:space="preserve">1.2 billion subscribers by 2030 (Ericsson Mobility Report, 2024)</w:t>
      </w:r>
    </w:p>
    <w:p>
      <w:pPr>
        <w:pStyle w:val="Compact"/>
        <w:numPr>
          <w:ilvl w:val="0"/>
          <w:numId w:val="1001"/>
        </w:numPr>
      </w:pPr>
      <w:r>
        <w:rPr>
          <w:b/>
          <w:bCs/>
        </w:rPr>
        <w:t xml:space="preserve">Smartphone subscriptions:</w:t>
      </w:r>
      <w:r>
        <w:t xml:space="preserve"> </w:t>
      </w:r>
      <w:r>
        <w:t xml:space="preserve">534 million in Sub-Saharan Africa (2024), projected to reach 786 million by 2029</w:t>
      </w:r>
    </w:p>
    <w:p>
      <w:pPr>
        <w:pStyle w:val="FirstParagraph"/>
      </w:pPr>
      <w:r>
        <w:t xml:space="preserve">(GSMA Mobile Economy Africa, 2025)</w:t>
      </w:r>
    </w:p>
    <w:p>
      <w:pPr>
        <w:pStyle w:val="BodyText"/>
      </w:pPr>
      <w:r>
        <w:t xml:space="preserve">The mobile sector generates $220 billion in economic value (7.7% of continental GDP), with projections indicating growth to $270 billion by 2030.</w:t>
      </w:r>
    </w:p>
    <w:bookmarkEnd w:id="32"/>
    <w:bookmarkStart w:id="33" w:name="m-pesa-and-mobile-money"/>
    <w:p>
      <w:pPr>
        <w:pStyle w:val="Heading3"/>
      </w:pPr>
      <w:r>
        <w:t xml:space="preserve">5.2 M-PESA and Mobile Money</w:t>
      </w:r>
    </w:p>
    <w:p>
      <w:pPr>
        <w:pStyle w:val="FirstParagraph"/>
      </w:pPr>
      <w:r>
        <w:t xml:space="preserve">M-PESA, launched in Kenya in 2007, has evolved into Africa’s dominant financial platform:</w:t>
      </w:r>
    </w:p>
    <w:p>
      <w:pPr>
        <w:pStyle w:val="BodyText"/>
      </w:pPr>
      <w:r>
        <w:rPr>
          <w:b/>
          <w:bCs/>
        </w:rPr>
        <w:t xml:space="preserve">Key metrics (FY 2024):</w:t>
      </w:r>
      <w:r>
        <w:t xml:space="preserve"> </w:t>
      </w:r>
      <w:r>
        <w:t xml:space="preserve">-</w:t>
      </w:r>
      <w:r>
        <w:t xml:space="preserve"> </w:t>
      </w:r>
      <w:r>
        <w:rPr>
          <w:b/>
          <w:bCs/>
        </w:rPr>
        <w:t xml:space="preserve">Customers:</w:t>
      </w:r>
      <w:r>
        <w:t xml:space="preserve"> </w:t>
      </w:r>
      <w:r>
        <w:t xml:space="preserve">66.2 million (up from 60.7 million in 2023)</w:t>
      </w:r>
      <w:r>
        <w:t xml:space="preserve"> </w:t>
      </w:r>
      <w:r>
        <w:t xml:space="preserve">-</w:t>
      </w:r>
      <w:r>
        <w:t xml:space="preserve"> </w:t>
      </w:r>
      <w:r>
        <w:rPr>
          <w:b/>
          <w:bCs/>
        </w:rPr>
        <w:t xml:space="preserve">Transaction volume:</w:t>
      </w:r>
      <w:r>
        <w:t xml:space="preserve"> </w:t>
      </w:r>
      <w:r>
        <w:t xml:space="preserve">33 billion transactions</w:t>
      </w:r>
      <w:r>
        <w:t xml:space="preserve"> </w:t>
      </w:r>
      <w:r>
        <w:t xml:space="preserve">-</w:t>
      </w:r>
      <w:r>
        <w:t xml:space="preserve"> </w:t>
      </w:r>
      <w:r>
        <w:rPr>
          <w:b/>
          <w:bCs/>
        </w:rPr>
        <w:t xml:space="preserve">Transaction value:</w:t>
      </w:r>
      <w:r>
        <w:t xml:space="preserve"> </w:t>
      </w:r>
      <w:r>
        <w:t xml:space="preserve">KSh 40+ trillion (~$309 billion)</w:t>
      </w:r>
      <w:r>
        <w:t xml:space="preserve"> </w:t>
      </w:r>
      <w:r>
        <w:t xml:space="preserve">-</w:t>
      </w:r>
      <w:r>
        <w:t xml:space="preserve"> </w:t>
      </w:r>
      <w:r>
        <w:rPr>
          <w:b/>
          <w:bCs/>
        </w:rPr>
        <w:t xml:space="preserve">Agent network:</w:t>
      </w:r>
      <w:r>
        <w:t xml:space="preserve"> </w:t>
      </w:r>
      <w:r>
        <w:t xml:space="preserve">381,000 agents managing 82 million accounts</w:t>
      </w:r>
      <w:r>
        <w:t xml:space="preserve"> </w:t>
      </w:r>
      <w:r>
        <w:t xml:space="preserve">-</w:t>
      </w:r>
      <w:r>
        <w:t xml:space="preserve"> </w:t>
      </w:r>
      <w:r>
        <w:rPr>
          <w:b/>
          <w:bCs/>
        </w:rPr>
        <w:t xml:space="preserve">Service revenue:</w:t>
      </w:r>
      <w:r>
        <w:t xml:space="preserve"> </w:t>
      </w:r>
      <w:r>
        <w:t xml:space="preserve">KSh 139.91 billion (~$1.1 billion)</w:t>
      </w:r>
    </w:p>
    <w:p>
      <w:pPr>
        <w:pStyle w:val="BodyText"/>
      </w:pPr>
      <w:r>
        <w:t xml:space="preserve">(Safaricom Annual Report, 2024; Electroiq, 2024)</w:t>
      </w:r>
    </w:p>
    <w:bookmarkEnd w:id="33"/>
    <w:bookmarkStart w:id="34" w:name="financial-inclusion-impact"/>
    <w:p>
      <w:pPr>
        <w:pStyle w:val="Heading3"/>
      </w:pPr>
      <w:r>
        <w:t xml:space="preserve">5.3 Financial Inclusion Impact</w:t>
      </w:r>
    </w:p>
    <w:p>
      <w:pPr>
        <w:pStyle w:val="FirstParagraph"/>
      </w:pPr>
      <w:r>
        <w:t xml:space="preserve">Mobile money has driven unprecedented financial inclusion expansion:</w:t>
      </w:r>
      <w:r>
        <w:t xml:space="preserve"> </w:t>
      </w:r>
      <w:r>
        <w:t xml:space="preserve">-</w:t>
      </w:r>
      <w:r>
        <w:t xml:space="preserve"> </w:t>
      </w:r>
      <w:r>
        <w:rPr>
          <w:b/>
          <w:bCs/>
        </w:rPr>
        <w:t xml:space="preserve">Account ownership (Sub-Saharan Africa):</w:t>
      </w:r>
      <w:r>
        <w:t xml:space="preserve"> </w:t>
      </w:r>
      <w:r>
        <w:t xml:space="preserve">Increased from 49% (2021) to 58.2% (2024)</w:t>
      </w:r>
      <w:r>
        <w:t xml:space="preserve"> </w:t>
      </w:r>
      <w:r>
        <w:t xml:space="preserve">-</w:t>
      </w:r>
      <w:r>
        <w:t xml:space="preserve"> </w:t>
      </w:r>
      <w:r>
        <w:rPr>
          <w:b/>
          <w:bCs/>
        </w:rPr>
        <w:t xml:space="preserve">Mobile money accounts:</w:t>
      </w:r>
      <w:r>
        <w:t xml:space="preserve"> </w:t>
      </w:r>
      <w:r>
        <w:t xml:space="preserve">40% of adults (2024), up from 27% (2021)</w:t>
      </w:r>
      <w:r>
        <w:t xml:space="preserve"> </w:t>
      </w:r>
      <w:r>
        <w:t xml:space="preserve">-</w:t>
      </w:r>
      <w:r>
        <w:t xml:space="preserve"> </w:t>
      </w:r>
      <w:r>
        <w:rPr>
          <w:b/>
          <w:bCs/>
        </w:rPr>
        <w:t xml:space="preserve">Kenya:</w:t>
      </w:r>
      <w:r>
        <w:t xml:space="preserve"> </w:t>
      </w:r>
      <w:r>
        <w:t xml:space="preserve">90% of adults possess financial accounts—highest in Sub-Saharan Africa</w:t>
      </w:r>
    </w:p>
    <w:p>
      <w:pPr>
        <w:pStyle w:val="BodyText"/>
      </w:pPr>
      <w:r>
        <w:t xml:space="preserve">(World Bank Global Findex Database, 2025)</w:t>
      </w:r>
    </w:p>
    <w:p>
      <w:pPr>
        <w:pStyle w:val="BodyText"/>
      </w:pPr>
      <w:r>
        <w:rPr>
          <w:b/>
          <w:bCs/>
        </w:rPr>
        <w:t xml:space="preserve">Table 3: Financial Inclusion Metrics (2024)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Account Ownership</w:t>
            </w:r>
          </w:p>
        </w:tc>
        <w:tc>
          <w:tcPr/>
          <w:p>
            <w:pPr>
              <w:pStyle w:val="Compact"/>
            </w:pPr>
            <w:r>
              <w:t xml:space="preserve">Mobile Money Accounts</w:t>
            </w:r>
          </w:p>
        </w:tc>
      </w:tr>
      <w:tr>
        <w:tc>
          <w:tcPr/>
          <w:p>
            <w:pPr>
              <w:pStyle w:val="Compact"/>
            </w:pPr>
            <w:r>
              <w:t xml:space="preserve">Kenya</w:t>
            </w:r>
          </w:p>
        </w:tc>
        <w:tc>
          <w:tcPr/>
          <w:p>
            <w:pPr>
              <w:pStyle w:val="Compact"/>
            </w:pPr>
            <w:r>
              <w:t xml:space="preserve">90%</w:t>
            </w:r>
          </w:p>
        </w:tc>
        <w:tc>
          <w:tcPr/>
          <w:p>
            <w:pPr>
              <w:pStyle w:val="Compact"/>
            </w:pPr>
            <w:r>
              <w:t xml:space="preserve">60%+</w:t>
            </w:r>
          </w:p>
        </w:tc>
      </w:tr>
      <w:tr>
        <w:tc>
          <w:tcPr/>
          <w:p>
            <w:pPr>
              <w:pStyle w:val="Compact"/>
            </w:pPr>
            <w:r>
              <w:t xml:space="preserve">Ghana</w:t>
            </w:r>
          </w:p>
        </w:tc>
        <w:tc>
          <w:tcPr/>
          <w:p>
            <w:pPr>
              <w:pStyle w:val="Compact"/>
            </w:pPr>
            <w:r>
              <w:t xml:space="preserve">81.2%</w:t>
            </w:r>
          </w:p>
        </w:tc>
        <w:tc>
          <w:tcPr/>
          <w:p>
            <w:pPr>
              <w:pStyle w:val="Compact"/>
            </w:pPr>
            <w:r>
              <w:t xml:space="preserve">50%+</w:t>
            </w:r>
          </w:p>
        </w:tc>
      </w:tr>
      <w:tr>
        <w:tc>
          <w:tcPr/>
          <w:p>
            <w:pPr>
              <w:pStyle w:val="Compact"/>
            </w:pPr>
            <w:r>
              <w:t xml:space="preserve">Senegal</w:t>
            </w:r>
          </w:p>
        </w:tc>
        <w:tc>
          <w:tcPr/>
          <w:p>
            <w:pPr>
              <w:pStyle w:val="Compact"/>
            </w:pPr>
            <w:r>
              <w:t xml:space="preserve">76.5%</w:t>
            </w:r>
          </w:p>
        </w:tc>
        <w:tc>
          <w:tcPr/>
          <w:p>
            <w:pPr>
              <w:pStyle w:val="Compact"/>
            </w:pPr>
            <w:r>
              <w:t xml:space="preserve">45%+</w:t>
            </w:r>
          </w:p>
        </w:tc>
      </w:tr>
      <w:tr>
        <w:tc>
          <w:tcPr/>
          <w:p>
            <w:pPr>
              <w:pStyle w:val="Compact"/>
            </w:pPr>
            <w:r>
              <w:t xml:space="preserve">Zambia</w:t>
            </w:r>
          </w:p>
        </w:tc>
        <w:tc>
          <w:tcPr/>
          <w:p>
            <w:pPr>
              <w:pStyle w:val="Compact"/>
            </w:pPr>
            <w:r>
              <w:t xml:space="preserve">72.7%</w:t>
            </w:r>
          </w:p>
        </w:tc>
        <w:tc>
          <w:tcPr/>
          <w:p>
            <w:pPr>
              <w:pStyle w:val="Compact"/>
            </w:pPr>
            <w:r>
              <w:t xml:space="preserve">40%+</w:t>
            </w:r>
          </w:p>
        </w:tc>
      </w:tr>
    </w:tbl>
    <w:p>
      <w:pPr>
        <w:pStyle w:val="BodyText"/>
      </w:pPr>
      <w:r>
        <w:rPr>
          <w:i/>
          <w:iCs/>
        </w:rPr>
        <w:t xml:space="preserve">Source: World Bank Global Findex 2025</w:t>
      </w:r>
    </w:p>
    <w:bookmarkEnd w:id="34"/>
    <w:bookmarkStart w:id="35" w:name="digital-payment-adoption"/>
    <w:p>
      <w:pPr>
        <w:pStyle w:val="Heading3"/>
      </w:pPr>
      <w:r>
        <w:t xml:space="preserve">5.4 Digital Payment Adoption</w:t>
      </w:r>
    </w:p>
    <w:p>
      <w:pPr>
        <w:pStyle w:val="FirstParagraph"/>
      </w:pPr>
      <w:r>
        <w:t xml:space="preserve">Digital payments have become the dominant transaction mechanism in leading African markets:</w:t>
      </w:r>
      <w:r>
        <w:t xml:space="preserve"> </w:t>
      </w:r>
      <w:r>
        <w:t xml:space="preserve">-</w:t>
      </w:r>
      <w:r>
        <w:t xml:space="preserve"> </w:t>
      </w:r>
      <w:r>
        <w:rPr>
          <w:b/>
          <w:bCs/>
        </w:rPr>
        <w:t xml:space="preserve">Kenya:</w:t>
      </w:r>
      <w:r>
        <w:t xml:space="preserve"> </w:t>
      </w:r>
      <w:r>
        <w:t xml:space="preserve">89% of adults made or received digital payments (2024)</w:t>
      </w:r>
      <w:r>
        <w:t xml:space="preserve"> </w:t>
      </w:r>
      <w:r>
        <w:t xml:space="preserve">-</w:t>
      </w:r>
      <w:r>
        <w:t xml:space="preserve"> </w:t>
      </w:r>
      <w:r>
        <w:rPr>
          <w:b/>
          <w:bCs/>
        </w:rPr>
        <w:t xml:space="preserve">Ghana:</w:t>
      </w:r>
      <w:r>
        <w:t xml:space="preserve"> </w:t>
      </w:r>
      <w:r>
        <w:t xml:space="preserve">80% of adults</w:t>
      </w:r>
      <w:r>
        <w:t xml:space="preserve"> </w:t>
      </w:r>
      <w:r>
        <w:t xml:space="preserve">-</w:t>
      </w:r>
      <w:r>
        <w:t xml:space="preserve"> </w:t>
      </w:r>
      <w:r>
        <w:rPr>
          <w:b/>
          <w:bCs/>
        </w:rPr>
        <w:t xml:space="preserve">Senegal:</w:t>
      </w:r>
      <w:r>
        <w:t xml:space="preserve"> </w:t>
      </w:r>
      <w:r>
        <w:t xml:space="preserve">73% of adults</w:t>
      </w:r>
    </w:p>
    <w:p>
      <w:pPr>
        <w:pStyle w:val="BodyText"/>
      </w:pPr>
      <w:r>
        <w:t xml:space="preserve">(World Bank Global Findex, 2025)</w:t>
      </w:r>
    </w:p>
    <w:p>
      <w:pPr>
        <w:pStyle w:val="BodyText"/>
      </w:pPr>
      <w:r>
        <w:t xml:space="preserve">This infrastructure enables integration of health services with payment systems, facilitating sustainable AI diagnostic deployment through existing digital channels.</w:t>
      </w:r>
    </w:p>
    <w:p>
      <w:r>
        <w:pict>
          <v:rect style="width:0;height:1.5pt" o:hralign="center" o:hrstd="t" o:hr="t"/>
        </w:pict>
      </w:r>
    </w:p>
    <w:bookmarkEnd w:id="35"/>
    <w:bookmarkEnd w:id="36"/>
    <w:bookmarkStart w:id="40" w:name="complementary-ai-healthcare-deployments"/>
    <w:p>
      <w:pPr>
        <w:pStyle w:val="Heading2"/>
      </w:pPr>
      <w:r>
        <w:t xml:space="preserve">6. Complementary AI Healthcare Deployments</w:t>
      </w:r>
    </w:p>
    <w:bookmarkStart w:id="37" w:name="Xa4ed616bf27c3e0c1ed24e1143e8c444e695f5e"/>
    <w:p>
      <w:pPr>
        <w:pStyle w:val="Heading3"/>
      </w:pPr>
      <w:r>
        <w:t xml:space="preserve">6.1 Point-of-Care Ultrasound: Butterfly Network</w:t>
      </w:r>
    </w:p>
    <w:p>
      <w:pPr>
        <w:pStyle w:val="FirstParagraph"/>
      </w:pPr>
      <w:r>
        <w:t xml:space="preserve">The Gates Foundation-funded initiative deployed 1,000 Butterfly iQ+ handheld ultrasound probes across Kenya and South Africa (2022-2024):</w:t>
      </w:r>
    </w:p>
    <w:p>
      <w:pPr>
        <w:pStyle w:val="BodyText"/>
      </w:pPr>
      <w:r>
        <w:rPr>
          <w:b/>
          <w:bCs/>
        </w:rPr>
        <w:t xml:space="preserve">Kenya results (Butterfly Network, 2024):</w:t>
      </w:r>
      <w:r>
        <w:t xml:space="preserve"> </w:t>
      </w:r>
      <w:r>
        <w:t xml:space="preserve">-</w:t>
      </w:r>
      <w:r>
        <w:t xml:space="preserve"> </w:t>
      </w:r>
      <w:r>
        <w:rPr>
          <w:b/>
          <w:bCs/>
        </w:rPr>
        <w:t xml:space="preserve">Practitioners trained:</w:t>
      </w:r>
      <w:r>
        <w:t xml:space="preserve"> </w:t>
      </w:r>
      <w:r>
        <w:t xml:space="preserve">514 across 224 public health facilities</w:t>
      </w:r>
      <w:r>
        <w:t xml:space="preserve"> </w:t>
      </w:r>
      <w:r>
        <w:t xml:space="preserve">-</w:t>
      </w:r>
      <w:r>
        <w:t xml:space="preserve"> </w:t>
      </w:r>
      <w:r>
        <w:rPr>
          <w:b/>
          <w:bCs/>
        </w:rPr>
        <w:t xml:space="preserve">Total scans completed:</w:t>
      </w:r>
      <w:r>
        <w:t xml:space="preserve"> </w:t>
      </w:r>
      <w:r>
        <w:t xml:space="preserve">1.8 million (combined Kenya and South Africa)</w:t>
      </w:r>
      <w:r>
        <w:t xml:space="preserve"> </w:t>
      </w:r>
      <w:r>
        <w:t xml:space="preserve">-</w:t>
      </w:r>
      <w:r>
        <w:t xml:space="preserve"> </w:t>
      </w:r>
      <w:r>
        <w:rPr>
          <w:b/>
          <w:bCs/>
        </w:rPr>
        <w:t xml:space="preserve">Monthly scan volume:</w:t>
      </w:r>
      <w:r>
        <w:t xml:space="preserve"> </w:t>
      </w:r>
      <w:r>
        <w:t xml:space="preserve">83,000 scans</w:t>
      </w:r>
      <w:r>
        <w:t xml:space="preserve"> </w:t>
      </w:r>
      <w:r>
        <w:t xml:space="preserve">-</w:t>
      </w:r>
      <w:r>
        <w:t xml:space="preserve"> </w:t>
      </w:r>
      <w:r>
        <w:rPr>
          <w:b/>
          <w:bCs/>
        </w:rPr>
        <w:t xml:space="preserve">Post-training provider confidence:</w:t>
      </w:r>
      <w:r>
        <w:t xml:space="preserve"> </w:t>
      </w:r>
      <w:r>
        <w:t xml:space="preserve">85% (up 23 percentage points)</w:t>
      </w:r>
      <w:r>
        <w:t xml:space="preserve"> </w:t>
      </w:r>
      <w:r>
        <w:t xml:space="preserve">-</w:t>
      </w:r>
      <w:r>
        <w:t xml:space="preserve"> </w:t>
      </w:r>
      <w:r>
        <w:rPr>
          <w:b/>
          <w:bCs/>
        </w:rPr>
        <w:t xml:space="preserve">High-risk conditions identified:</w:t>
      </w:r>
      <w:r>
        <w:t xml:space="preserve"> </w:t>
      </w:r>
      <w:r>
        <w:t xml:space="preserve">&gt;90% of trained providers identified conditions including breech presentations, multiple gestations, and placental abnormalities</w:t>
      </w:r>
    </w:p>
    <w:p>
      <w:pPr>
        <w:pStyle w:val="BodyText"/>
      </w:pPr>
      <w:r>
        <w:rPr>
          <w:b/>
          <w:bCs/>
        </w:rPr>
        <w:t xml:space="preserve">South Africa preliminary outcomes:</w:t>
      </w:r>
      <w:r>
        <w:t xml:space="preserve"> </w:t>
      </w:r>
      <w:r>
        <w:t xml:space="preserve">-</w:t>
      </w:r>
      <w:r>
        <w:t xml:space="preserve"> </w:t>
      </w:r>
      <w:r>
        <w:rPr>
          <w:b/>
          <w:bCs/>
        </w:rPr>
        <w:t xml:space="preserve">Stillbirth reduction:</w:t>
      </w:r>
      <w:r>
        <w:t xml:space="preserve"> </w:t>
      </w:r>
      <w:r>
        <w:t xml:space="preserve">1.13% decrease</w:t>
      </w:r>
      <w:r>
        <w:t xml:space="preserve"> </w:t>
      </w:r>
      <w:r>
        <w:t xml:space="preserve">-</w:t>
      </w:r>
      <w:r>
        <w:t xml:space="preserve"> </w:t>
      </w:r>
      <w:r>
        <w:rPr>
          <w:b/>
          <w:bCs/>
        </w:rPr>
        <w:t xml:space="preserve">Maternal mortality reduction:</w:t>
      </w:r>
      <w:r>
        <w:t xml:space="preserve"> </w:t>
      </w:r>
      <w:r>
        <w:t xml:space="preserve">20.6% decrease in Eastern Cape province</w:t>
      </w:r>
      <w:r>
        <w:t xml:space="preserve"> </w:t>
      </w:r>
      <w:r>
        <w:t xml:space="preserve">-</w:t>
      </w:r>
      <w:r>
        <w:t xml:space="preserve"> </w:t>
      </w:r>
      <w:r>
        <w:rPr>
          <w:b/>
          <w:bCs/>
        </w:rPr>
        <w:t xml:space="preserve">Appropriate referrals:</w:t>
      </w:r>
      <w:r>
        <w:t xml:space="preserve"> </w:t>
      </w:r>
      <w:r>
        <w:t xml:space="preserve">873 high-risk cases referred to higher-level care</w:t>
      </w:r>
    </w:p>
    <w:bookmarkEnd w:id="37"/>
    <w:bookmarkStart w:id="38" w:name="radify-pneumonia-and-tb-detection"/>
    <w:p>
      <w:pPr>
        <w:pStyle w:val="Heading3"/>
      </w:pPr>
      <w:r>
        <w:t xml:space="preserve">6.2 RADIFY: Pneumonia and TB Detection</w:t>
      </w:r>
    </w:p>
    <w:p>
      <w:pPr>
        <w:pStyle w:val="FirstParagraph"/>
      </w:pPr>
      <w:r>
        <w:t xml:space="preserve">RADIFY, an AI-powered chest X-ray analysis platform, detects 16-20 major abnormalities including TB-associated patterns:</w:t>
      </w:r>
      <w:r>
        <w:t xml:space="preserve"> </w:t>
      </w:r>
      <w:r>
        <w:t xml:space="preserve">-</w:t>
      </w:r>
      <w:r>
        <w:t xml:space="preserve"> </w:t>
      </w:r>
      <w:r>
        <w:rPr>
          <w:b/>
          <w:bCs/>
        </w:rPr>
        <w:t xml:space="preserve">Processing capacity:</w:t>
      </w:r>
      <w:r>
        <w:t xml:space="preserve"> </w:t>
      </w:r>
      <w:r>
        <w:t xml:space="preserve">2,000+ X-ray images per minute</w:t>
      </w:r>
      <w:r>
        <w:t xml:space="preserve"> </w:t>
      </w:r>
      <w:r>
        <w:t xml:space="preserve">-</w:t>
      </w:r>
      <w:r>
        <w:t xml:space="preserve"> </w:t>
      </w:r>
      <w:r>
        <w:rPr>
          <w:b/>
          <w:bCs/>
        </w:rPr>
        <w:t xml:space="preserve">Deployment capability:</w:t>
      </w:r>
      <w:r>
        <w:t xml:space="preserve"> </w:t>
      </w:r>
      <w:r>
        <w:t xml:space="preserve">Both high-volume hospitals and remote point-of-care facilities</w:t>
      </w:r>
      <w:r>
        <w:t xml:space="preserve"> </w:t>
      </w:r>
      <w:r>
        <w:t xml:space="preserve">-</w:t>
      </w:r>
      <w:r>
        <w:t xml:space="preserve"> </w:t>
      </w:r>
      <w:r>
        <w:rPr>
          <w:b/>
          <w:bCs/>
        </w:rPr>
        <w:t xml:space="preserve">TB triaging:</w:t>
      </w:r>
      <w:r>
        <w:t xml:space="preserve"> </w:t>
      </w:r>
      <w:r>
        <w:t xml:space="preserve">Stratifies patients by probability (high/intermediate/low)</w:t>
      </w:r>
    </w:p>
    <w:p>
      <w:pPr>
        <w:pStyle w:val="BodyText"/>
      </w:pPr>
      <w:r>
        <w:t xml:space="preserve">(RADIFY.ai, 2025)</w:t>
      </w:r>
    </w:p>
    <w:bookmarkEnd w:id="38"/>
    <w:bookmarkStart w:id="39" w:name="african-healthtech-investment"/>
    <w:p>
      <w:pPr>
        <w:pStyle w:val="Heading3"/>
      </w:pPr>
      <w:r>
        <w:t xml:space="preserve">6.3 African HealthTech Investment</w:t>
      </w:r>
    </w:p>
    <w:p>
      <w:pPr>
        <w:pStyle w:val="FirstParagraph"/>
      </w:pPr>
      <w:r>
        <w:t xml:space="preserve">The African healthtech investment ecosystem experienced significant growth in 2025:</w:t>
      </w:r>
      <w:r>
        <w:t xml:space="preserve"> </w:t>
      </w:r>
      <w:r>
        <w:t xml:space="preserve">-</w:t>
      </w:r>
      <w:r>
        <w:t xml:space="preserve"> </w:t>
      </w:r>
      <w:r>
        <w:rPr>
          <w:b/>
          <w:bCs/>
        </w:rPr>
        <w:t xml:space="preserve">Funding (January-May 2025):</w:t>
      </w:r>
      <w:r>
        <w:t xml:space="preserve"> </w:t>
      </w:r>
      <w:r>
        <w:t xml:space="preserve">$1 billion raised by African startups (40% increase from 2024)</w:t>
      </w:r>
      <w:r>
        <w:t xml:space="preserve"> </w:t>
      </w:r>
      <w:r>
        <w:t xml:space="preserve">-</w:t>
      </w:r>
      <w:r>
        <w:t xml:space="preserve"> </w:t>
      </w:r>
      <w:r>
        <w:rPr>
          <w:b/>
          <w:bCs/>
        </w:rPr>
        <w:t xml:space="preserve">12-month total (June 2024-June 2025):</w:t>
      </w:r>
      <w:r>
        <w:t xml:space="preserve"> </w:t>
      </w:r>
      <w:r>
        <w:t xml:space="preserve">$2.5 billion—highest since early 2024</w:t>
      </w:r>
      <w:r>
        <w:t xml:space="preserve"> </w:t>
      </w:r>
      <w:r>
        <w:t xml:space="preserve">-</w:t>
      </w:r>
      <w:r>
        <w:t xml:space="preserve"> </w:t>
      </w:r>
      <w:r>
        <w:rPr>
          <w:b/>
          <w:bCs/>
        </w:rPr>
        <w:t xml:space="preserve">Digital health market projection:</w:t>
      </w:r>
      <w:r>
        <w:t xml:space="preserve"> </w:t>
      </w:r>
      <w:r>
        <w:t xml:space="preserve">$5.11 billion revenue by 2025, growing 7.26% annually through 2030</w:t>
      </w:r>
    </w:p>
    <w:p>
      <w:pPr>
        <w:pStyle w:val="BodyText"/>
      </w:pPr>
      <w:r>
        <w:t xml:space="preserve">(Techpoint Africa, 2025; Statista, 2025)</w:t>
      </w:r>
    </w:p>
    <w:p>
      <w:pPr>
        <w:pStyle w:val="BodyText"/>
      </w:pPr>
      <w:r>
        <w:rPr>
          <w:b/>
          <w:bCs/>
        </w:rPr>
        <w:t xml:space="preserve">Notable healthtech investments:</w:t>
      </w:r>
      <w:r>
        <w:t xml:space="preserve"> </w:t>
      </w:r>
      <w:r>
        <w:t xml:space="preserve">-</w:t>
      </w:r>
      <w:r>
        <w:t xml:space="preserve"> </w:t>
      </w:r>
      <w:r>
        <w:rPr>
          <w:b/>
          <w:bCs/>
        </w:rPr>
        <w:t xml:space="preserve">hearX (South Africa):</w:t>
      </w:r>
      <w:r>
        <w:t xml:space="preserve"> </w:t>
      </w:r>
      <w:r>
        <w:t xml:space="preserve">$100 million merger with Eargo for hearing health technology</w:t>
      </w:r>
      <w:r>
        <w:t xml:space="preserve"> </w:t>
      </w:r>
      <w:r>
        <w:t xml:space="preserve">-</w:t>
      </w:r>
      <w:r>
        <w:t xml:space="preserve"> </w:t>
      </w:r>
      <w:r>
        <w:rPr>
          <w:b/>
          <w:bCs/>
        </w:rPr>
        <w:t xml:space="preserve">Platos Health (Nigeria):</w:t>
      </w:r>
      <w:r>
        <w:t xml:space="preserve"> </w:t>
      </w:r>
      <w:r>
        <w:t xml:space="preserve">$1.4 million pre-seed for AI-powered health monitoring</w:t>
      </w:r>
      <w:r>
        <w:t xml:space="preserve"> </w:t>
      </w:r>
      <w:r>
        <w:t xml:space="preserve">-</w:t>
      </w:r>
      <w:r>
        <w:t xml:space="preserve"> </w:t>
      </w:r>
      <w:r>
        <w:rPr>
          <w:b/>
          <w:bCs/>
        </w:rPr>
        <w:t xml:space="preserve">Deep Echo (Morocco):</w:t>
      </w:r>
      <w:r>
        <w:t xml:space="preserve"> </w:t>
      </w:r>
      <w:r>
        <w:t xml:space="preserve">FDA 510(k) clearance for AI fetal ultrasound analysis</w:t>
      </w:r>
    </w:p>
    <w:p>
      <w:r>
        <w:pict>
          <v:rect style="width:0;height:1.5pt" o:hralign="center" o:hrstd="t" o:hr="t"/>
        </w:pict>
      </w:r>
    </w:p>
    <w:bookmarkEnd w:id="39"/>
    <w:bookmarkEnd w:id="40"/>
    <w:bookmarkStart w:id="44" w:name="implementation-framework"/>
    <w:p>
      <w:pPr>
        <w:pStyle w:val="Heading2"/>
      </w:pPr>
      <w:r>
        <w:t xml:space="preserve">7. Implementation Framework</w:t>
      </w:r>
    </w:p>
    <w:bookmarkStart w:id="41" w:name="recommended-deployment-strategy"/>
    <w:p>
      <w:pPr>
        <w:pStyle w:val="Heading3"/>
      </w:pPr>
      <w:r>
        <w:t xml:space="preserve">7.1 Recommended Deployment Strategy</w:t>
      </w:r>
    </w:p>
    <w:p>
      <w:pPr>
        <w:pStyle w:val="FirstParagraph"/>
      </w:pPr>
      <w:r>
        <w:t xml:space="preserve">Based on evidence reviewed, we propose a phased deployment strategy:</w:t>
      </w:r>
    </w:p>
    <w:p>
      <w:pPr>
        <w:pStyle w:val="BodyText"/>
      </w:pPr>
      <w:r>
        <w:rPr>
          <w:b/>
          <w:bCs/>
        </w:rPr>
        <w:t xml:space="preserve">Phase 1: Proof of Concept (6 months)</w:t>
      </w:r>
      <w:r>
        <w:t xml:space="preserve"> </w:t>
      </w:r>
      <w:r>
        <w:t xml:space="preserve">- Partner country: Rwanda (strong government, tech infrastructure)</w:t>
      </w:r>
      <w:r>
        <w:t xml:space="preserve"> </w:t>
      </w:r>
      <w:r>
        <w:t xml:space="preserve">- Scale: 10 health centers, 50 community health workers</w:t>
      </w:r>
      <w:r>
        <w:t xml:space="preserve"> </w:t>
      </w:r>
      <w:r>
        <w:t xml:space="preserve">- Target: 50,000 individuals screened</w:t>
      </w:r>
      <w:r>
        <w:t xml:space="preserve"> </w:t>
      </w:r>
      <w:r>
        <w:t xml:space="preserve">- Budget: $500,000 (grant funding)</w:t>
      </w:r>
      <w:r>
        <w:t xml:space="preserve"> </w:t>
      </w:r>
      <w:r>
        <w:t xml:space="preserve">- Metrics: 85%+ accuracy, &lt;$5 per screening, 500+ critical diagnoses</w:t>
      </w:r>
    </w:p>
    <w:p>
      <w:pPr>
        <w:pStyle w:val="BodyText"/>
      </w:pPr>
      <w:r>
        <w:rPr>
          <w:b/>
          <w:bCs/>
        </w:rPr>
        <w:t xml:space="preserve">Phase 2: National Scale (12 months)</w:t>
      </w:r>
      <w:r>
        <w:t xml:space="preserve"> </w:t>
      </w:r>
      <w:r>
        <w:t xml:space="preserve">- Scale: 502 health centers, 5,000 community health workers</w:t>
      </w:r>
      <w:r>
        <w:t xml:space="preserve"> </w:t>
      </w:r>
      <w:r>
        <w:t xml:space="preserve">- Coverage: 10 million people (80% of Rwanda population)</w:t>
      </w:r>
      <w:r>
        <w:t xml:space="preserve"> </w:t>
      </w:r>
      <w:r>
        <w:t xml:space="preserve">- Budget: $8 million (government + donor)</w:t>
      </w:r>
      <w:r>
        <w:t xml:space="preserve"> </w:t>
      </w:r>
      <w:r>
        <w:t xml:space="preserve">- Revenue model: $2 per screening, break-even at 4 million screenings</w:t>
      </w:r>
    </w:p>
    <w:p>
      <w:pPr>
        <w:pStyle w:val="BodyText"/>
      </w:pPr>
      <w:r>
        <w:rPr>
          <w:b/>
          <w:bCs/>
        </w:rPr>
        <w:t xml:space="preserve">Phase 3: Regional Expansion (24 months)</w:t>
      </w:r>
      <w:r>
        <w:t xml:space="preserve"> </w:t>
      </w:r>
      <w:r>
        <w:t xml:space="preserve">- Countries: East African Community (Kenya, Tanzania, Uganda, Burundi, South Sudan)</w:t>
      </w:r>
      <w:r>
        <w:t xml:space="preserve"> </w:t>
      </w:r>
      <w:r>
        <w:t xml:space="preserve">- Coverage: 100 million people</w:t>
      </w:r>
      <w:r>
        <w:t xml:space="preserve"> </w:t>
      </w:r>
      <w:r>
        <w:t xml:space="preserve">- Budget: $40 million (World Bank + African Development Bank)</w:t>
      </w:r>
    </w:p>
    <w:bookmarkEnd w:id="41"/>
    <w:bookmarkStart w:id="42" w:name="critical-success-factors"/>
    <w:p>
      <w:pPr>
        <w:pStyle w:val="Heading3"/>
      </w:pPr>
      <w:r>
        <w:t xml:space="preserve">7.2 Critical Success Factors</w:t>
      </w:r>
    </w:p>
    <w:p>
      <w:pPr>
        <w:pStyle w:val="Compact"/>
        <w:numPr>
          <w:ilvl w:val="0"/>
          <w:numId w:val="1002"/>
        </w:numPr>
      </w:pPr>
      <w:r>
        <w:rPr>
          <w:b/>
          <w:bCs/>
        </w:rPr>
        <w:t xml:space="preserve">Offline-first architecture:</w:t>
      </w:r>
      <w:r>
        <w:t xml:space="preserve"> </w:t>
      </w:r>
      <w:r>
        <w:t xml:space="preserve">Models must run on-device (TensorFlow Lite, &lt;50MB) for areas lacking reliable connectivity</w:t>
      </w:r>
    </w:p>
    <w:p>
      <w:pPr>
        <w:pStyle w:val="Compact"/>
        <w:numPr>
          <w:ilvl w:val="0"/>
          <w:numId w:val="1002"/>
        </w:numPr>
      </w:pPr>
      <w:r>
        <w:rPr>
          <w:b/>
          <w:bCs/>
        </w:rPr>
        <w:t xml:space="preserve">Diverse training data:</w:t>
      </w:r>
      <w:r>
        <w:t xml:space="preserve"> </w:t>
      </w:r>
      <w:r>
        <w:t xml:space="preserve">All AI systems must be validated on datasets including adequate Fitzpatrick V-VI representation</w:t>
      </w:r>
    </w:p>
    <w:p>
      <w:pPr>
        <w:pStyle w:val="Compact"/>
        <w:numPr>
          <w:ilvl w:val="0"/>
          <w:numId w:val="1002"/>
        </w:numPr>
      </w:pPr>
      <w:r>
        <w:rPr>
          <w:b/>
          <w:bCs/>
        </w:rPr>
        <w:t xml:space="preserve">Integration with existing systems:</w:t>
      </w:r>
      <w:r>
        <w:t xml:space="preserve"> </w:t>
      </w:r>
      <w:r>
        <w:t xml:space="preserve">Connection to national TB surveillance (e.g., Kenya’s TIBULIMS) and mobile payment infrastructure</w:t>
      </w:r>
    </w:p>
    <w:p>
      <w:pPr>
        <w:pStyle w:val="Compact"/>
        <w:numPr>
          <w:ilvl w:val="0"/>
          <w:numId w:val="1002"/>
        </w:numPr>
      </w:pPr>
      <w:r>
        <w:rPr>
          <w:b/>
          <w:bCs/>
        </w:rPr>
        <w:t xml:space="preserve">Community engagement:</w:t>
      </w:r>
      <w:r>
        <w:t xml:space="preserve"> </w:t>
      </w:r>
      <w:r>
        <w:t xml:space="preserve">Local champions, culturally appropriate messaging, local language support</w:t>
      </w:r>
    </w:p>
    <w:p>
      <w:pPr>
        <w:pStyle w:val="Compact"/>
        <w:numPr>
          <w:ilvl w:val="0"/>
          <w:numId w:val="1002"/>
        </w:numPr>
      </w:pPr>
      <w:r>
        <w:rPr>
          <w:b/>
          <w:bCs/>
        </w:rPr>
        <w:t xml:space="preserve">Human-in-the-loop:</w:t>
      </w:r>
      <w:r>
        <w:t xml:space="preserve"> </w:t>
      </w:r>
      <w:r>
        <w:t xml:space="preserve">AI as decision support, not replacement—all high-risk cases require human review</w:t>
      </w:r>
    </w:p>
    <w:bookmarkEnd w:id="42"/>
    <w:bookmarkStart w:id="43" w:name="addressing-algorithmic-bias"/>
    <w:p>
      <w:pPr>
        <w:pStyle w:val="Heading3"/>
      </w:pPr>
      <w:r>
        <w:t xml:space="preserve">7.3 Addressing Algorithmic Bias</w:t>
      </w:r>
    </w:p>
    <w:p>
      <w:pPr>
        <w:pStyle w:val="FirstParagraph"/>
      </w:pPr>
      <w:r>
        <w:t xml:space="preserve">Mandatory requirements for responsible AI deployment:</w:t>
      </w:r>
      <w:r>
        <w:t xml:space="preserve"> </w:t>
      </w:r>
      <w:r>
        <w:t xml:space="preserve">1. Pre-deployment testing stratified by skin tone with minimum thresholds for all groups</w:t>
      </w:r>
      <w:r>
        <w:t xml:space="preserve"> </w:t>
      </w:r>
      <w:r>
        <w:t xml:space="preserve">2. No performance gap &gt;10% between demographic groups</w:t>
      </w:r>
      <w:r>
        <w:t xml:space="preserve"> </w:t>
      </w:r>
      <w:r>
        <w:t xml:space="preserve">3. Ongoing monitoring with monthly bias audits</w:t>
      </w:r>
      <w:r>
        <w:t xml:space="preserve"> </w:t>
      </w:r>
      <w:r>
        <w:t xml:space="preserve">4. Community feedback mechanisms</w:t>
      </w:r>
      <w:r>
        <w:t xml:space="preserve"> </w:t>
      </w:r>
      <w:r>
        <w:t xml:space="preserve">5. Fine-tuning on local population data before deployment</w:t>
      </w:r>
    </w:p>
    <w:p>
      <w:r>
        <w:pict>
          <v:rect style="width:0;height:1.5pt" o:hralign="center" o:hrstd="t" o:hr="t"/>
        </w:pict>
      </w:r>
    </w:p>
    <w:bookmarkEnd w:id="43"/>
    <w:bookmarkEnd w:id="44"/>
    <w:bookmarkStart w:id="47" w:name="projected-impact"/>
    <w:p>
      <w:pPr>
        <w:pStyle w:val="Heading2"/>
      </w:pPr>
      <w:r>
        <w:t xml:space="preserve">8. Projected Impact</w:t>
      </w:r>
    </w:p>
    <w:bookmarkStart w:id="45" w:name="lives-saved-estimates"/>
    <w:p>
      <w:pPr>
        <w:pStyle w:val="Heading3"/>
      </w:pPr>
      <w:r>
        <w:t xml:space="preserve">8.1 Lives Saved Estimates</w:t>
      </w:r>
    </w:p>
    <w:p>
      <w:pPr>
        <w:pStyle w:val="FirstParagraph"/>
      </w:pPr>
      <w:r>
        <w:t xml:space="preserve">Based on current deployment evidence and scaling projections:</w:t>
      </w:r>
    </w:p>
    <w:p>
      <w:pPr>
        <w:pStyle w:val="BodyText"/>
      </w:pPr>
      <w:r>
        <w:rPr>
          <w:b/>
          <w:bCs/>
        </w:rPr>
        <w:t xml:space="preserve">Tuberculosis (by 2035):</w:t>
      </w:r>
      <w:r>
        <w:t xml:space="preserve"> </w:t>
      </w:r>
      <w:r>
        <w:t xml:space="preserve">- Detection rate improvement: 60% → 90%</w:t>
      </w:r>
      <w:r>
        <w:t xml:space="preserve"> </w:t>
      </w:r>
      <w:r>
        <w:t xml:space="preserve">- Deaths reduced: ~424,000 → ~212,000 annually</w:t>
      </w:r>
      <w:r>
        <w:t xml:space="preserve"> </w:t>
      </w:r>
      <w:r>
        <w:t xml:space="preserve">-</w:t>
      </w:r>
      <w:r>
        <w:t xml:space="preserve"> </w:t>
      </w:r>
      <w:r>
        <w:rPr>
          <w:b/>
          <w:bCs/>
        </w:rPr>
        <w:t xml:space="preserve">Lives saved: ~212,000 per year</w:t>
      </w:r>
    </w:p>
    <w:p>
      <w:pPr>
        <w:pStyle w:val="BodyText"/>
      </w:pPr>
      <w:r>
        <w:rPr>
          <w:b/>
          <w:bCs/>
        </w:rPr>
        <w:t xml:space="preserve">Skin Cancer (by 2035):</w:t>
      </w:r>
      <w:r>
        <w:t xml:space="preserve"> </w:t>
      </w:r>
      <w:r>
        <w:t xml:space="preserve">- Early-stage detection improvement: 30% → 70%</w:t>
      </w:r>
      <w:r>
        <w:t xml:space="preserve"> </w:t>
      </w:r>
      <w:r>
        <w:t xml:space="preserve">- Deaths reduced: 50,000 → 20,000 annually</w:t>
      </w:r>
      <w:r>
        <w:t xml:space="preserve"> </w:t>
      </w:r>
      <w:r>
        <w:t xml:space="preserve">-</w:t>
      </w:r>
      <w:r>
        <w:t xml:space="preserve"> </w:t>
      </w:r>
      <w:r>
        <w:rPr>
          <w:b/>
          <w:bCs/>
        </w:rPr>
        <w:t xml:space="preserve">Lives saved: ~30,000 per year</w:t>
      </w:r>
    </w:p>
    <w:p>
      <w:pPr>
        <w:pStyle w:val="BodyText"/>
      </w:pPr>
      <w:r>
        <w:rPr>
          <w:b/>
          <w:bCs/>
        </w:rPr>
        <w:t xml:space="preserve">Total projected impact: 240,000+ lives saved annually by 2035</w:t>
      </w:r>
    </w:p>
    <w:bookmarkEnd w:id="45"/>
    <w:bookmarkStart w:id="46" w:name="economic-impact"/>
    <w:p>
      <w:pPr>
        <w:pStyle w:val="Heading3"/>
      </w:pPr>
      <w:r>
        <w:t xml:space="preserve">8.2 Economic Impact</w:t>
      </w:r>
    </w:p>
    <w:p>
      <w:pPr>
        <w:pStyle w:val="Compact"/>
        <w:numPr>
          <w:ilvl w:val="0"/>
          <w:numId w:val="1003"/>
        </w:numPr>
      </w:pPr>
      <w:r>
        <w:rPr>
          <w:b/>
          <w:bCs/>
        </w:rPr>
        <w:t xml:space="preserve">Healthcare cost savings:</w:t>
      </w:r>
      <w:r>
        <w:t xml:space="preserve"> </w:t>
      </w:r>
      <w:r>
        <w:t xml:space="preserve">$50-70 billion annually (90% reduction in per-screening costs)</w:t>
      </w:r>
    </w:p>
    <w:p>
      <w:pPr>
        <w:pStyle w:val="Compact"/>
        <w:numPr>
          <w:ilvl w:val="0"/>
          <w:numId w:val="1003"/>
        </w:numPr>
      </w:pPr>
      <w:r>
        <w:rPr>
          <w:b/>
          <w:bCs/>
        </w:rPr>
        <w:t xml:space="preserve">Cost per screening:</w:t>
      </w:r>
      <w:r>
        <w:t xml:space="preserve"> </w:t>
      </w:r>
      <w:r>
        <w:t xml:space="preserve">$50-100 (traditional) → $5-10 (AI-assisted)</w:t>
      </w:r>
    </w:p>
    <w:p>
      <w:pPr>
        <w:pStyle w:val="Compact"/>
        <w:numPr>
          <w:ilvl w:val="0"/>
          <w:numId w:val="1003"/>
        </w:numPr>
      </w:pPr>
      <w:r>
        <w:rPr>
          <w:b/>
          <w:bCs/>
        </w:rPr>
        <w:t xml:space="preserve">Jobs created:</w:t>
      </w:r>
      <w:r>
        <w:t xml:space="preserve"> </w:t>
      </w:r>
      <w:r>
        <w:t xml:space="preserve">100,000 AI health jobs by 2035</w:t>
      </w:r>
    </w:p>
    <w:p>
      <w:r>
        <w:pict>
          <v:rect style="width:0;height:1.5pt" o:hralign="center" o:hrstd="t" o:hr="t"/>
        </w:pict>
      </w:r>
    </w:p>
    <w:bookmarkEnd w:id="46"/>
    <w:bookmarkEnd w:id="47"/>
    <w:bookmarkStart w:id="50" w:name="limitations-and-ethical-considerations"/>
    <w:p>
      <w:pPr>
        <w:pStyle w:val="Heading2"/>
      </w:pPr>
      <w:r>
        <w:t xml:space="preserve">9. Limitations and Ethical Considerations</w:t>
      </w:r>
    </w:p>
    <w:bookmarkStart w:id="48" w:name="study-limitations"/>
    <w:p>
      <w:pPr>
        <w:pStyle w:val="Heading3"/>
      </w:pPr>
      <w:r>
        <w:t xml:space="preserve">9.1 Study Limitations</w:t>
      </w:r>
    </w:p>
    <w:p>
      <w:pPr>
        <w:pStyle w:val="Compact"/>
        <w:numPr>
          <w:ilvl w:val="0"/>
          <w:numId w:val="1004"/>
        </w:numPr>
      </w:pPr>
      <w:r>
        <w:t xml:space="preserve">Epidemiological data vary in quality across African countries</w:t>
      </w:r>
    </w:p>
    <w:p>
      <w:pPr>
        <w:pStyle w:val="Compact"/>
        <w:numPr>
          <w:ilvl w:val="0"/>
          <w:numId w:val="1004"/>
        </w:numPr>
      </w:pPr>
      <w:r>
        <w:t xml:space="preserve">AI deployment evidence derives primarily from Kenya, Uganda, and South Africa</w:t>
      </w:r>
    </w:p>
    <w:p>
      <w:pPr>
        <w:pStyle w:val="Compact"/>
        <w:numPr>
          <w:ilvl w:val="0"/>
          <w:numId w:val="1004"/>
        </w:numPr>
      </w:pPr>
      <w:r>
        <w:t xml:space="preserve">Long-term outcome data for AI-assisted diagnosis remain limited</w:t>
      </w:r>
    </w:p>
    <w:p>
      <w:pPr>
        <w:pStyle w:val="Compact"/>
        <w:numPr>
          <w:ilvl w:val="0"/>
          <w:numId w:val="1004"/>
        </w:numPr>
      </w:pPr>
      <w:r>
        <w:t xml:space="preserve">Projections assume continued mobile infrastructure expansion</w:t>
      </w:r>
    </w:p>
    <w:bookmarkEnd w:id="48"/>
    <w:bookmarkStart w:id="49" w:name="ethical-considerations"/>
    <w:p>
      <w:pPr>
        <w:pStyle w:val="Heading3"/>
      </w:pPr>
      <w:r>
        <w:t xml:space="preserve">9.2 Ethical Considerations</w:t>
      </w:r>
    </w:p>
    <w:p>
      <w:pPr>
        <w:pStyle w:val="Compact"/>
        <w:numPr>
          <w:ilvl w:val="0"/>
          <w:numId w:val="1005"/>
        </w:numPr>
      </w:pPr>
      <w:r>
        <w:rPr>
          <w:b/>
          <w:bCs/>
        </w:rPr>
        <w:t xml:space="preserve">Data sovereignty:</w:t>
      </w:r>
      <w:r>
        <w:t xml:space="preserve"> </w:t>
      </w:r>
      <w:r>
        <w:t xml:space="preserve">Patient data must remain within African countries with local governance</w:t>
      </w:r>
    </w:p>
    <w:p>
      <w:pPr>
        <w:pStyle w:val="Compact"/>
        <w:numPr>
          <w:ilvl w:val="0"/>
          <w:numId w:val="1005"/>
        </w:numPr>
      </w:pPr>
      <w:r>
        <w:rPr>
          <w:b/>
          <w:bCs/>
        </w:rPr>
        <w:t xml:space="preserve">Algorithmic transparency:</w:t>
      </w:r>
      <w:r>
        <w:t xml:space="preserve"> </w:t>
      </w:r>
      <w:r>
        <w:t xml:space="preserve">AI decision-making must be explainable to clinicians and patients</w:t>
      </w:r>
    </w:p>
    <w:p>
      <w:pPr>
        <w:pStyle w:val="Compact"/>
        <w:numPr>
          <w:ilvl w:val="0"/>
          <w:numId w:val="1005"/>
        </w:numPr>
      </w:pPr>
      <w:r>
        <w:rPr>
          <w:b/>
          <w:bCs/>
        </w:rPr>
        <w:t xml:space="preserve">Equity:</w:t>
      </w:r>
      <w:r>
        <w:t xml:space="preserve"> </w:t>
      </w:r>
      <w:r>
        <w:t xml:space="preserve">AI deployment must prioritize underserved rural populations, not concentrate in urban centers</w:t>
      </w:r>
    </w:p>
    <w:p>
      <w:pPr>
        <w:pStyle w:val="Compact"/>
        <w:numPr>
          <w:ilvl w:val="0"/>
          <w:numId w:val="1005"/>
        </w:numPr>
      </w:pPr>
      <w:r>
        <w:rPr>
          <w:b/>
          <w:bCs/>
        </w:rPr>
        <w:t xml:space="preserve">Employment:</w:t>
      </w:r>
      <w:r>
        <w:t xml:space="preserve"> </w:t>
      </w:r>
      <w:r>
        <w:t xml:space="preserve">AI should augment healthcare workers, not displace them in regions with unemployment</w:t>
      </w:r>
    </w:p>
    <w:p>
      <w:pPr>
        <w:pStyle w:val="Compact"/>
        <w:numPr>
          <w:ilvl w:val="0"/>
          <w:numId w:val="1005"/>
        </w:numPr>
      </w:pPr>
      <w:r>
        <w:rPr>
          <w:b/>
          <w:bCs/>
        </w:rPr>
        <w:t xml:space="preserve">Informed consent:</w:t>
      </w:r>
      <w:r>
        <w:t xml:space="preserve"> </w:t>
      </w:r>
      <w:r>
        <w:t xml:space="preserve">Patients must understand when AI assists in their diagnosis</w:t>
      </w:r>
    </w:p>
    <w:p>
      <w:r>
        <w:pict>
          <v:rect style="width:0;height:1.5pt" o:hralign="center" o:hrstd="t" o:hr="t"/>
        </w:pict>
      </w:r>
    </w:p>
    <w:bookmarkEnd w:id="49"/>
    <w:bookmarkEnd w:id="50"/>
    <w:bookmarkStart w:id="51" w:name="conclusions"/>
    <w:p>
      <w:pPr>
        <w:pStyle w:val="Heading2"/>
      </w:pPr>
      <w:r>
        <w:t xml:space="preserve">10. Conclusions</w:t>
      </w:r>
    </w:p>
    <w:p>
      <w:pPr>
        <w:pStyle w:val="FirstParagraph"/>
      </w:pPr>
      <w:r>
        <w:t xml:space="preserve">Sub-Saharan Africa faces a healthcare crisis of unprecedented scale, characterized by critical workforce shortages, devastating disease burden, and profound diagnostic gaps. This analysis demonstrates that artificial intelligence-powered diagnostic tools offer transformative potential to address these challenges when deployed responsibly and equitably.</w:t>
      </w:r>
    </w:p>
    <w:p>
      <w:pPr>
        <w:pStyle w:val="BodyText"/>
      </w:pPr>
      <w:r>
        <w:t xml:space="preserve">The evidence is compelling:</w:t>
      </w:r>
      <w:r>
        <w:t xml:space="preserve"> </w:t>
      </w:r>
      <w:r>
        <w:t xml:space="preserve">-</w:t>
      </w:r>
      <w:r>
        <w:t xml:space="preserve"> </w:t>
      </w:r>
      <w:r>
        <w:rPr>
          <w:b/>
          <w:bCs/>
        </w:rPr>
        <w:t xml:space="preserve">CAD4TB</w:t>
      </w:r>
      <w:r>
        <w:t xml:space="preserve"> </w:t>
      </w:r>
      <w:r>
        <w:t xml:space="preserve">achieves TB positivity rates 2.8-5.6 times higher than symptom-based screening</w:t>
      </w:r>
      <w:r>
        <w:t xml:space="preserve"> </w:t>
      </w:r>
      <w:r>
        <w:t xml:space="preserve">-</w:t>
      </w:r>
      <w:r>
        <w:t xml:space="preserve"> </w:t>
      </w:r>
      <w:r>
        <w:rPr>
          <w:b/>
          <w:bCs/>
        </w:rPr>
        <w:t xml:space="preserve">Africa leads global TB mortality reduction</w:t>
      </w:r>
      <w:r>
        <w:t xml:space="preserve"> </w:t>
      </w:r>
      <w:r>
        <w:t xml:space="preserve">at 46% decline (2015-2024)</w:t>
      </w:r>
      <w:r>
        <w:t xml:space="preserve"> </w:t>
      </w:r>
      <w:r>
        <w:t xml:space="preserve">-</w:t>
      </w:r>
      <w:r>
        <w:t xml:space="preserve"> </w:t>
      </w:r>
      <w:r>
        <w:rPr>
          <w:b/>
          <w:bCs/>
        </w:rPr>
        <w:t xml:space="preserve">Mobile infrastructure</w:t>
      </w:r>
      <w:r>
        <w:t xml:space="preserve"> </w:t>
      </w:r>
      <w:r>
        <w:t xml:space="preserve">reaches 615 million subscribers with M-PESA processing $309 billion annually</w:t>
      </w:r>
      <w:r>
        <w:t xml:space="preserve"> </w:t>
      </w:r>
      <w:r>
        <w:t xml:space="preserve">-</w:t>
      </w:r>
      <w:r>
        <w:t xml:space="preserve"> </w:t>
      </w:r>
      <w:r>
        <w:rPr>
          <w:b/>
          <w:bCs/>
        </w:rPr>
        <w:t xml:space="preserve">AI bias</w:t>
      </w:r>
      <w:r>
        <w:t xml:space="preserve"> </w:t>
      </w:r>
      <w:r>
        <w:t xml:space="preserve">can be overcome through diverse training data, improving dark skin detection from 23% to 76% sensitivity</w:t>
      </w:r>
    </w:p>
    <w:p>
      <w:pPr>
        <w:pStyle w:val="BodyText"/>
      </w:pPr>
      <w:r>
        <w:t xml:space="preserve">However, significant challenges demand attention:</w:t>
      </w:r>
      <w:r>
        <w:t xml:space="preserve"> </w:t>
      </w:r>
      <w:r>
        <w:t xml:space="preserve">-</w:t>
      </w:r>
      <w:r>
        <w:t xml:space="preserve"> </w:t>
      </w:r>
      <w:r>
        <w:rPr>
          <w:b/>
          <w:bCs/>
        </w:rPr>
        <w:t xml:space="preserve">6.1 million healthcare worker shortage</w:t>
      </w:r>
      <w:r>
        <w:t xml:space="preserve"> </w:t>
      </w:r>
      <w:r>
        <w:t xml:space="preserve">projected by 2030</w:t>
      </w:r>
      <w:r>
        <w:t xml:space="preserve"> </w:t>
      </w:r>
      <w:r>
        <w:t xml:space="preserve">-</w:t>
      </w:r>
      <w:r>
        <w:t xml:space="preserve"> </w:t>
      </w:r>
      <w:r>
        <w:rPr>
          <w:b/>
          <w:bCs/>
        </w:rPr>
        <w:t xml:space="preserve">63% of drug-resistant TB cases</w:t>
      </w:r>
      <w:r>
        <w:t xml:space="preserve"> </w:t>
      </w:r>
      <w:r>
        <w:t xml:space="preserve">remain undiagnosed</w:t>
      </w:r>
      <w:r>
        <w:t xml:space="preserve"> </w:t>
      </w:r>
      <w:r>
        <w:t xml:space="preserve">-</w:t>
      </w:r>
      <w:r>
        <w:t xml:space="preserve"> </w:t>
      </w:r>
      <w:r>
        <w:rPr>
          <w:b/>
          <w:bCs/>
        </w:rPr>
        <w:t xml:space="preserve">&lt;1 dermatologist per million</w:t>
      </w:r>
      <w:r>
        <w:t xml:space="preserve"> </w:t>
      </w:r>
      <w:r>
        <w:t xml:space="preserve">population continent-wide</w:t>
      </w:r>
      <w:r>
        <w:t xml:space="preserve"> </w:t>
      </w:r>
      <w:r>
        <w:t xml:space="preserve">-</w:t>
      </w:r>
      <w:r>
        <w:t xml:space="preserve"> </w:t>
      </w:r>
      <w:r>
        <w:rPr>
          <w:b/>
          <w:bCs/>
        </w:rPr>
        <w:t xml:space="preserve">Algorithmic bias</w:t>
      </w:r>
      <w:r>
        <w:t xml:space="preserve"> </w:t>
      </w:r>
      <w:r>
        <w:t xml:space="preserve">risks perpetuating health inequities without deliberate intervention</w:t>
      </w:r>
    </w:p>
    <w:p>
      <w:pPr>
        <w:pStyle w:val="BodyText"/>
      </w:pPr>
      <w:r>
        <w:t xml:space="preserve">The path forward requires simultaneous investment in workforce development, digital infrastructure, equitable AI systems, and community engagement. The tools exist; the infrastructure is expanding; the evidence supports action. Africa’s 1.4 billion people deserve healthcare access equivalent to any population globally—AI-powered diagnostics, deployed responsibly, can help achieve this vision.</w:t>
      </w:r>
    </w:p>
    <w:p>
      <w:r>
        <w:pict>
          <v:rect style="width:0;height:1.5pt" o:hralign="center" o:hrstd="t" o:hr="t"/>
        </w:pict>
      </w:r>
    </w:p>
    <w:bookmarkEnd w:id="51"/>
    <w:bookmarkStart w:id="58" w:name="references"/>
    <w:p>
      <w:pPr>
        <w:pStyle w:val="Heading2"/>
      </w:pPr>
      <w:r>
        <w:t xml:space="preserve">References</w:t>
      </w:r>
    </w:p>
    <w:bookmarkStart w:id="52" w:name="healthcare-workforce"/>
    <w:p>
      <w:pPr>
        <w:pStyle w:val="Heading3"/>
      </w:pPr>
      <w:r>
        <w:t xml:space="preserve">Healthcare Workforce</w:t>
      </w:r>
    </w:p>
    <w:p>
      <w:pPr>
        <w:numPr>
          <w:ilvl w:val="0"/>
          <w:numId w:val="1006"/>
        </w:numPr>
      </w:pPr>
      <w:r>
        <w:t xml:space="preserve">WHO African Regional Office. (2018). Chronic staff shortfalls stifle Africa’s health systems: WHO study. https://www.afro.who.int/news/chronic-staff-shortfalls-stifle-africas-health-systems-who-study</w:t>
      </w:r>
    </w:p>
    <w:p>
      <w:pPr>
        <w:numPr>
          <w:ilvl w:val="0"/>
          <w:numId w:val="1006"/>
        </w:numPr>
      </w:pPr>
      <w:r>
        <w:t xml:space="preserve">Tiwari, R., et al. (2022). Counting dermatologists in South Africa: number, distribution and requirement. British Journal of Dermatology, 187(2), 248-249. https://doi.org/10.1111/bjd.21036</w:t>
      </w:r>
    </w:p>
    <w:p>
      <w:pPr>
        <w:numPr>
          <w:ilvl w:val="0"/>
          <w:numId w:val="1006"/>
        </w:numPr>
      </w:pPr>
      <w:r>
        <w:t xml:space="preserve">World Health Organization. (2024). Countries, experts agree on 10-year Africa Health Workforce Agenda. https://www.afro.who.int/news/countries-experts-agree-10-year-africa-health-workforce-agenda</w:t>
      </w:r>
    </w:p>
    <w:p>
      <w:pPr>
        <w:numPr>
          <w:ilvl w:val="0"/>
          <w:numId w:val="1006"/>
        </w:numPr>
      </w:pPr>
      <w:r>
        <w:t xml:space="preserve">Scheffler, R., et al. (2024). Health worker unemployment and underemployment in countries with critical workforce shortages. PMC12587951.</w:t>
      </w:r>
    </w:p>
    <w:p>
      <w:pPr>
        <w:numPr>
          <w:ilvl w:val="0"/>
          <w:numId w:val="1006"/>
        </w:numPr>
      </w:pPr>
      <w:r>
        <w:t xml:space="preserve">Kenya Ministry of Health. (2023). Kenya Health Labour Market Analysis Report.</w:t>
      </w:r>
    </w:p>
    <w:p>
      <w:pPr>
        <w:numPr>
          <w:ilvl w:val="0"/>
          <w:numId w:val="1006"/>
        </w:numPr>
      </w:pPr>
      <w:r>
        <w:t xml:space="preserve">Africa-Europe Foundation. (2024). Health: Addressing the health workforce crisis in Africa and in Europe.</w:t>
      </w:r>
    </w:p>
    <w:bookmarkEnd w:id="52"/>
    <w:bookmarkStart w:id="53" w:name="tuberculosis"/>
    <w:p>
      <w:pPr>
        <w:pStyle w:val="Heading3"/>
      </w:pPr>
      <w:r>
        <w:t xml:space="preserve">Tuberculosis</w:t>
      </w:r>
    </w:p>
    <w:p>
      <w:pPr>
        <w:numPr>
          <w:ilvl w:val="0"/>
          <w:numId w:val="1007"/>
        </w:numPr>
      </w:pPr>
      <w:r>
        <w:t xml:space="preserve">WHO African Regional Office. (2024). African region records further decline in TB deaths, cases. https://www.afro.who.int/news/african-region-records-further-decline-tb-deaths-cases</w:t>
      </w:r>
    </w:p>
    <w:p>
      <w:pPr>
        <w:numPr>
          <w:ilvl w:val="0"/>
          <w:numId w:val="1007"/>
        </w:numPr>
      </w:pPr>
      <w:r>
        <w:t xml:space="preserve">WHO. (2024). Global Tuberculosis Report 2024. Geneva: World Health Organization.</w:t>
      </w:r>
    </w:p>
    <w:p>
      <w:pPr>
        <w:numPr>
          <w:ilvl w:val="0"/>
          <w:numId w:val="1007"/>
        </w:numPr>
      </w:pPr>
      <w:r>
        <w:t xml:space="preserve">WHO. (2025). Global gains in tuberculosis response endangered by funding challenges. https://www.who.int/news/item/12-11-2025-global-gains-in-tuberculosis-response-endangered-by-funding-challenges</w:t>
      </w:r>
    </w:p>
    <w:p>
      <w:pPr>
        <w:numPr>
          <w:ilvl w:val="0"/>
          <w:numId w:val="1007"/>
        </w:numPr>
      </w:pPr>
      <w:r>
        <w:t xml:space="preserve">Delft Imaging. (2024). Kenya: Enhancing TB case detection in community outreach using Delft Light CAD4TB. https://delft.care/kenya/</w:t>
      </w:r>
    </w:p>
    <w:p>
      <w:pPr>
        <w:numPr>
          <w:ilvl w:val="0"/>
          <w:numId w:val="1007"/>
        </w:numPr>
      </w:pPr>
      <w:r>
        <w:t xml:space="preserve">Delft Imaging. (2024). Uganda: Project Report. https://delft.care/project/uganda-2/</w:t>
      </w:r>
    </w:p>
    <w:p>
      <w:pPr>
        <w:numPr>
          <w:ilvl w:val="0"/>
          <w:numId w:val="1007"/>
        </w:numPr>
      </w:pPr>
      <w:r>
        <w:t xml:space="preserve">Gebreselassie, A., et al. (2024). Diagnostic accuracy of CAD4TB and stool Xpert for TB detection. PMC12740636.</w:t>
      </w:r>
    </w:p>
    <w:p>
      <w:pPr>
        <w:numPr>
          <w:ilvl w:val="0"/>
          <w:numId w:val="1007"/>
        </w:numPr>
      </w:pPr>
      <w:r>
        <w:t xml:space="preserve">Frimpong, A., et al. (2024). Computer-aided detection performance during active case finding for pulmonary TB in Africa: Systematic review and meta-analysis. PMC10849117.</w:t>
      </w:r>
    </w:p>
    <w:p>
      <w:pPr>
        <w:numPr>
          <w:ilvl w:val="0"/>
          <w:numId w:val="1007"/>
        </w:numPr>
      </w:pPr>
      <w:r>
        <w:t xml:space="preserve">Community Health Services Kenya. (2025). Over 9,000 Kenyans screened for TB across 10 counties using cutting-edge AI-powered tools. https://chskenya.org/</w:t>
      </w:r>
    </w:p>
    <w:p>
      <w:pPr>
        <w:numPr>
          <w:ilvl w:val="0"/>
          <w:numId w:val="1007"/>
        </w:numPr>
      </w:pPr>
      <w:r>
        <w:t xml:space="preserve">Yuen, C., et al. (2024). Tuberculosis laboratory capacity building in the WHO African Region. PMC12604794.</w:t>
      </w:r>
    </w:p>
    <w:bookmarkEnd w:id="53"/>
    <w:bookmarkStart w:id="54" w:name="melanoma-and-skin-cancer"/>
    <w:p>
      <w:pPr>
        <w:pStyle w:val="Heading3"/>
      </w:pPr>
      <w:r>
        <w:t xml:space="preserve">Melanoma and Skin Cancer</w:t>
      </w:r>
    </w:p>
    <w:p>
      <w:pPr>
        <w:numPr>
          <w:ilvl w:val="0"/>
          <w:numId w:val="1008"/>
        </w:numPr>
      </w:pPr>
      <w:r>
        <w:t xml:space="preserve">GLOBOCAN. (2022). Africa Fact Sheet. International Agency for Research on Cancer. https://gco.iarc.who.int/media/globocan/factsheets/populations/903-africa-fact-sheet.pdf</w:t>
      </w:r>
    </w:p>
    <w:p>
      <w:pPr>
        <w:numPr>
          <w:ilvl w:val="0"/>
          <w:numId w:val="1008"/>
        </w:numPr>
      </w:pPr>
      <w:r>
        <w:t xml:space="preserve">Lodhi, A., et al. (2018). Melanoma and Skin of Color. NCBI Bookshelf NBK481848.</w:t>
      </w:r>
    </w:p>
    <w:p>
      <w:pPr>
        <w:numPr>
          <w:ilvl w:val="0"/>
          <w:numId w:val="1008"/>
        </w:numPr>
      </w:pPr>
      <w:r>
        <w:t xml:space="preserve">CDC. (2019). Racial disparities in melanoma survival. Preventing Chronic Disease, 16, E84.</w:t>
      </w:r>
    </w:p>
    <w:p>
      <w:pPr>
        <w:numPr>
          <w:ilvl w:val="0"/>
          <w:numId w:val="1008"/>
        </w:numPr>
      </w:pPr>
      <w:r>
        <w:t xml:space="preserve">Garnett, E., et al. (2019). Melanoma in minorities. PMC6638592.</w:t>
      </w:r>
    </w:p>
    <w:p>
      <w:pPr>
        <w:numPr>
          <w:ilvl w:val="0"/>
          <w:numId w:val="1008"/>
        </w:numPr>
      </w:pPr>
      <w:r>
        <w:t xml:space="preserve">Daneshjou, R., et al. (2022). Disparities in dermatology AI performance highlight the importance of diverse datasets. Science Advances, 8(31), eabq6147.</w:t>
      </w:r>
    </w:p>
    <w:p>
      <w:pPr>
        <w:numPr>
          <w:ilvl w:val="0"/>
          <w:numId w:val="1008"/>
        </w:numPr>
      </w:pPr>
      <w:r>
        <w:t xml:space="preserve">Ntavou, T., et al. (2019). Melanoma of the limbs in Black Africans. South African Medical Journal, 109(4).</w:t>
      </w:r>
    </w:p>
    <w:p>
      <w:pPr>
        <w:numPr>
          <w:ilvl w:val="0"/>
          <w:numId w:val="1008"/>
        </w:numPr>
      </w:pPr>
      <w:r>
        <w:t xml:space="preserve">Kundu, R., et al. (2023). Melanoma awareness among Black Americans. PMC9835941.</w:t>
      </w:r>
    </w:p>
    <w:bookmarkEnd w:id="54"/>
    <w:bookmarkStart w:id="55" w:name="X5126389550ae9c333170f252812dbba9f8c1f39"/>
    <w:p>
      <w:pPr>
        <w:pStyle w:val="Heading3"/>
      </w:pPr>
      <w:r>
        <w:t xml:space="preserve">Mobile Technology and Digital Infrastructure</w:t>
      </w:r>
    </w:p>
    <w:p>
      <w:pPr>
        <w:numPr>
          <w:ilvl w:val="0"/>
          <w:numId w:val="1009"/>
        </w:numPr>
      </w:pPr>
      <w:r>
        <w:t xml:space="preserve">GSMA. (2025). The Mobile Economy Africa 2025. https://www.gsma.com/solutions-and-impact/connectivity-for-good/mobile-economy/africa/</w:t>
      </w:r>
    </w:p>
    <w:p>
      <w:pPr>
        <w:numPr>
          <w:ilvl w:val="0"/>
          <w:numId w:val="1009"/>
        </w:numPr>
      </w:pPr>
      <w:r>
        <w:t xml:space="preserve">Safaricom. (2024). Annual Report FY2024.</w:t>
      </w:r>
    </w:p>
    <w:p>
      <w:pPr>
        <w:numPr>
          <w:ilvl w:val="0"/>
          <w:numId w:val="1009"/>
        </w:numPr>
      </w:pPr>
      <w:r>
        <w:t xml:space="preserve">World Bank. (2025). Global Findex Database 2025. https://www.worldbank.org/en/publication/globalfindex</w:t>
      </w:r>
    </w:p>
    <w:p>
      <w:pPr>
        <w:numPr>
          <w:ilvl w:val="0"/>
          <w:numId w:val="1009"/>
        </w:numPr>
      </w:pPr>
      <w:r>
        <w:t xml:space="preserve">GSMA. (2025). State of the Industry Report on Mobile Money 2025.</w:t>
      </w:r>
    </w:p>
    <w:p>
      <w:pPr>
        <w:numPr>
          <w:ilvl w:val="0"/>
          <w:numId w:val="1009"/>
        </w:numPr>
      </w:pPr>
      <w:r>
        <w:t xml:space="preserve">Ericsson. (2024). Mobility Report: Sub-Saharan Africa. https://www.ericsson.com/mobility-report</w:t>
      </w:r>
    </w:p>
    <w:p>
      <w:pPr>
        <w:numPr>
          <w:ilvl w:val="0"/>
          <w:numId w:val="1009"/>
        </w:numPr>
      </w:pPr>
      <w:r>
        <w:t xml:space="preserve">Electroiq. (2024). M-PESA Statistics. https://electroiq.com/stats/m-pesa-statistics/</w:t>
      </w:r>
    </w:p>
    <w:bookmarkEnd w:id="55"/>
    <w:bookmarkStart w:id="56" w:name="ai-healthcare-deployments"/>
    <w:p>
      <w:pPr>
        <w:pStyle w:val="Heading3"/>
      </w:pPr>
      <w:r>
        <w:t xml:space="preserve">AI Healthcare Deployments</w:t>
      </w:r>
    </w:p>
    <w:p>
      <w:pPr>
        <w:numPr>
          <w:ilvl w:val="0"/>
          <w:numId w:val="1010"/>
        </w:numPr>
      </w:pPr>
      <w:r>
        <w:t xml:space="preserve">Butterfly Network. (2024). 1,000 Probe Partnership Case Study. https://www.butterflynetwork.com/case-studies-1000-probes</w:t>
      </w:r>
    </w:p>
    <w:p>
      <w:pPr>
        <w:numPr>
          <w:ilvl w:val="0"/>
          <w:numId w:val="1010"/>
        </w:numPr>
      </w:pPr>
      <w:r>
        <w:t xml:space="preserve">RADIFY. (2025). AI-powered chest X-ray analysis. https://radify.ai</w:t>
      </w:r>
    </w:p>
    <w:p>
      <w:pPr>
        <w:numPr>
          <w:ilvl w:val="0"/>
          <w:numId w:val="1010"/>
        </w:numPr>
      </w:pPr>
      <w:r>
        <w:t xml:space="preserve">Techpoint Africa. (2025). African startups hit $1 billion in funding. https://techpoint.africa/news/african-startups-hit-1-billion/</w:t>
      </w:r>
    </w:p>
    <w:p>
      <w:pPr>
        <w:numPr>
          <w:ilvl w:val="0"/>
          <w:numId w:val="1010"/>
        </w:numPr>
      </w:pPr>
      <w:r>
        <w:t xml:space="preserve">Healthcare Digital. (2025). HealthTech Africa emerges in 2025 driven by significant investments. https://www.healthcare.digital/</w:t>
      </w:r>
    </w:p>
    <w:bookmarkEnd w:id="56"/>
    <w:bookmarkStart w:id="57" w:name="drug-discovery"/>
    <w:p>
      <w:pPr>
        <w:pStyle w:val="Heading3"/>
      </w:pPr>
      <w:r>
        <w:t xml:space="preserve">Drug Discovery</w:t>
      </w:r>
    </w:p>
    <w:p>
      <w:pPr>
        <w:numPr>
          <w:ilvl w:val="0"/>
          <w:numId w:val="1011"/>
        </w:numPr>
      </w:pPr>
      <w:r>
        <w:t xml:space="preserve">Stokes, J., et al. (2020). A deep learning approach to antibiotic discovery. Cell, 180(4), 688-702.</w:t>
      </w:r>
    </w:p>
    <w:p>
      <w:pPr>
        <w:numPr>
          <w:ilvl w:val="0"/>
          <w:numId w:val="1011"/>
        </w:numPr>
      </w:pPr>
      <w:r>
        <w:t xml:space="preserve">WHO. (2024). Neglected Tropical Diseases. Geneva: World Health Organization.</w:t>
      </w:r>
    </w:p>
    <w:p>
      <w:r>
        <w:pict>
          <v:rect style="width:0;height:1.5pt" o:hralign="center" o:hrstd="t" o:hr="t"/>
        </w:pict>
      </w:r>
    </w:p>
    <w:bookmarkEnd w:id="57"/>
    <w:bookmarkEnd w:id="58"/>
    <w:bookmarkStart w:id="61" w:name="supplementary-materials"/>
    <w:p>
      <w:pPr>
        <w:pStyle w:val="Heading2"/>
      </w:pPr>
      <w:r>
        <w:t xml:space="preserve">Supplementary Materials</w:t>
      </w:r>
    </w:p>
    <w:bookmarkStart w:id="59" w:name="s1-model-performance-specifications"/>
    <w:p>
      <w:pPr>
        <w:pStyle w:val="Heading3"/>
      </w:pPr>
      <w:r>
        <w:t xml:space="preserve">S1: Model Performance Specifications</w:t>
      </w:r>
    </w:p>
    <w:p>
      <w:pPr>
        <w:pStyle w:val="FirstParagraph"/>
      </w:pPr>
      <w:r>
        <w:rPr>
          <w:b/>
          <w:bCs/>
        </w:rPr>
        <w:t xml:space="preserve">Chest X-Ray Classification Model</w:t>
      </w:r>
      <w:r>
        <w:t xml:space="preserve"> </w:t>
      </w:r>
      <w:r>
        <w:t xml:space="preserve">- Architecture: ResNet50 transfer learning</w:t>
      </w:r>
      <w:r>
        <w:t xml:space="preserve"> </w:t>
      </w:r>
      <w:r>
        <w:t xml:space="preserve">- Training data: 25,263 images, 4 classes</w:t>
      </w:r>
      <w:r>
        <w:t xml:space="preserve"> </w:t>
      </w:r>
      <w:r>
        <w:t xml:space="preserve">- Validation accuracy: 82.70%</w:t>
      </w:r>
      <w:r>
        <w:t xml:space="preserve"> </w:t>
      </w:r>
      <w:r>
        <w:t xml:space="preserve">- Per-class performance: Normal 82.20%, Pneumonia 93.41%, COVID 59.61%, Lung Opacity 90.68%</w:t>
      </w:r>
    </w:p>
    <w:p>
      <w:pPr>
        <w:pStyle w:val="BodyText"/>
      </w:pPr>
      <w:r>
        <w:rPr>
          <w:b/>
          <w:bCs/>
        </w:rPr>
        <w:t xml:space="preserve">Skin Lesion Detection Model</w:t>
      </w:r>
      <w:r>
        <w:t xml:space="preserve"> </w:t>
      </w:r>
      <w:r>
        <w:t xml:space="preserve">- Architecture: ResNet50 with full unfreezing</w:t>
      </w:r>
      <w:r>
        <w:t xml:space="preserve"> </w:t>
      </w:r>
      <w:r>
        <w:t xml:space="preserve">- Training data: 10,015 images (HAM10000), 9 classes</w:t>
      </w:r>
      <w:r>
        <w:t xml:space="preserve"> </w:t>
      </w:r>
      <w:r>
        <w:t xml:space="preserve">- Validation accuracy: 86.33%</w:t>
      </w:r>
      <w:r>
        <w:t xml:space="preserve"> </w:t>
      </w:r>
      <w:r>
        <w:t xml:space="preserve">- Critical limitation: Melanoma sensitivity 35.81% (requires improvement before deployment)</w:t>
      </w:r>
    </w:p>
    <w:p>
      <w:pPr>
        <w:pStyle w:val="BodyText"/>
      </w:pPr>
      <w:r>
        <w:rPr>
          <w:b/>
          <w:bCs/>
        </w:rPr>
        <w:t xml:space="preserve">Drug Discovery GNN Model</w:t>
      </w:r>
      <w:r>
        <w:t xml:space="preserve"> </w:t>
      </w:r>
      <w:r>
        <w:t xml:space="preserve">- Architecture: Graph Neural Network</w:t>
      </w:r>
      <w:r>
        <w:t xml:space="preserve"> </w:t>
      </w:r>
      <w:r>
        <w:t xml:space="preserve">- Training data: 902 molecules (ESOL solubility dataset)</w:t>
      </w:r>
      <w:r>
        <w:t xml:space="preserve"> </w:t>
      </w:r>
      <w:r>
        <w:t xml:space="preserve">- Test R²: 0.5050</w:t>
      </w:r>
      <w:r>
        <w:t xml:space="preserve"> </w:t>
      </w:r>
      <w:r>
        <w:t xml:space="preserve">- Test MAE: 1.1287</w:t>
      </w:r>
    </w:p>
    <w:bookmarkEnd w:id="59"/>
    <w:bookmarkStart w:id="60" w:name="s2-deployment-cost-estimates"/>
    <w:p>
      <w:pPr>
        <w:pStyle w:val="Heading3"/>
      </w:pPr>
      <w:r>
        <w:t xml:space="preserve">S2: Deployment Cost Estimates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Unit Cost</w:t>
            </w:r>
          </w:p>
        </w:tc>
        <w:tc>
          <w:tcPr/>
          <w:p>
            <w:pPr>
              <w:pStyle w:val="Compact"/>
            </w:pPr>
            <w:r>
              <w:t xml:space="preserve">5-Year Cost (500,000 people)</w:t>
            </w:r>
          </w:p>
        </w:tc>
      </w:tr>
      <w:tr>
        <w:tc>
          <w:tcPr/>
          <w:p>
            <w:pPr>
              <w:pStyle w:val="Compact"/>
            </w:pPr>
            <w:r>
              <w:t xml:space="preserve">AI server (hub)</w:t>
            </w:r>
          </w:p>
        </w:tc>
        <w:tc>
          <w:tcPr/>
          <w:p>
            <w:pPr>
              <w:pStyle w:val="Compact"/>
            </w:pPr>
            <w:r>
              <w:t xml:space="preserve">$15,000</w:t>
            </w:r>
          </w:p>
        </w:tc>
        <w:tc>
          <w:tcPr/>
          <w:p>
            <w:pPr>
              <w:pStyle w:val="Compact"/>
            </w:pPr>
            <w:r>
              <w:t xml:space="preserve">$15,000</w:t>
            </w:r>
          </w:p>
        </w:tc>
      </w:tr>
      <w:tr>
        <w:tc>
          <w:tcPr/>
          <w:p>
            <w:pPr>
              <w:pStyle w:val="Compact"/>
            </w:pPr>
            <w:r>
              <w:t xml:space="preserve">Digital X-ray (spoke)</w:t>
            </w:r>
          </w:p>
        </w:tc>
        <w:tc>
          <w:tcPr/>
          <w:p>
            <w:pPr>
              <w:pStyle w:val="Compact"/>
            </w:pPr>
            <w:r>
              <w:t xml:space="preserve">$15,200</w:t>
            </w:r>
          </w:p>
        </w:tc>
        <w:tc>
          <w:tcPr/>
          <w:p>
            <w:pPr>
              <w:pStyle w:val="Compact"/>
            </w:pPr>
            <w:r>
              <w:t xml:space="preserve">$228,000 (15 units)</w:t>
            </w:r>
          </w:p>
        </w:tc>
      </w:tr>
      <w:tr>
        <w:tc>
          <w:tcPr/>
          <w:p>
            <w:pPr>
              <w:pStyle w:val="Compact"/>
            </w:pPr>
            <w:r>
              <w:t xml:space="preserve">Operating costs</w:t>
            </w:r>
          </w:p>
        </w:tc>
        <w:tc>
          <w:tcPr/>
          <w:p>
            <w:pPr>
              <w:pStyle w:val="Compact"/>
            </w:pPr>
            <w:r>
              <w:t xml:space="preserve">$20,000/year</w:t>
            </w:r>
          </w:p>
        </w:tc>
        <w:tc>
          <w:tcPr/>
          <w:p>
            <w:pPr>
              <w:pStyle w:val="Compact"/>
            </w:pPr>
            <w:r>
              <w:t xml:space="preserve">$100,000</w:t>
            </w:r>
          </w:p>
        </w:tc>
      </w:tr>
      <w:tr>
        <w:tc>
          <w:tcPr/>
          <w:p>
            <w:pPr>
              <w:pStyle w:val="Compact"/>
            </w:pPr>
            <w:r>
              <w:t xml:space="preserve">Training</w:t>
            </w:r>
          </w:p>
        </w:tc>
        <w:tc>
          <w:tcPr/>
          <w:p>
            <w:pPr>
              <w:pStyle w:val="Compact"/>
            </w:pPr>
            <w:r>
              <w:t xml:space="preserve">$10,000</w:t>
            </w:r>
          </w:p>
        </w:tc>
        <w:tc>
          <w:tcPr/>
          <w:p>
            <w:pPr>
              <w:pStyle w:val="Compact"/>
            </w:pPr>
            <w:r>
              <w:t xml:space="preserve">$10,000</w:t>
            </w:r>
          </w:p>
        </w:tc>
      </w:tr>
      <w:tr>
        <w:tc>
          <w:tcPr/>
          <w:p>
            <w:pPr>
              <w:pStyle w:val="Compact"/>
            </w:pPr>
            <w:r>
              <w:rPr>
                <w:b/>
                <w:bCs/>
              </w:rPr>
              <w:t xml:space="preserve">Total</w:t>
            </w:r>
          </w:p>
        </w:tc>
        <w:tc>
          <w:tcPr/>
          <w:p>
            <w:pPr>
              <w:pStyle w:val="Compact"/>
            </w:pPr>
          </w:p>
        </w:tc>
        <w:tc>
          <w:tcPr/>
          <w:p>
            <w:pPr>
              <w:pStyle w:val="Compact"/>
            </w:pPr>
            <w:r>
              <w:rPr>
                <w:b/>
                <w:bCs/>
              </w:rPr>
              <w:t xml:space="preserve">$353,000</w:t>
            </w:r>
          </w:p>
        </w:tc>
      </w:tr>
      <w:tr>
        <w:tc>
          <w:tcPr/>
          <w:p>
            <w:pPr>
              <w:pStyle w:val="Compact"/>
            </w:pPr>
            <w:r>
              <w:rPr>
                <w:b/>
                <w:bCs/>
              </w:rPr>
              <w:t xml:space="preserve">Cost per person</w:t>
            </w:r>
          </w:p>
        </w:tc>
        <w:tc>
          <w:tcPr/>
          <w:p>
            <w:pPr>
              <w:pStyle w:val="Compact"/>
            </w:pPr>
          </w:p>
        </w:tc>
        <w:tc>
          <w:tcPr/>
          <w:p>
            <w:pPr>
              <w:pStyle w:val="Compact"/>
            </w:pPr>
            <w:r>
              <w:rPr>
                <w:b/>
                <w:bCs/>
              </w:rPr>
              <w:t xml:space="preserve">$0.71</w:t>
            </w:r>
          </w:p>
        </w:tc>
      </w:tr>
    </w:tbl>
    <w:p>
      <w:r>
        <w:pict>
          <v:rect style="width:0;height:1.5pt" o:hralign="center" o:hrstd="t" o:hr="t"/>
        </w:pict>
      </w:r>
    </w:p>
    <w:p>
      <w:pPr>
        <w:pStyle w:val="FirstParagraph"/>
      </w:pPr>
      <w:r>
        <w:rPr>
          <w:i/>
          <w:iCs/>
        </w:rPr>
        <w:t xml:space="preserve">Manuscript prepared: January 2026</w:t>
      </w:r>
      <w:r>
        <w:t xml:space="preserve"> </w:t>
      </w:r>
      <w:r>
        <w:rPr>
          <w:i/>
          <w:iCs/>
        </w:rPr>
        <w:t xml:space="preserve">Word count: 4,500</w:t>
      </w:r>
      <w:r>
        <w:t xml:space="preserve"> </w:t>
      </w:r>
      <w:r>
        <w:rPr>
          <w:i/>
          <w:iCs/>
        </w:rPr>
        <w:t xml:space="preserve">Figures: 0</w:t>
      </w:r>
      <w:r>
        <w:t xml:space="preserve"> </w:t>
      </w:r>
      <w:r>
        <w:rPr>
          <w:i/>
          <w:iCs/>
        </w:rPr>
        <w:t xml:space="preserve">Tables: 3</w:t>
      </w:r>
      <w:r>
        <w:t xml:space="preserve"> </w:t>
      </w:r>
      <w:r>
        <w:rPr>
          <w:i/>
          <w:iCs/>
        </w:rPr>
        <w:t xml:space="preserve">References: 34</w:t>
      </w:r>
    </w:p>
    <w:p>
      <w:r>
        <w:pict>
          <v:rect style="width:0;height:1.5pt" o:hralign="center" o:hrstd="t" o:hr="t"/>
        </w:pict>
      </w:r>
    </w:p>
    <w:p>
      <w:pPr>
        <w:pStyle w:val="FirstParagraph"/>
      </w:pPr>
      <w:r>
        <w:rPr>
          <w:b/>
          <w:bCs/>
        </w:rPr>
        <w:t xml:space="preserve">Conflict of Interest:</w:t>
      </w:r>
      <w:r>
        <w:t xml:space="preserve"> </w:t>
      </w:r>
      <w:r>
        <w:t xml:space="preserve">None declared.</w:t>
      </w:r>
    </w:p>
    <w:p>
      <w:pPr>
        <w:pStyle w:val="BodyText"/>
      </w:pPr>
      <w:r>
        <w:rPr>
          <w:b/>
          <w:bCs/>
        </w:rPr>
        <w:t xml:space="preserve">Funding:</w:t>
      </w:r>
      <w:r>
        <w:t xml:space="preserve"> </w:t>
      </w:r>
      <w:r>
        <w:t xml:space="preserve">This research received no specific grant from any funding agency.</w:t>
      </w:r>
    </w:p>
    <w:p>
      <w:pPr>
        <w:pStyle w:val="BodyText"/>
      </w:pPr>
      <w:r>
        <w:rPr>
          <w:b/>
          <w:bCs/>
        </w:rPr>
        <w:t xml:space="preserve">Data Availability:</w:t>
      </w:r>
      <w:r>
        <w:t xml:space="preserve"> </w:t>
      </w:r>
      <w:r>
        <w:t xml:space="preserve">All data cited in this paper are from publicly available sources as referenced.</w:t>
      </w:r>
    </w:p>
    <w:p>
      <w:pPr>
        <w:pStyle w:val="BodyText"/>
      </w:pPr>
      <w:r>
        <w:rPr>
          <w:b/>
          <w:bCs/>
        </w:rPr>
        <w:t xml:space="preserve">Author Contributions:</w:t>
      </w:r>
      <w:r>
        <w:t xml:space="preserve"> </w:t>
      </w:r>
      <w:r>
        <w:t xml:space="preserve">All authors contributed to conception, data analysis, and manuscript preparation.</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2026-01-01T22:58:50Z</dcterms:created>
  <dcterms:modified xsi:type="dcterms:W3CDTF">2026-01-01T22:58:50Z</dcterms:modified>
</cp:coreProperties>
</file>

<file path=docProps/custom.xml><?xml version="1.0" encoding="utf-8"?>
<Properties xmlns="http://schemas.openxmlformats.org/officeDocument/2006/custom-properties" xmlns:vt="http://schemas.openxmlformats.org/officeDocument/2006/docPropsVTypes"/>
</file>