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EE0252A" w14:textId="77777777" w:rsidR="00001D3E" w:rsidRPr="00CA388E" w:rsidRDefault="00D2235C" w:rsidP="006C1449">
      <w:pPr>
        <w:jc w:val="center"/>
        <w:rPr>
          <w:rFonts w:asciiTheme="minorEastAsia" w:hAnsiTheme="minorEastAsia"/>
          <w:b/>
          <w:bCs/>
          <w:sz w:val="36"/>
          <w:szCs w:val="36"/>
        </w:rPr>
      </w:pPr>
      <w:r>
        <w:rPr>
          <w:rFonts w:ascii="MS PMincho" w:eastAsia="MS PMincho" w:hAnsi="MS PMincho"/>
          <w:sz w:val="36"/>
          <w:szCs w:val="36"/>
        </w:rPr>
        <w:t xml:space="preserve"> </w:t>
      </w:r>
      <w:r w:rsidR="00A83409" w:rsidRPr="00A83409">
        <w:rPr>
          <w:rFonts w:asciiTheme="minorEastAsia" w:hAnsiTheme="minorEastAsia"/>
          <w:b/>
          <w:bCs/>
          <w:sz w:val="28"/>
          <w:szCs w:val="28"/>
        </w:rPr>
        <w:t>熱可塑CFRP用マトリクス樹脂のHeガス透過特性に関する実験的評価</w:t>
      </w:r>
    </w:p>
    <w:p w14:paraId="57FEB08C" w14:textId="77777777" w:rsidR="00B80CA2" w:rsidRPr="00CA388E" w:rsidRDefault="000E0057" w:rsidP="006C1449">
      <w:pPr>
        <w:jc w:val="center"/>
        <w:rPr>
          <w:rFonts w:asciiTheme="minorEastAsia" w:hAnsiTheme="minorEastAsia"/>
          <w:sz w:val="28"/>
          <w:szCs w:val="28"/>
        </w:rPr>
      </w:pPr>
      <w:r w:rsidRPr="00CA388E">
        <w:rPr>
          <w:rFonts w:asciiTheme="minorEastAsia" w:hAnsiTheme="minorEastAsia" w:hint="eastAsia"/>
          <w:sz w:val="28"/>
          <w:szCs w:val="28"/>
        </w:rPr>
        <w:t>〇</w:t>
      </w:r>
      <w:r w:rsidR="00C622E1">
        <w:rPr>
          <w:rFonts w:asciiTheme="minorEastAsia" w:hAnsiTheme="minorEastAsia" w:hint="eastAsia"/>
          <w:szCs w:val="21"/>
        </w:rPr>
        <w:t>リム　シヨウ　小笠原　俊夫</w:t>
      </w:r>
    </w:p>
    <w:p w14:paraId="21DE833C" w14:textId="0EF50EA7" w:rsidR="00356EB2" w:rsidRPr="00CA388E" w:rsidRDefault="008F067B" w:rsidP="00356EB2">
      <w:pPr>
        <w:jc w:val="center"/>
        <w:rPr>
          <w:rFonts w:asciiTheme="minorEastAsia" w:hAnsiTheme="minorEastAsia"/>
          <w:szCs w:val="21"/>
        </w:rPr>
      </w:pPr>
      <w:r>
        <w:rPr>
          <w:rFonts w:asciiTheme="minorEastAsia" w:hAnsiTheme="minorEastAsia" w:hint="eastAsia"/>
          <w:szCs w:val="21"/>
        </w:rPr>
        <w:t xml:space="preserve">東京農工大学　工学部　機械システム工学科　</w:t>
      </w:r>
      <w:r w:rsidR="00356EB2" w:rsidRPr="00E46008">
        <w:rPr>
          <w:rFonts w:asciiTheme="minorEastAsia" w:hAnsiTheme="minorEastAsia"/>
          <w:b/>
          <w:bCs/>
          <w:szCs w:val="21"/>
        </w:rPr>
        <w:t>〒184-8588 東京都小金井市中町2-24-16</w:t>
      </w:r>
    </w:p>
    <w:p w14:paraId="6A47DEE8" w14:textId="705D52AF" w:rsidR="00FA1489" w:rsidRDefault="00FA1489" w:rsidP="00356EB2">
      <w:pPr>
        <w:jc w:val="center"/>
        <w:rPr>
          <w:sz w:val="18"/>
          <w:szCs w:val="18"/>
        </w:rPr>
      </w:pPr>
      <w:r>
        <w:rPr>
          <w:rFonts w:hint="eastAsia"/>
          <w:sz w:val="18"/>
          <w:szCs w:val="18"/>
        </w:rPr>
        <w:t xml:space="preserve">　　　　　　　　　　　　　　　　　　　　　　　　　　　　　　　　　　　　　　　　　　</w:t>
      </w:r>
      <w:r w:rsidR="007171DD">
        <w:rPr>
          <w:rFonts w:hint="eastAsia"/>
          <w:sz w:val="18"/>
          <w:szCs w:val="18"/>
        </w:rPr>
        <w:t xml:space="preserve">　</w:t>
      </w:r>
      <w:r w:rsidR="000E0057">
        <w:rPr>
          <w:rFonts w:hint="eastAsia"/>
          <w:sz w:val="18"/>
          <w:szCs w:val="18"/>
        </w:rPr>
        <w:t xml:space="preserve">　　　　　　　　</w:t>
      </w:r>
    </w:p>
    <w:p w14:paraId="623F49AA" w14:textId="77777777" w:rsidR="00FA1489" w:rsidRDefault="00FA1489">
      <w:pPr>
        <w:rPr>
          <w:sz w:val="18"/>
          <w:szCs w:val="18"/>
        </w:rPr>
      </w:pPr>
    </w:p>
    <w:p w14:paraId="30F9E15D" w14:textId="77777777" w:rsidR="00FA1489" w:rsidRDefault="00FA1489">
      <w:pPr>
        <w:rPr>
          <w:sz w:val="18"/>
          <w:szCs w:val="18"/>
        </w:rPr>
        <w:sectPr w:rsidR="00FA1489" w:rsidSect="00FA1489">
          <w:type w:val="continuous"/>
          <w:pgSz w:w="11906" w:h="16838" w:code="9"/>
          <w:pgMar w:top="1985" w:right="1361" w:bottom="1701" w:left="1361" w:header="851" w:footer="992" w:gutter="0"/>
          <w:cols w:space="425"/>
          <w:docGrid w:type="linesAndChars" w:linePitch="305" w:charSpace="-303"/>
        </w:sectPr>
      </w:pPr>
    </w:p>
    <w:p w14:paraId="7D47881F" w14:textId="77777777" w:rsidR="00FA1489" w:rsidRPr="00AF2943" w:rsidRDefault="000E0057">
      <w:pPr>
        <w:rPr>
          <w:sz w:val="24"/>
          <w:szCs w:val="24"/>
        </w:rPr>
      </w:pPr>
      <w:r w:rsidRPr="00AF2943">
        <w:rPr>
          <w:rFonts w:hint="eastAsia"/>
          <w:sz w:val="24"/>
          <w:szCs w:val="24"/>
        </w:rPr>
        <w:t>１．緒言</w:t>
      </w:r>
    </w:p>
    <w:p w14:paraId="2FE937F5" w14:textId="77777777" w:rsidR="00E8399C" w:rsidRDefault="00D6720F" w:rsidP="00E8399C">
      <w:r>
        <w:rPr>
          <w:rFonts w:hint="eastAsia"/>
          <w:sz w:val="18"/>
          <w:szCs w:val="18"/>
        </w:rPr>
        <w:t xml:space="preserve">　</w:t>
      </w:r>
      <w:r w:rsidR="00E8399C">
        <w:rPr>
          <w:rFonts w:ascii="MS PMincho" w:hint="eastAsia"/>
        </w:rPr>
        <w:t xml:space="preserve">　</w:t>
      </w:r>
      <w:r w:rsidR="00E8399C" w:rsidRPr="006A21D5">
        <w:rPr>
          <w:rFonts w:hint="eastAsia"/>
        </w:rPr>
        <w:t>炭素</w:t>
      </w:r>
      <w:r w:rsidR="00E8399C" w:rsidRPr="006A21D5">
        <w:t>繊維強化プラスチック</w:t>
      </w:r>
      <w:r w:rsidR="00E8399C" w:rsidRPr="006A21D5">
        <w:t>(CFRP)</w:t>
      </w:r>
      <w:r w:rsidR="00E8399C" w:rsidRPr="006A21D5">
        <w:t>は，比強度・比剛性に優れ，</w:t>
      </w:r>
      <w:r w:rsidR="00E8399C" w:rsidRPr="006A21D5">
        <w:rPr>
          <w:rFonts w:hint="eastAsia"/>
        </w:rPr>
        <w:t>水素貯蔵タンクの軽量化に有望な材料である</w:t>
      </w:r>
      <w:r w:rsidR="00E8399C">
        <w:rPr>
          <w:rFonts w:hint="eastAsia"/>
        </w:rPr>
        <w:t>．</w:t>
      </w:r>
      <w:r w:rsidR="00E8399C" w:rsidRPr="006A21D5">
        <w:rPr>
          <w:rFonts w:hint="eastAsia"/>
        </w:rPr>
        <w:t>ライナー</w:t>
      </w:r>
      <w:r w:rsidR="00E8399C">
        <w:rPr>
          <w:rFonts w:hint="eastAsia"/>
        </w:rPr>
        <w:t>を有する</w:t>
      </w:r>
      <w:r w:rsidR="00E8399C" w:rsidRPr="006A21D5">
        <w:rPr>
          <w:rFonts w:hint="eastAsia"/>
        </w:rPr>
        <w:t>従来のタイプ</w:t>
      </w:r>
      <w:r w:rsidR="00E8399C" w:rsidRPr="006A21D5">
        <w:rPr>
          <w:rFonts w:hint="eastAsia"/>
        </w:rPr>
        <w:t>II,III,IV</w:t>
      </w:r>
      <w:r w:rsidR="00E8399C">
        <w:rPr>
          <w:rFonts w:hint="eastAsia"/>
        </w:rPr>
        <w:t>に対し，</w:t>
      </w:r>
      <w:r w:rsidR="00E8399C" w:rsidRPr="006A21D5">
        <w:rPr>
          <w:rFonts w:hint="eastAsia"/>
        </w:rPr>
        <w:t>さらなる軽量化を図るため，ライナーレス</w:t>
      </w:r>
      <w:r w:rsidR="00E8399C" w:rsidRPr="006A21D5">
        <w:rPr>
          <w:rFonts w:hint="eastAsia"/>
        </w:rPr>
        <w:t>CFRP</w:t>
      </w:r>
      <w:r w:rsidR="00E8399C" w:rsidRPr="006A21D5">
        <w:rPr>
          <w:rFonts w:hint="eastAsia"/>
        </w:rPr>
        <w:t>タンクの開発</w:t>
      </w:r>
      <w:r w:rsidR="00E8399C">
        <w:rPr>
          <w:rFonts w:hint="eastAsia"/>
        </w:rPr>
        <w:t>が</w:t>
      </w:r>
      <w:r w:rsidR="00E8399C" w:rsidRPr="006A21D5">
        <w:rPr>
          <w:rFonts w:hint="eastAsia"/>
        </w:rPr>
        <w:t>進</w:t>
      </w:r>
      <w:r w:rsidR="00E8399C">
        <w:rPr>
          <w:rFonts w:hint="eastAsia"/>
        </w:rPr>
        <w:t>められている</w:t>
      </w:r>
      <w:r w:rsidR="00E8399C" w:rsidRPr="00846EF0">
        <w:rPr>
          <w:vertAlign w:val="superscript"/>
        </w:rPr>
        <w:t>(1)</w:t>
      </w:r>
      <w:r w:rsidR="00E8399C" w:rsidRPr="006A21D5">
        <w:rPr>
          <w:rFonts w:hint="eastAsia"/>
        </w:rPr>
        <w:t>．</w:t>
      </w:r>
      <w:r w:rsidR="00E8399C">
        <w:t>CFR</w:t>
      </w:r>
      <w:r w:rsidR="00E8399C">
        <w:rPr>
          <w:rFonts w:hint="eastAsia"/>
        </w:rPr>
        <w:t>P</w:t>
      </w:r>
      <w:r w:rsidR="00E8399C">
        <w:rPr>
          <w:rFonts w:hint="eastAsia"/>
        </w:rPr>
        <w:t>積層板における</w:t>
      </w:r>
      <w:r w:rsidR="00E8399C">
        <w:t>気体漏洩については，マトリクスクラックなどの損傷を介した漏洩挙動に関する研究が進められている．一方</w:t>
      </w:r>
      <w:r w:rsidR="00E8399C">
        <w:rPr>
          <w:rFonts w:hint="eastAsia"/>
        </w:rPr>
        <w:t>で</w:t>
      </w:r>
      <w:r w:rsidR="00E8399C">
        <w:t>，損傷のない材料内部を気体分子が溶解・拡散することによって生じる透過挙動については，十分に明らかになっていない．</w:t>
      </w:r>
      <w:r w:rsidR="00E8399C" w:rsidRPr="0075311C">
        <w:t>CFRP</w:t>
      </w:r>
      <w:r w:rsidR="00E8399C" w:rsidRPr="0075311C">
        <w:t>は炭素繊維とマトリクス樹脂から構成されるため，</w:t>
      </w:r>
      <w:r w:rsidR="00E8399C" w:rsidRPr="0075311C">
        <w:t>CFRP</w:t>
      </w:r>
      <w:r w:rsidR="00E8399C" w:rsidRPr="0075311C">
        <w:t>全体の透過特性を理解する上では，その基礎となるマトリクス樹脂単体のガス透過特性を把握することが重要である．</w:t>
      </w:r>
    </w:p>
    <w:p w14:paraId="57746AB4" w14:textId="1598B8A3" w:rsidR="0086361D" w:rsidRPr="00E8399C" w:rsidRDefault="00E8399C" w:rsidP="00E8399C">
      <w:r>
        <w:rPr>
          <w:rFonts w:hint="eastAsia"/>
        </w:rPr>
        <w:t xml:space="preserve">　そこで本研究では，</w:t>
      </w:r>
      <w:r>
        <w:t>樹脂および</w:t>
      </w:r>
      <w:r>
        <w:t>CFRP</w:t>
      </w:r>
      <w:r>
        <w:t>積層板の</w:t>
      </w:r>
      <w:r>
        <w:t>He</w:t>
      </w:r>
      <w:r>
        <w:t>ガス透過特性を評価し，その透過挙動を再現するミクロスケールモデルを構築することを目的とする</w:t>
      </w:r>
      <w:r>
        <w:rPr>
          <w:rFonts w:ascii="MS Mincho" w:hAnsi="MS Mincho" w:cs="MS Mincho" w:hint="eastAsia"/>
        </w:rPr>
        <w:t>．</w:t>
      </w:r>
      <w:r>
        <w:t>本報では，意図的な損傷を導入していない樹脂板を対象とした</w:t>
      </w:r>
      <w:r>
        <w:t>He</w:t>
      </w:r>
      <w:r>
        <w:t>ガス透過試験の結果</w:t>
      </w:r>
      <w:r>
        <w:rPr>
          <w:rFonts w:hint="eastAsia"/>
        </w:rPr>
        <w:t>，</w:t>
      </w:r>
      <w:r>
        <w:t>ならびに拡散係数および透過係数の算出結果について報告する</w:t>
      </w:r>
      <w:r>
        <w:rPr>
          <w:rFonts w:ascii="MS Mincho" w:hAnsi="MS Mincho" w:cs="MS Mincho" w:hint="eastAsia"/>
        </w:rPr>
        <w:t>．</w:t>
      </w:r>
    </w:p>
    <w:p w14:paraId="282E5143" w14:textId="77777777" w:rsidR="00091764" w:rsidRDefault="00091764" w:rsidP="00091764">
      <w:pPr>
        <w:rPr>
          <w:sz w:val="24"/>
          <w:szCs w:val="24"/>
        </w:rPr>
      </w:pPr>
      <w:r>
        <w:rPr>
          <w:rFonts w:hint="eastAsia"/>
          <w:szCs w:val="21"/>
        </w:rPr>
        <w:t>2</w:t>
      </w:r>
      <w:r w:rsidRPr="00AF2943">
        <w:rPr>
          <w:rFonts w:hint="eastAsia"/>
          <w:sz w:val="24"/>
          <w:szCs w:val="24"/>
        </w:rPr>
        <w:t>．</w:t>
      </w:r>
      <w:r>
        <w:rPr>
          <w:rFonts w:hint="eastAsia"/>
          <w:sz w:val="24"/>
          <w:szCs w:val="24"/>
        </w:rPr>
        <w:t>実験方法</w:t>
      </w:r>
    </w:p>
    <w:p w14:paraId="50568E5A" w14:textId="05F5C79E" w:rsidR="00E8399C" w:rsidRPr="00F6090A" w:rsidRDefault="00E8399C" w:rsidP="00E8399C">
      <w:pPr>
        <w:rPr>
          <w:rFonts w:ascii="MS Mincho" w:hAnsi="MS Mincho" w:cs="MS Mincho"/>
        </w:rPr>
      </w:pPr>
      <w:r>
        <w:rPr>
          <w:rFonts w:hint="eastAsia"/>
        </w:rPr>
        <w:t xml:space="preserve">　</w:t>
      </w:r>
      <w:r>
        <w:t>試験材料には，熱可塑性樹脂である</w:t>
      </w:r>
      <w:r>
        <w:t>PEEK</w:t>
      </w:r>
      <w:r>
        <w:t>（</w:t>
      </w:r>
      <w:r>
        <w:t>polyether ether ketone</w:t>
      </w:r>
      <w:r>
        <w:t>）および</w:t>
      </w:r>
      <w:r>
        <w:t>PP</w:t>
      </w:r>
      <w:r>
        <w:t>（</w:t>
      </w:r>
      <w:r>
        <w:t>polypropylene</w:t>
      </w:r>
      <w:r>
        <w:t>）を用いた．板厚は</w:t>
      </w:r>
      <w:r>
        <w:t>1</w:t>
      </w:r>
      <w:r>
        <w:t>，</w:t>
      </w:r>
      <w:r>
        <w:t>2</w:t>
      </w:r>
      <w:r>
        <w:t>および</w:t>
      </w:r>
      <w:r>
        <w:t>3 mm</w:t>
      </w:r>
      <w:r>
        <w:t>とした．試験片寸法はいずれも</w:t>
      </w:r>
      <w:r>
        <w:t>100 mm × 100 mm</w:t>
      </w:r>
      <w:r>
        <w:t>とした．</w:t>
      </w:r>
    </w:p>
    <w:p w14:paraId="239FF501" w14:textId="77777777" w:rsidR="00E8399C" w:rsidRDefault="00E8399C" w:rsidP="00E8399C">
      <w:pPr>
        <w:rPr>
          <w:rFonts w:ascii="MS Mincho" w:hAnsi="MS Mincho" w:cs="MS Mincho"/>
        </w:rPr>
      </w:pPr>
      <w:r w:rsidRPr="00F6090A">
        <w:rPr>
          <w:rFonts w:ascii="MS Mincho" w:hAnsi="MS Mincho" w:cs="MS Mincho" w:hint="eastAsia"/>
        </w:rPr>
        <w:t xml:space="preserve">　</w:t>
      </w:r>
      <w:r>
        <w:t>試験片の</w:t>
      </w:r>
      <w:r>
        <w:rPr>
          <w:rFonts w:hint="eastAsia"/>
        </w:rPr>
        <w:t>ヘリウム（</w:t>
      </w:r>
      <w:r>
        <w:t>He</w:t>
      </w:r>
      <w:r>
        <w:rPr>
          <w:rFonts w:hint="eastAsia"/>
        </w:rPr>
        <w:t>）</w:t>
      </w:r>
      <w:r>
        <w:t>ガス透過特性を評価するため，試験片を上下のカップ状治具の間に固定し，透過試験を行った．カップと試験片の間には</w:t>
      </w:r>
      <w:r>
        <w:t>O</w:t>
      </w:r>
      <w:r>
        <w:t>リングを配置して密着させ，気密性を確保するとともに，有効透過領域を</w:t>
      </w:r>
      <w:r>
        <w:t xml:space="preserve">41 mm × 41 </w:t>
      </w:r>
      <w:r>
        <w:t>mm</w:t>
      </w:r>
      <w:r>
        <w:t>とした．試験片下部のカップは</w:t>
      </w:r>
      <w:r>
        <w:t>He</w:t>
      </w:r>
      <w:r>
        <w:t>リークディテクタ</w:t>
      </w:r>
      <w:r>
        <w:rPr>
          <w:rFonts w:hint="eastAsia"/>
        </w:rPr>
        <w:t>（</w:t>
      </w:r>
      <w:r>
        <w:t>MSE-2600</w:t>
      </w:r>
      <w:r>
        <w:rPr>
          <w:rFonts w:hint="eastAsia"/>
        </w:rPr>
        <w:t xml:space="preserve">, </w:t>
      </w:r>
      <w:r>
        <w:t>島津製作所</w:t>
      </w:r>
      <w:r>
        <w:rPr>
          <w:rFonts w:hint="eastAsia"/>
        </w:rPr>
        <w:t>）</w:t>
      </w:r>
      <w:r>
        <w:t>に接続し，真空側圧力が約</w:t>
      </w:r>
      <w:r>
        <w:t>1.6 Pa</w:t>
      </w:r>
      <w:r>
        <w:t>に達するまで真空排気した後，測定を開始した</w:t>
      </w:r>
      <w:r>
        <w:rPr>
          <w:rFonts w:ascii="MS Mincho" w:hAnsi="MS Mincho" w:cs="MS Mincho" w:hint="eastAsia"/>
        </w:rPr>
        <w:t>．</w:t>
      </w:r>
      <w:r>
        <w:t>試験中は，上流側のカップに</w:t>
      </w:r>
      <w:r>
        <w:t>He</w:t>
      </w:r>
      <w:r>
        <w:t>ガスを供給し，供給圧力は</w:t>
      </w:r>
      <w:r>
        <w:t>He</w:t>
      </w:r>
      <w:r>
        <w:t>ガスボンベに接続したレギュレータにより約</w:t>
      </w:r>
      <w:r>
        <w:t>5 kPa</w:t>
      </w:r>
      <w:r>
        <w:t>に調整し</w:t>
      </w:r>
      <w:r>
        <w:rPr>
          <w:rFonts w:ascii="MS Mincho" w:hAnsi="MS Mincho" w:cs="MS Mincho" w:hint="eastAsia"/>
        </w:rPr>
        <w:t>た．</w:t>
      </w:r>
    </w:p>
    <w:p w14:paraId="4A86E6D4" w14:textId="77777777" w:rsidR="00E8399C" w:rsidRDefault="00E8399C" w:rsidP="00E8399C">
      <w:r>
        <w:rPr>
          <w:rFonts w:ascii="MS Mincho" w:hAnsi="MS Mincho" w:cs="MS Mincho" w:hint="eastAsia"/>
        </w:rPr>
        <w:t xml:space="preserve">　</w:t>
      </w:r>
      <w:r>
        <w:t>He</w:t>
      </w:r>
      <w:r>
        <w:t>リークディテクタから出力される信号</w:t>
      </w:r>
      <w:proofErr w:type="gramStart"/>
      <w:r>
        <w:t>を</w:t>
      </w:r>
      <w:proofErr w:type="gramEnd"/>
      <w:r>
        <w:rPr>
          <w:rFonts w:hint="eastAsia"/>
        </w:rPr>
        <w:t>シリアルポート</w:t>
      </w:r>
      <w:proofErr w:type="gramStart"/>
      <w:r>
        <w:rPr>
          <w:rFonts w:hint="eastAsia"/>
        </w:rPr>
        <w:t>を</w:t>
      </w:r>
      <w:proofErr w:type="gramEnd"/>
      <w:r>
        <w:rPr>
          <w:rFonts w:hint="eastAsia"/>
        </w:rPr>
        <w:t>介して</w:t>
      </w:r>
      <w:r>
        <w:t>パソコンに</w:t>
      </w:r>
      <w:r>
        <w:rPr>
          <w:rFonts w:hint="eastAsia"/>
        </w:rPr>
        <w:t>取り込み，</w:t>
      </w:r>
      <w:r>
        <w:t>リークレートの時間変化を</w:t>
      </w:r>
      <w:r>
        <w:t>2</w:t>
      </w:r>
      <w:r>
        <w:t>秒間隔で記録した．取得したデータを基にリークレートの時間応答曲線を作成し，自作の解析プログラムを用いて初期リークレート</w:t>
      </w:r>
      <w:r>
        <w:t xml:space="preserve"> </w:t>
      </w:r>
      <m:oMath>
        <m:sSub>
          <m:sSubPr>
            <m:ctrlPr>
              <w:rPr>
                <w:rFonts w:ascii="Cambria Math" w:hAnsi="Cambria Math"/>
              </w:rPr>
            </m:ctrlPr>
          </m:sSubPr>
          <m:e>
            <m:r>
              <w:rPr>
                <w:rFonts w:ascii="Cambria Math" w:hAnsi="Cambria Math"/>
              </w:rPr>
              <m:t>Q</m:t>
            </m:r>
          </m:e>
          <m:sub>
            <m:r>
              <w:rPr>
                <w:rFonts w:ascii="Cambria Math" w:hAnsi="Cambria Math"/>
              </w:rPr>
              <m:t>0</m:t>
            </m:r>
          </m:sub>
        </m:sSub>
      </m:oMath>
      <w:r>
        <w:t>，定常リークレート</w:t>
      </w:r>
      <w:r>
        <w:t xml:space="preserve"> </w:t>
      </w:r>
      <m:oMath>
        <m:sSub>
          <m:sSubPr>
            <m:ctrlPr>
              <w:rPr>
                <w:rFonts w:ascii="Cambria Math" w:hAnsi="Cambria Math"/>
              </w:rPr>
            </m:ctrlPr>
          </m:sSubPr>
          <m:e>
            <m:r>
              <w:rPr>
                <w:rFonts w:ascii="Cambria Math" w:hAnsi="Cambria Math"/>
              </w:rPr>
              <m:t>Q</m:t>
            </m:r>
          </m:e>
          <m:sub>
            <m:r>
              <w:rPr>
                <w:rFonts w:ascii="Cambria Math" w:hAnsi="Cambria Math"/>
              </w:rPr>
              <m:t>s</m:t>
            </m:r>
            <m:r>
              <w:rPr>
                <w:rFonts w:ascii="Cambria Math" w:hAnsi="Cambria Math" w:hint="eastAsia"/>
              </w:rPr>
              <m:t>s</m:t>
            </m:r>
          </m:sub>
        </m:sSub>
      </m:oMath>
      <w:r>
        <w:t>および</w:t>
      </w:r>
      <w:r>
        <w:rPr>
          <w:rFonts w:hint="eastAsia"/>
        </w:rPr>
        <w:t>定常値の半分に達した時刻</w:t>
      </w:r>
      <w:r>
        <w:rPr>
          <w:rFonts w:hint="eastAsia"/>
        </w:rPr>
        <w:t xml:space="preserve"> </w:t>
      </w:r>
      <m:oMath>
        <m:sSub>
          <m:sSubPr>
            <m:ctrlPr>
              <w:rPr>
                <w:rFonts w:ascii="Cambria Math" w:hAnsi="Cambria Math"/>
              </w:rPr>
            </m:ctrlPr>
          </m:sSubPr>
          <m:e>
            <m:r>
              <w:rPr>
                <w:rFonts w:ascii="Cambria Math" w:hAnsi="Cambria Math"/>
              </w:rPr>
              <m:t>t</m:t>
            </m:r>
          </m:e>
          <m:sub>
            <m:r>
              <w:rPr>
                <w:rFonts w:ascii="Cambria Math" w:hAnsi="Cambria Math"/>
              </w:rPr>
              <m:t>50</m:t>
            </m:r>
          </m:sub>
        </m:sSub>
      </m:oMath>
      <w:r>
        <w:t>を抽出した．</w:t>
      </w:r>
      <w:r>
        <w:rPr>
          <w:rFonts w:hint="eastAsia"/>
        </w:rPr>
        <w:t>また，拡散係数</w:t>
      </w:r>
      <w:r>
        <w:rPr>
          <w:rFonts w:hint="eastAsia"/>
        </w:rPr>
        <w:t>D</w:t>
      </w:r>
      <w:r>
        <w:rPr>
          <w:rFonts w:hint="eastAsia"/>
        </w:rPr>
        <w:t>，透過係数</w:t>
      </w:r>
      <w:r>
        <w:rPr>
          <w:rFonts w:hint="eastAsia"/>
        </w:rPr>
        <w:t>P</w:t>
      </w:r>
      <w:r>
        <w:rPr>
          <w:rFonts w:hint="eastAsia"/>
        </w:rPr>
        <w:t>は以下の式により算出した</w:t>
      </w:r>
      <w:r w:rsidRPr="00846EF0">
        <w:rPr>
          <w:vertAlign w:val="superscript"/>
        </w:rPr>
        <w:t>(2)</w:t>
      </w:r>
      <w:r w:rsidRPr="00856295">
        <w:rPr>
          <w:vertAlign w:val="superscript"/>
        </w:rPr>
        <w:t xml:space="preserve"> </w:t>
      </w:r>
      <w:r w:rsidRPr="00846EF0">
        <w:rPr>
          <w:vertAlign w:val="superscript"/>
        </w:rPr>
        <w:t>(</w:t>
      </w:r>
      <w:r>
        <w:rPr>
          <w:vertAlign w:val="superscript"/>
        </w:rPr>
        <w:t>3</w:t>
      </w:r>
      <w:r w:rsidRPr="00846EF0">
        <w:rPr>
          <w:vertAlign w:val="superscript"/>
        </w:rPr>
        <w:t>)</w:t>
      </w:r>
      <w:r>
        <w:rPr>
          <w:rFonts w:hint="eastAsia"/>
        </w:rPr>
        <w:t>．</w:t>
      </w:r>
    </w:p>
    <w:p w14:paraId="34522716" w14:textId="1B5A00DD" w:rsidR="00E8399C" w:rsidRDefault="00E8399C" w:rsidP="00E8399C">
      <m:oMath>
        <m:r>
          <w:rPr>
            <w:rFonts w:ascii="Cambria Math" w:hAnsi="Cambria Math" w:hint="eastAsia"/>
          </w:rPr>
          <m:t>D</m:t>
        </m:r>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7.199</m:t>
            </m:r>
            <m:sSub>
              <m:sSubPr>
                <m:ctrlPr>
                  <w:rPr>
                    <w:rFonts w:ascii="Cambria Math" w:hAnsi="Cambria Math"/>
                    <w:i/>
                  </w:rPr>
                </m:ctrlPr>
              </m:sSubPr>
              <m:e>
                <m:r>
                  <w:rPr>
                    <w:rFonts w:ascii="Cambria Math" w:hAnsi="Cambria Math"/>
                  </w:rPr>
                  <m:t>t</m:t>
                </m:r>
              </m:e>
              <m:sub>
                <m:r>
                  <w:rPr>
                    <w:rFonts w:ascii="Cambria Math" w:hAnsi="Cambria Math"/>
                  </w:rPr>
                  <m:t>50</m:t>
                </m:r>
              </m:sub>
            </m:sSub>
          </m:den>
        </m:f>
        <m:r>
          <w:rPr>
            <w:rFonts w:ascii="Cambria Math" w:hAnsi="Cambria Math"/>
          </w:rPr>
          <m:t xml:space="preserve">  </m:t>
        </m:r>
      </m:oMath>
      <w:r>
        <w:t xml:space="preserve"> </w:t>
      </w:r>
      <w:r>
        <w:rPr>
          <w:rFonts w:hint="eastAsia"/>
        </w:rPr>
        <w:t xml:space="preserve">　</w:t>
      </w:r>
      <w:r>
        <w:t>(1)</w:t>
      </w:r>
      <w:r>
        <w:rPr>
          <w:rFonts w:hint="eastAsia"/>
        </w:rPr>
        <w:t xml:space="preserve">　　</w:t>
      </w:r>
      <m:oMath>
        <m:r>
          <w:rPr>
            <w:rFonts w:ascii="Cambria Math" w:hAnsi="Cambria Math"/>
          </w:rPr>
          <m:t>P=</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s</m:t>
                </m:r>
              </m:sub>
            </m:sSub>
            <m:r>
              <w:rPr>
                <w:rFonts w:ascii="Cambria Math" w:hAnsi="Cambria Math"/>
              </w:rPr>
              <m:t>L</m:t>
            </m:r>
          </m:num>
          <m:den>
            <m:r>
              <w:rPr>
                <w:rFonts w:ascii="Cambria Math" w:hAnsi="Cambria Math"/>
              </w:rPr>
              <m:t>A Δp</m:t>
            </m:r>
          </m:den>
        </m:f>
      </m:oMath>
      <w:r>
        <w:rPr>
          <w:rFonts w:hint="eastAsia"/>
        </w:rPr>
        <w:t xml:space="preserve">　</w:t>
      </w:r>
      <m:oMath>
        <m:r>
          <w:rPr>
            <w:rFonts w:ascii="Cambria Math" w:hAnsi="Cambria Math"/>
          </w:rPr>
          <m:t xml:space="preserve">  </m:t>
        </m:r>
      </m:oMath>
      <w:r>
        <w:t xml:space="preserve"> </w:t>
      </w:r>
      <w:r>
        <w:rPr>
          <w:rFonts w:hint="eastAsia"/>
        </w:rPr>
        <w:t xml:space="preserve">　　　</w:t>
      </w:r>
      <w:r>
        <w:t>(</w:t>
      </w:r>
      <w:r>
        <w:rPr>
          <w:rFonts w:hint="eastAsia"/>
        </w:rPr>
        <w:t>2)</w:t>
      </w:r>
    </w:p>
    <w:p w14:paraId="4EB24930" w14:textId="77777777" w:rsidR="00E8399C" w:rsidRDefault="00E8399C" w:rsidP="00E8399C"/>
    <w:p w14:paraId="28AE9A3E" w14:textId="77777777" w:rsidR="00E8399C" w:rsidRPr="00476353" w:rsidRDefault="00E8399C" w:rsidP="00E8399C">
      <w:r>
        <w:rPr>
          <w:rFonts w:hint="eastAsia"/>
        </w:rPr>
        <w:t xml:space="preserve">　ここで，</w:t>
      </w:r>
      <w:r>
        <w:rPr>
          <w:rFonts w:hint="eastAsia"/>
        </w:rPr>
        <w:t>L</w:t>
      </w:r>
      <w:r>
        <w:rPr>
          <w:rFonts w:hint="eastAsia"/>
        </w:rPr>
        <w:t>は試験片の厚さ，</w:t>
      </w:r>
      <w:r>
        <w:rPr>
          <w:rFonts w:hint="eastAsia"/>
        </w:rPr>
        <w:t>A</w:t>
      </w:r>
      <w:r>
        <w:rPr>
          <w:rFonts w:hint="eastAsia"/>
        </w:rPr>
        <w:t>は有効な透過面積，</w:t>
      </w:r>
      <w:proofErr w:type="spellStart"/>
      <w:r>
        <w:rPr>
          <w:rStyle w:val="mord"/>
        </w:rPr>
        <w:t>Δp</w:t>
      </w:r>
      <w:proofErr w:type="spellEnd"/>
      <w:r>
        <w:t>は試験片両側の圧力差である</w:t>
      </w:r>
      <w:r>
        <w:rPr>
          <w:rFonts w:ascii="MS Mincho" w:hAnsi="MS Mincho" w:cs="MS Mincho" w:hint="eastAsia"/>
        </w:rPr>
        <w:t>．</w:t>
      </w:r>
      <w:r>
        <w:rPr>
          <w:rFonts w:hint="eastAsia"/>
        </w:rPr>
        <w:t>こ</w:t>
      </w:r>
      <w:r>
        <w:t>れらの値を用いて拡散係数</w:t>
      </w:r>
      <m:oMath>
        <m:r>
          <w:rPr>
            <w:rFonts w:ascii="Cambria Math" w:hAnsi="Cambria Math" w:hint="eastAsia"/>
          </w:rPr>
          <m:t>D</m:t>
        </m:r>
      </m:oMath>
      <w:r>
        <w:t>および透過係数</w:t>
      </w:r>
      <m:oMath>
        <m:r>
          <w:rPr>
            <w:rFonts w:ascii="Cambria Math" w:hAnsi="Cambria Math"/>
          </w:rPr>
          <m:t>P</m:t>
        </m:r>
      </m:oMath>
      <w:r>
        <w:t>を算出し，各試験片の</w:t>
      </w:r>
      <w:r>
        <w:t>He</w:t>
      </w:r>
      <w:r>
        <w:t>ガス透過特性を評価した</w:t>
      </w:r>
      <w:r>
        <w:rPr>
          <w:rFonts w:ascii="MS Mincho" w:hAnsi="MS Mincho" w:cs="MS Mincho" w:hint="eastAsia"/>
        </w:rPr>
        <w:t>．</w:t>
      </w:r>
    </w:p>
    <w:p w14:paraId="3C0F0D97" w14:textId="77777777" w:rsidR="00F5552E" w:rsidRPr="00656AB4" w:rsidRDefault="00F5552E" w:rsidP="00091764">
      <w:pPr>
        <w:rPr>
          <w:szCs w:val="21"/>
        </w:rPr>
      </w:pPr>
    </w:p>
    <w:p w14:paraId="28891B1F" w14:textId="77777777" w:rsidR="00091764" w:rsidRDefault="00091764" w:rsidP="00091764">
      <w:pPr>
        <w:rPr>
          <w:sz w:val="24"/>
          <w:szCs w:val="24"/>
        </w:rPr>
      </w:pPr>
      <w:r>
        <w:rPr>
          <w:rFonts w:hint="eastAsia"/>
          <w:szCs w:val="21"/>
        </w:rPr>
        <w:t>3</w:t>
      </w:r>
      <w:r w:rsidRPr="00AF2943">
        <w:rPr>
          <w:rFonts w:hint="eastAsia"/>
          <w:sz w:val="24"/>
          <w:szCs w:val="24"/>
        </w:rPr>
        <w:t>．</w:t>
      </w:r>
      <w:r>
        <w:rPr>
          <w:rFonts w:hint="eastAsia"/>
          <w:sz w:val="24"/>
          <w:szCs w:val="24"/>
        </w:rPr>
        <w:t>実験結果</w:t>
      </w:r>
    </w:p>
    <w:p w14:paraId="232A94C0" w14:textId="66DFD535" w:rsidR="00E8399C" w:rsidRDefault="00FA6104" w:rsidP="00E8399C">
      <w:r>
        <w:rPr>
          <w:rFonts w:hint="eastAsia"/>
        </w:rPr>
        <w:t xml:space="preserve">　</w:t>
      </w:r>
      <w:r w:rsidR="00E8399C" w:rsidRPr="00891726">
        <w:t>PEEK</w:t>
      </w:r>
      <w:r w:rsidR="00E8399C" w:rsidRPr="00891726">
        <w:t>試験片の</w:t>
      </w:r>
      <w:r w:rsidR="00E8399C" w:rsidRPr="00891726">
        <w:t>He</w:t>
      </w:r>
      <w:r w:rsidR="00E8399C" w:rsidRPr="00891726">
        <w:t>ガス透過試験結果</w:t>
      </w:r>
      <w:r w:rsidR="00E8399C">
        <w:rPr>
          <w:rFonts w:hint="eastAsia"/>
        </w:rPr>
        <w:t>の</w:t>
      </w:r>
      <w:r w:rsidR="00E8399C" w:rsidRPr="00891726">
        <w:t>代表例を</w:t>
      </w:r>
      <w:r w:rsidR="00E8399C" w:rsidRPr="00891726">
        <w:t>Fig. 1</w:t>
      </w:r>
      <w:r w:rsidR="00E8399C" w:rsidRPr="00891726">
        <w:t>に示す．横軸は時間</w:t>
      </w:r>
      <w:r w:rsidR="00E8399C" w:rsidRPr="00891726">
        <w:t xml:space="preserve"> </w:t>
      </w:r>
      <m:oMath>
        <m:r>
          <w:rPr>
            <w:rFonts w:ascii="Cambria Math" w:hAnsi="Cambria Math"/>
          </w:rPr>
          <m:t>t</m:t>
        </m:r>
      </m:oMath>
      <w:r w:rsidR="00E8399C">
        <w:rPr>
          <w:rFonts w:hint="eastAsia"/>
        </w:rPr>
        <w:t xml:space="preserve"> [h]</w:t>
      </w:r>
      <w:r w:rsidR="00E8399C" w:rsidRPr="00891726">
        <w:t>，縦軸はリークレート</w:t>
      </w:r>
      <w:r w:rsidR="00E8399C" w:rsidRPr="00891726">
        <w:t xml:space="preserve"> </w:t>
      </w:r>
      <m:oMath>
        <m:r>
          <w:rPr>
            <w:rFonts w:ascii="Cambria Math" w:hAnsi="Cambria Math"/>
          </w:rPr>
          <m:t>Q</m:t>
        </m:r>
      </m:oMath>
      <w:r w:rsidR="00E8399C" w:rsidRPr="00891726">
        <w:t>を示す．</w:t>
      </w:r>
      <w:r w:rsidR="00E8399C" w:rsidRPr="00891726" w:rsidDel="00405138">
        <w:t xml:space="preserve"> </w:t>
      </w:r>
      <w:r w:rsidR="00E8399C">
        <w:rPr>
          <w:rFonts w:hint="eastAsia"/>
        </w:rPr>
        <w:t xml:space="preserve">Fig. </w:t>
      </w:r>
      <w:r w:rsidR="00E8399C">
        <w:t xml:space="preserve">1 </w:t>
      </w:r>
      <w:r w:rsidR="00E8399C">
        <w:rPr>
          <w:rFonts w:hint="eastAsia"/>
        </w:rPr>
        <w:t>より，</w:t>
      </w:r>
      <w:r w:rsidR="00E8399C">
        <w:t>He</w:t>
      </w:r>
      <w:r w:rsidR="00E8399C">
        <w:t>ガス導入後，リークレートは時間の経過とともに増加し，定常値に達した後はほぼ一定に推移した．</w:t>
      </w:r>
      <w:r w:rsidR="00E8399C">
        <w:t>PP</w:t>
      </w:r>
      <w:r w:rsidR="00E8399C">
        <w:t>試験片についても，同様の透過挙動が確認された</w:t>
      </w:r>
      <w:r w:rsidR="00E8399C">
        <w:rPr>
          <w:rFonts w:hint="eastAsia"/>
        </w:rPr>
        <w:t>．</w:t>
      </w:r>
    </w:p>
    <w:p w14:paraId="33995A00" w14:textId="77777777" w:rsidR="00E8399C" w:rsidRDefault="00E8399C" w:rsidP="00E8399C">
      <w:r>
        <w:rPr>
          <w:rFonts w:hint="eastAsia"/>
        </w:rPr>
        <w:t xml:space="preserve">　これらの結果から算出された拡散・透過係数を</w:t>
      </w:r>
      <w:r>
        <w:rPr>
          <w:rFonts w:hint="eastAsia"/>
        </w:rPr>
        <w:t>Table 1</w:t>
      </w:r>
      <w:r>
        <w:rPr>
          <w:rFonts w:hint="eastAsia"/>
        </w:rPr>
        <w:t>にまとめて示す．</w:t>
      </w:r>
      <w:r w:rsidRPr="00F028E4">
        <w:t>拡散係数</w:t>
      </w:r>
      <w:r w:rsidRPr="00F028E4">
        <w:t xml:space="preserve"> </w:t>
      </w:r>
      <m:oMath>
        <m:r>
          <w:rPr>
            <w:rFonts w:ascii="Cambria Math" w:hAnsi="Cambria Math"/>
          </w:rPr>
          <m:t>D</m:t>
        </m:r>
      </m:oMath>
      <w:r w:rsidRPr="00F028E4">
        <w:t>は材料内部における気体分子の拡散の速さを，透過係</w:t>
      </w:r>
      <w:r w:rsidRPr="00F028E4">
        <w:lastRenderedPageBreak/>
        <w:t>数</w:t>
      </w:r>
      <w:r w:rsidRPr="00F028E4">
        <w:t xml:space="preserve"> </w:t>
      </w:r>
      <m:oMath>
        <m:r>
          <w:rPr>
            <w:rFonts w:ascii="Cambria Math" w:hAnsi="Cambria Math"/>
          </w:rPr>
          <m:t>P</m:t>
        </m:r>
      </m:oMath>
      <w:r w:rsidRPr="00F028E4">
        <w:t>は材料に対する気体の透過しやすさを表す．</w:t>
      </w:r>
      <w:r w:rsidRPr="00F028E4">
        <w:t>Table 1</w:t>
      </w:r>
      <w:r w:rsidRPr="00F028E4">
        <w:t>より，</w:t>
      </w:r>
      <w:r w:rsidRPr="00F028E4">
        <w:t>PP</w:t>
      </w:r>
      <w:r w:rsidRPr="00F028E4">
        <w:t>試験片は最も高い拡散係数および透過係数を示した．</w:t>
      </w:r>
      <w:r>
        <w:rPr>
          <w:rFonts w:hint="eastAsia"/>
        </w:rPr>
        <w:t>同じ板厚では，</w:t>
      </w:r>
      <w:r>
        <w:rPr>
          <w:rFonts w:hint="eastAsia"/>
        </w:rPr>
        <w:t>PP</w:t>
      </w:r>
      <w:r>
        <w:rPr>
          <w:rFonts w:hint="eastAsia"/>
        </w:rPr>
        <w:t>試験片の</w:t>
      </w:r>
      <w:r w:rsidRPr="00F028E4">
        <w:rPr>
          <w:rFonts w:hint="eastAsia"/>
        </w:rPr>
        <w:t>拡</w:t>
      </w:r>
      <w:r w:rsidRPr="00F028E4">
        <w:t>散係数は</w:t>
      </w:r>
      <w:r w:rsidRPr="00F028E4">
        <w:t>PEE</w:t>
      </w:r>
      <w:r>
        <w:t>K</w:t>
      </w:r>
      <w:r w:rsidRPr="00F028E4">
        <w:rPr>
          <w:rFonts w:hint="eastAsia"/>
        </w:rPr>
        <w:t>の</w:t>
      </w:r>
      <w:r w:rsidRPr="00F028E4">
        <w:t>約</w:t>
      </w:r>
      <w:r w:rsidRPr="00F028E4">
        <w:t>4.3</w:t>
      </w:r>
      <w:r w:rsidRPr="00F028E4">
        <w:t>倍であり，</w:t>
      </w:r>
      <w:r w:rsidRPr="00F028E4">
        <w:t>He</w:t>
      </w:r>
      <w:r w:rsidRPr="00F028E4">
        <w:t>ガスが</w:t>
      </w:r>
      <w:r w:rsidRPr="00F028E4">
        <w:t>PEEK</w:t>
      </w:r>
      <w:r w:rsidRPr="00F028E4">
        <w:t>より速く拡散することが示された．</w:t>
      </w:r>
    </w:p>
    <w:p w14:paraId="1D1E7A15" w14:textId="77777777" w:rsidR="00E8399C" w:rsidRPr="00405138" w:rsidRDefault="00E8399C" w:rsidP="00E8399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9"/>
      </w:tblGrid>
      <w:tr w:rsidR="00E8399C" w14:paraId="31470B99" w14:textId="77777777" w:rsidTr="00DD41C8">
        <w:tc>
          <w:tcPr>
            <w:tcW w:w="4808" w:type="dxa"/>
            <w:vAlign w:val="center"/>
          </w:tcPr>
          <w:p w14:paraId="353E476E" w14:textId="77777777" w:rsidR="00E8399C" w:rsidRDefault="00E8399C" w:rsidP="00DD41C8">
            <w:pPr>
              <w:jc w:val="center"/>
            </w:pPr>
            <w:r>
              <w:rPr>
                <w:noProof/>
              </w:rPr>
              <w:drawing>
                <wp:inline distT="0" distB="0" distL="0" distR="0" wp14:anchorId="429CA9BF" wp14:editId="0F28E5F2">
                  <wp:extent cx="1808252" cy="1151481"/>
                  <wp:effectExtent l="0" t="0" r="0" b="4445"/>
                  <wp:docPr id="18174095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09538" name="Picture 2"/>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34551" cy="1168228"/>
                          </a:xfrm>
                          <a:prstGeom prst="rect">
                            <a:avLst/>
                          </a:prstGeom>
                        </pic:spPr>
                      </pic:pic>
                    </a:graphicData>
                  </a:graphic>
                </wp:inline>
              </w:drawing>
            </w:r>
          </w:p>
        </w:tc>
      </w:tr>
      <w:tr w:rsidR="00E8399C" w14:paraId="1C0097C7" w14:textId="77777777" w:rsidTr="00DD41C8">
        <w:tc>
          <w:tcPr>
            <w:tcW w:w="4808" w:type="dxa"/>
            <w:vAlign w:val="center"/>
          </w:tcPr>
          <w:p w14:paraId="0D94AEBF" w14:textId="77777777" w:rsidR="00E8399C" w:rsidRDefault="00E8399C" w:rsidP="00DD41C8">
            <w:pPr>
              <w:jc w:val="center"/>
            </w:pPr>
            <w:r>
              <w:t>Fig. 1 Time History of Leak Rate for PEEK specimen with thickness 1mm</w:t>
            </w:r>
          </w:p>
        </w:tc>
      </w:tr>
    </w:tbl>
    <w:p w14:paraId="5DCB5E38" w14:textId="77777777" w:rsidR="00E8399C" w:rsidRDefault="00E8399C" w:rsidP="00E8399C"/>
    <w:p w14:paraId="5DEA7BA2" w14:textId="77777777" w:rsidR="00E8399C" w:rsidRPr="006E5BB5" w:rsidRDefault="00E8399C" w:rsidP="00E8399C">
      <w:pPr>
        <w:jc w:val="center"/>
      </w:pPr>
      <w:r>
        <w:rPr>
          <w:rFonts w:hint="eastAsia"/>
        </w:rPr>
        <w:t xml:space="preserve">　</w:t>
      </w:r>
      <w:r>
        <w:t>Table 1 Diffusion Coefficient for Each Specimen.</w:t>
      </w:r>
    </w:p>
    <w:tbl>
      <w:tblPr>
        <w:tblStyle w:val="TableGrid"/>
        <w:tblW w:w="4651" w:type="dxa"/>
        <w:tblInd w:w="-147" w:type="dxa"/>
        <w:tblLook w:val="04A0" w:firstRow="1" w:lastRow="0" w:firstColumn="1" w:lastColumn="0" w:noHBand="0" w:noVBand="1"/>
      </w:tblPr>
      <w:tblGrid>
        <w:gridCol w:w="934"/>
        <w:gridCol w:w="1099"/>
        <w:gridCol w:w="1124"/>
        <w:gridCol w:w="1508"/>
      </w:tblGrid>
      <w:tr w:rsidR="00534149" w14:paraId="45E6F12E" w14:textId="77777777" w:rsidTr="00A01496">
        <w:trPr>
          <w:trHeight w:val="937"/>
        </w:trPr>
        <w:tc>
          <w:tcPr>
            <w:tcW w:w="607" w:type="dxa"/>
            <w:vAlign w:val="center"/>
          </w:tcPr>
          <w:p w14:paraId="0795E845" w14:textId="77777777" w:rsidR="00534149" w:rsidRPr="005654B8" w:rsidRDefault="00534149" w:rsidP="00534149">
            <w:pPr>
              <w:jc w:val="center"/>
              <w:rPr>
                <w:sz w:val="18"/>
                <w:szCs w:val="18"/>
              </w:rPr>
            </w:pPr>
            <w:r w:rsidRPr="005654B8">
              <w:rPr>
                <w:sz w:val="18"/>
                <w:szCs w:val="18"/>
              </w:rPr>
              <w:t>Material</w:t>
            </w:r>
          </w:p>
        </w:tc>
        <w:tc>
          <w:tcPr>
            <w:tcW w:w="1135" w:type="dxa"/>
            <w:vAlign w:val="center"/>
          </w:tcPr>
          <w:p w14:paraId="1CFC608E" w14:textId="77777777" w:rsidR="00534149" w:rsidRPr="005654B8" w:rsidRDefault="00534149" w:rsidP="00534149">
            <w:pPr>
              <w:jc w:val="center"/>
              <w:rPr>
                <w:sz w:val="18"/>
                <w:szCs w:val="18"/>
              </w:rPr>
            </w:pPr>
            <w:r w:rsidRPr="005654B8">
              <w:rPr>
                <w:sz w:val="18"/>
                <w:szCs w:val="18"/>
              </w:rPr>
              <w:t xml:space="preserve">Thickness, </w:t>
            </w:r>
            <w:r w:rsidRPr="005654B8">
              <w:rPr>
                <w:i/>
                <w:iCs/>
                <w:sz w:val="18"/>
                <w:szCs w:val="18"/>
              </w:rPr>
              <w:t>L</w:t>
            </w:r>
          </w:p>
          <w:p w14:paraId="1910F7FD" w14:textId="77777777" w:rsidR="00534149" w:rsidRPr="005654B8" w:rsidRDefault="00534149" w:rsidP="00534149">
            <w:pPr>
              <w:jc w:val="center"/>
              <w:rPr>
                <w:sz w:val="18"/>
                <w:szCs w:val="18"/>
              </w:rPr>
            </w:pPr>
            <w:r w:rsidRPr="005654B8">
              <w:rPr>
                <w:sz w:val="18"/>
                <w:szCs w:val="18"/>
              </w:rPr>
              <w:t>(mm)</w:t>
            </w:r>
          </w:p>
        </w:tc>
        <w:tc>
          <w:tcPr>
            <w:tcW w:w="1401" w:type="dxa"/>
            <w:vAlign w:val="center"/>
          </w:tcPr>
          <w:p w14:paraId="3B065491" w14:textId="77777777" w:rsidR="00534149" w:rsidRPr="005654B8" w:rsidRDefault="00534149" w:rsidP="00534149">
            <w:pPr>
              <w:jc w:val="center"/>
              <w:rPr>
                <w:sz w:val="18"/>
                <w:szCs w:val="18"/>
              </w:rPr>
            </w:pPr>
            <w:r w:rsidRPr="005654B8">
              <w:rPr>
                <w:sz w:val="18"/>
                <w:szCs w:val="18"/>
              </w:rPr>
              <w:t xml:space="preserve">Diffusivity, </w:t>
            </w:r>
            <w:r w:rsidRPr="005654B8">
              <w:rPr>
                <w:i/>
                <w:iCs/>
                <w:sz w:val="18"/>
                <w:szCs w:val="18"/>
              </w:rPr>
              <w:t>D</w:t>
            </w:r>
            <w:r w:rsidRPr="005654B8">
              <w:rPr>
                <w:rFonts w:hint="eastAsia"/>
                <w:sz w:val="18"/>
                <w:szCs w:val="18"/>
              </w:rPr>
              <w:t xml:space="preserve"> </w:t>
            </w:r>
            <w:r w:rsidRPr="005654B8">
              <w:rPr>
                <w:sz w:val="18"/>
                <w:szCs w:val="18"/>
              </w:rPr>
              <w:t>(m</w:t>
            </w:r>
            <w:r w:rsidRPr="005654B8">
              <w:rPr>
                <w:sz w:val="18"/>
                <w:szCs w:val="18"/>
                <w:vertAlign w:val="superscript"/>
              </w:rPr>
              <w:t>2</w:t>
            </w:r>
            <w:r w:rsidRPr="005654B8">
              <w:rPr>
                <w:sz w:val="18"/>
                <w:szCs w:val="18"/>
              </w:rPr>
              <w:t>/s)</w:t>
            </w:r>
          </w:p>
        </w:tc>
        <w:tc>
          <w:tcPr>
            <w:tcW w:w="1508" w:type="dxa"/>
            <w:vAlign w:val="center"/>
          </w:tcPr>
          <w:p w14:paraId="3C3FF8BF" w14:textId="73A9C5E9" w:rsidR="00534149" w:rsidRPr="00A01496" w:rsidRDefault="00534149" w:rsidP="00534149">
            <w:pPr>
              <w:jc w:val="center"/>
              <w:rPr>
                <w:rFonts w:hint="eastAsia"/>
                <w:sz w:val="18"/>
                <w:szCs w:val="18"/>
              </w:rPr>
            </w:pPr>
            <w:r w:rsidRPr="00A01496">
              <w:rPr>
                <w:rFonts w:hint="eastAsia"/>
                <w:sz w:val="18"/>
                <w:szCs w:val="18"/>
              </w:rPr>
              <w:t>Permeability</w:t>
            </w:r>
            <w:r w:rsidRPr="00A01496">
              <w:rPr>
                <w:sz w:val="18"/>
                <w:szCs w:val="18"/>
              </w:rPr>
              <w:t xml:space="preserve">, </w:t>
            </w:r>
            <w:r w:rsidRPr="00A01496">
              <w:rPr>
                <w:i/>
                <w:iCs/>
                <w:sz w:val="18"/>
                <w:szCs w:val="18"/>
              </w:rPr>
              <w:t>P</w:t>
            </w:r>
            <w:r w:rsidRPr="00A01496">
              <w:rPr>
                <w:rFonts w:hint="eastAsia"/>
                <w:sz w:val="18"/>
                <w:szCs w:val="18"/>
              </w:rPr>
              <w:t xml:space="preserve">　</w:t>
            </w:r>
            <w:r w:rsidRPr="00A01496">
              <w:rPr>
                <w:sz w:val="18"/>
                <w:szCs w:val="18"/>
              </w:rPr>
              <w:t>(mol</w:t>
            </w:r>
            <m:oMath>
              <m:r>
                <w:rPr>
                  <w:rFonts w:ascii="Cambria Math" w:hAnsi="Cambria Math"/>
                  <w:sz w:val="18"/>
                  <w:szCs w:val="18"/>
                </w:rPr>
                <m:t>∙</m:t>
              </m:r>
            </m:oMath>
            <w:r w:rsidRPr="00A01496">
              <w:rPr>
                <w:sz w:val="18"/>
                <w:szCs w:val="18"/>
              </w:rPr>
              <w:t>m/m</w:t>
            </w:r>
            <w:r w:rsidRPr="00A01496">
              <w:rPr>
                <w:sz w:val="18"/>
                <w:szCs w:val="18"/>
                <w:vertAlign w:val="superscript"/>
              </w:rPr>
              <w:t>2</w:t>
            </w:r>
            <m:oMath>
              <m:r>
                <w:rPr>
                  <w:rFonts w:ascii="Cambria Math" w:hAnsi="Cambria Math"/>
                  <w:sz w:val="18"/>
                  <w:szCs w:val="18"/>
                </w:rPr>
                <m:t>∙</m:t>
              </m:r>
            </m:oMath>
            <w:r w:rsidRPr="00A01496">
              <w:rPr>
                <w:sz w:val="18"/>
                <w:szCs w:val="18"/>
              </w:rPr>
              <w:t>s</w:t>
            </w:r>
            <m:oMath>
              <m:r>
                <w:rPr>
                  <w:rFonts w:ascii="Cambria Math" w:hAnsi="Cambria Math"/>
                  <w:sz w:val="18"/>
                  <w:szCs w:val="18"/>
                </w:rPr>
                <m:t>∙</m:t>
              </m:r>
            </m:oMath>
            <w:r w:rsidRPr="00A01496">
              <w:rPr>
                <w:sz w:val="18"/>
                <w:szCs w:val="18"/>
              </w:rPr>
              <w:t>Pa)</w:t>
            </w:r>
          </w:p>
        </w:tc>
      </w:tr>
      <w:tr w:rsidR="00534149" w14:paraId="3F1C8773" w14:textId="77777777" w:rsidTr="00A01496">
        <w:trPr>
          <w:trHeight w:val="303"/>
        </w:trPr>
        <w:tc>
          <w:tcPr>
            <w:tcW w:w="607" w:type="dxa"/>
            <w:vMerge w:val="restart"/>
            <w:vAlign w:val="center"/>
          </w:tcPr>
          <w:p w14:paraId="47BF5331" w14:textId="77777777" w:rsidR="00534149" w:rsidRPr="005654B8" w:rsidRDefault="00534149" w:rsidP="00534149">
            <w:pPr>
              <w:jc w:val="center"/>
              <w:rPr>
                <w:sz w:val="18"/>
                <w:szCs w:val="18"/>
              </w:rPr>
            </w:pPr>
            <w:r w:rsidRPr="005654B8">
              <w:rPr>
                <w:rFonts w:hint="eastAsia"/>
                <w:sz w:val="18"/>
                <w:szCs w:val="18"/>
              </w:rPr>
              <w:t>PEEK</w:t>
            </w:r>
          </w:p>
        </w:tc>
        <w:tc>
          <w:tcPr>
            <w:tcW w:w="1135" w:type="dxa"/>
            <w:vAlign w:val="center"/>
          </w:tcPr>
          <w:p w14:paraId="11E764B5" w14:textId="77777777" w:rsidR="00534149" w:rsidRPr="005654B8" w:rsidRDefault="00534149" w:rsidP="00534149">
            <w:pPr>
              <w:jc w:val="center"/>
              <w:rPr>
                <w:sz w:val="18"/>
                <w:szCs w:val="18"/>
              </w:rPr>
            </w:pPr>
            <w:r w:rsidRPr="005654B8">
              <w:rPr>
                <w:rFonts w:hint="eastAsia"/>
                <w:sz w:val="18"/>
                <w:szCs w:val="18"/>
              </w:rPr>
              <w:t>1</w:t>
            </w:r>
          </w:p>
        </w:tc>
        <w:tc>
          <w:tcPr>
            <w:tcW w:w="1401" w:type="dxa"/>
            <w:vAlign w:val="center"/>
          </w:tcPr>
          <w:p w14:paraId="750F286D" w14:textId="77777777" w:rsidR="00534149" w:rsidRPr="005654B8" w:rsidRDefault="00534149" w:rsidP="00534149">
            <w:pPr>
              <w:jc w:val="center"/>
              <w:rPr>
                <w:sz w:val="18"/>
                <w:szCs w:val="18"/>
              </w:rPr>
            </w:pPr>
            <w:r w:rsidRPr="005654B8">
              <w:rPr>
                <w:sz w:val="18"/>
                <w:szCs w:val="18"/>
              </w:rPr>
              <w:t>1.21</w:t>
            </w:r>
            <m:oMath>
              <m:r>
                <w:rPr>
                  <w:rFonts w:ascii="Cambria Math" w:hAnsi="Cambria Math"/>
                  <w:sz w:val="18"/>
                  <w:szCs w:val="18"/>
                </w:rPr>
                <m:t>×</m:t>
              </m:r>
            </m:oMath>
            <w:r w:rsidRPr="005654B8">
              <w:rPr>
                <w:sz w:val="18"/>
                <w:szCs w:val="18"/>
              </w:rPr>
              <w:t>10</w:t>
            </w:r>
            <w:r w:rsidRPr="005654B8">
              <w:rPr>
                <w:sz w:val="18"/>
                <w:szCs w:val="18"/>
                <w:vertAlign w:val="superscript"/>
              </w:rPr>
              <w:t>-10</w:t>
            </w:r>
          </w:p>
        </w:tc>
        <w:tc>
          <w:tcPr>
            <w:tcW w:w="1508" w:type="dxa"/>
            <w:vAlign w:val="center"/>
          </w:tcPr>
          <w:p w14:paraId="3065BBA4" w14:textId="531A6990" w:rsidR="00534149" w:rsidRPr="00A01496" w:rsidRDefault="00534149" w:rsidP="00534149">
            <w:pPr>
              <w:jc w:val="center"/>
              <w:rPr>
                <w:sz w:val="18"/>
                <w:szCs w:val="18"/>
              </w:rPr>
            </w:pPr>
            <w:r w:rsidRPr="00A01496">
              <w:rPr>
                <w:rFonts w:hint="eastAsia"/>
                <w:sz w:val="18"/>
                <w:szCs w:val="18"/>
                <w:lang w:eastAsia="zh-CN"/>
              </w:rPr>
              <w:t>4</w:t>
            </w:r>
            <w:r w:rsidRPr="00A01496">
              <w:rPr>
                <w:sz w:val="18"/>
                <w:szCs w:val="18"/>
              </w:rPr>
              <w:t>.</w:t>
            </w:r>
            <w:r w:rsidRPr="00A01496">
              <w:rPr>
                <w:rFonts w:hint="eastAsia"/>
                <w:sz w:val="18"/>
                <w:szCs w:val="18"/>
                <w:lang w:eastAsia="zh-CN"/>
              </w:rPr>
              <w:t>60</w:t>
            </w:r>
            <m:oMath>
              <m:r>
                <w:rPr>
                  <w:rFonts w:ascii="Cambria Math" w:hAnsi="Cambria Math"/>
                  <w:sz w:val="18"/>
                  <w:szCs w:val="18"/>
                </w:rPr>
                <m:t>×</m:t>
              </m:r>
            </m:oMath>
            <w:r w:rsidRPr="00A01496">
              <w:rPr>
                <w:sz w:val="18"/>
                <w:szCs w:val="18"/>
              </w:rPr>
              <w:t>10</w:t>
            </w:r>
            <w:r w:rsidRPr="00A01496">
              <w:rPr>
                <w:sz w:val="18"/>
                <w:szCs w:val="18"/>
                <w:vertAlign w:val="superscript"/>
              </w:rPr>
              <w:t>-1</w:t>
            </w:r>
            <w:r w:rsidRPr="00A01496">
              <w:rPr>
                <w:rFonts w:hint="eastAsia"/>
                <w:sz w:val="18"/>
                <w:szCs w:val="18"/>
                <w:vertAlign w:val="superscript"/>
                <w:lang w:eastAsia="zh-CN"/>
              </w:rPr>
              <w:t>6</w:t>
            </w:r>
          </w:p>
        </w:tc>
      </w:tr>
      <w:tr w:rsidR="00534149" w14:paraId="62C46903" w14:textId="77777777" w:rsidTr="00A01496">
        <w:trPr>
          <w:trHeight w:val="147"/>
        </w:trPr>
        <w:tc>
          <w:tcPr>
            <w:tcW w:w="607" w:type="dxa"/>
            <w:vMerge/>
            <w:vAlign w:val="center"/>
          </w:tcPr>
          <w:p w14:paraId="44851AFF" w14:textId="77777777" w:rsidR="00534149" w:rsidRPr="005654B8" w:rsidRDefault="00534149" w:rsidP="00534149">
            <w:pPr>
              <w:jc w:val="center"/>
              <w:rPr>
                <w:sz w:val="18"/>
                <w:szCs w:val="18"/>
              </w:rPr>
            </w:pPr>
          </w:p>
        </w:tc>
        <w:tc>
          <w:tcPr>
            <w:tcW w:w="1135" w:type="dxa"/>
            <w:vAlign w:val="center"/>
          </w:tcPr>
          <w:p w14:paraId="416988C5" w14:textId="77777777" w:rsidR="00534149" w:rsidRPr="005654B8" w:rsidRDefault="00534149" w:rsidP="00534149">
            <w:pPr>
              <w:jc w:val="center"/>
              <w:rPr>
                <w:sz w:val="18"/>
                <w:szCs w:val="18"/>
              </w:rPr>
            </w:pPr>
            <w:r w:rsidRPr="005654B8">
              <w:rPr>
                <w:sz w:val="18"/>
                <w:szCs w:val="18"/>
              </w:rPr>
              <w:t>2</w:t>
            </w:r>
          </w:p>
        </w:tc>
        <w:tc>
          <w:tcPr>
            <w:tcW w:w="1401" w:type="dxa"/>
            <w:vAlign w:val="center"/>
          </w:tcPr>
          <w:p w14:paraId="08B0C922" w14:textId="77777777" w:rsidR="00534149" w:rsidRPr="005654B8" w:rsidRDefault="00534149" w:rsidP="00534149">
            <w:pPr>
              <w:jc w:val="center"/>
              <w:rPr>
                <w:sz w:val="18"/>
                <w:szCs w:val="18"/>
              </w:rPr>
            </w:pPr>
            <w:r w:rsidRPr="005654B8">
              <w:rPr>
                <w:sz w:val="18"/>
                <w:szCs w:val="18"/>
              </w:rPr>
              <w:t>2.11</w:t>
            </w:r>
            <m:oMath>
              <m:r>
                <w:rPr>
                  <w:rFonts w:ascii="Cambria Math" w:hAnsi="Cambria Math"/>
                  <w:sz w:val="18"/>
                  <w:szCs w:val="18"/>
                </w:rPr>
                <m:t>×</m:t>
              </m:r>
            </m:oMath>
            <w:r w:rsidRPr="005654B8">
              <w:rPr>
                <w:sz w:val="18"/>
                <w:szCs w:val="18"/>
              </w:rPr>
              <w:t>10</w:t>
            </w:r>
            <w:r w:rsidRPr="005654B8">
              <w:rPr>
                <w:sz w:val="18"/>
                <w:szCs w:val="18"/>
                <w:vertAlign w:val="superscript"/>
              </w:rPr>
              <w:t>-10</w:t>
            </w:r>
          </w:p>
        </w:tc>
        <w:tc>
          <w:tcPr>
            <w:tcW w:w="1508" w:type="dxa"/>
            <w:vAlign w:val="center"/>
          </w:tcPr>
          <w:p w14:paraId="25148F15" w14:textId="3750A523" w:rsidR="00534149" w:rsidRPr="00A01496" w:rsidRDefault="00534149" w:rsidP="00534149">
            <w:pPr>
              <w:jc w:val="center"/>
              <w:rPr>
                <w:sz w:val="18"/>
                <w:szCs w:val="18"/>
              </w:rPr>
            </w:pPr>
            <w:r w:rsidRPr="00A01496">
              <w:rPr>
                <w:rFonts w:hint="eastAsia"/>
                <w:sz w:val="18"/>
                <w:szCs w:val="18"/>
                <w:lang w:eastAsia="zh-CN"/>
              </w:rPr>
              <w:t>5</w:t>
            </w:r>
            <w:r w:rsidRPr="00A01496">
              <w:rPr>
                <w:sz w:val="18"/>
                <w:szCs w:val="18"/>
              </w:rPr>
              <w:t>.3</w:t>
            </w:r>
            <w:r w:rsidRPr="00A01496">
              <w:rPr>
                <w:rFonts w:hint="eastAsia"/>
                <w:sz w:val="18"/>
                <w:szCs w:val="18"/>
                <w:lang w:eastAsia="zh-CN"/>
              </w:rPr>
              <w:t>2</w:t>
            </w:r>
            <m:oMath>
              <m:r>
                <w:rPr>
                  <w:rFonts w:ascii="Cambria Math" w:hAnsi="Cambria Math"/>
                  <w:sz w:val="18"/>
                  <w:szCs w:val="18"/>
                </w:rPr>
                <m:t>×</m:t>
              </m:r>
            </m:oMath>
            <w:r w:rsidRPr="00A01496">
              <w:rPr>
                <w:sz w:val="18"/>
                <w:szCs w:val="18"/>
              </w:rPr>
              <w:t>10</w:t>
            </w:r>
            <w:r w:rsidRPr="00A01496">
              <w:rPr>
                <w:sz w:val="18"/>
                <w:szCs w:val="18"/>
                <w:vertAlign w:val="superscript"/>
              </w:rPr>
              <w:t>-1</w:t>
            </w:r>
            <w:r w:rsidRPr="00A01496">
              <w:rPr>
                <w:rFonts w:hint="eastAsia"/>
                <w:sz w:val="18"/>
                <w:szCs w:val="18"/>
                <w:vertAlign w:val="superscript"/>
                <w:lang w:eastAsia="zh-CN"/>
              </w:rPr>
              <w:t>6</w:t>
            </w:r>
          </w:p>
        </w:tc>
      </w:tr>
      <w:tr w:rsidR="00534149" w14:paraId="30FE1931" w14:textId="77777777" w:rsidTr="00A01496">
        <w:trPr>
          <w:trHeight w:val="147"/>
        </w:trPr>
        <w:tc>
          <w:tcPr>
            <w:tcW w:w="607" w:type="dxa"/>
            <w:vMerge/>
            <w:vAlign w:val="center"/>
          </w:tcPr>
          <w:p w14:paraId="23FD954C" w14:textId="77777777" w:rsidR="00534149" w:rsidRPr="005654B8" w:rsidRDefault="00534149" w:rsidP="00534149">
            <w:pPr>
              <w:jc w:val="center"/>
              <w:rPr>
                <w:sz w:val="18"/>
                <w:szCs w:val="18"/>
              </w:rPr>
            </w:pPr>
          </w:p>
        </w:tc>
        <w:tc>
          <w:tcPr>
            <w:tcW w:w="1135" w:type="dxa"/>
            <w:vAlign w:val="center"/>
          </w:tcPr>
          <w:p w14:paraId="5255578E" w14:textId="77777777" w:rsidR="00534149" w:rsidRPr="005654B8" w:rsidRDefault="00534149" w:rsidP="00534149">
            <w:pPr>
              <w:jc w:val="center"/>
              <w:rPr>
                <w:sz w:val="18"/>
                <w:szCs w:val="18"/>
              </w:rPr>
            </w:pPr>
            <w:r w:rsidRPr="005654B8">
              <w:rPr>
                <w:sz w:val="18"/>
                <w:szCs w:val="18"/>
              </w:rPr>
              <w:t>3</w:t>
            </w:r>
          </w:p>
        </w:tc>
        <w:tc>
          <w:tcPr>
            <w:tcW w:w="1401" w:type="dxa"/>
            <w:vAlign w:val="center"/>
          </w:tcPr>
          <w:p w14:paraId="2F0CBF59" w14:textId="77777777" w:rsidR="00534149" w:rsidRPr="005654B8" w:rsidRDefault="00534149" w:rsidP="00534149">
            <w:pPr>
              <w:jc w:val="center"/>
              <w:rPr>
                <w:sz w:val="18"/>
                <w:szCs w:val="18"/>
              </w:rPr>
            </w:pPr>
            <w:r w:rsidRPr="005654B8">
              <w:rPr>
                <w:sz w:val="18"/>
                <w:szCs w:val="18"/>
              </w:rPr>
              <w:t>2.18</w:t>
            </w:r>
            <m:oMath>
              <m:r>
                <w:rPr>
                  <w:rFonts w:ascii="Cambria Math" w:hAnsi="Cambria Math"/>
                  <w:sz w:val="18"/>
                  <w:szCs w:val="18"/>
                </w:rPr>
                <m:t>×</m:t>
              </m:r>
            </m:oMath>
            <w:r w:rsidRPr="005654B8">
              <w:rPr>
                <w:sz w:val="18"/>
                <w:szCs w:val="18"/>
              </w:rPr>
              <w:t>10</w:t>
            </w:r>
            <w:r w:rsidRPr="005654B8">
              <w:rPr>
                <w:sz w:val="18"/>
                <w:szCs w:val="18"/>
                <w:vertAlign w:val="superscript"/>
              </w:rPr>
              <w:t>-10</w:t>
            </w:r>
          </w:p>
        </w:tc>
        <w:tc>
          <w:tcPr>
            <w:tcW w:w="1508" w:type="dxa"/>
            <w:vAlign w:val="center"/>
          </w:tcPr>
          <w:p w14:paraId="4632F44F" w14:textId="2BDBF1CE" w:rsidR="00534149" w:rsidRPr="00A01496" w:rsidRDefault="00534149" w:rsidP="00534149">
            <w:pPr>
              <w:jc w:val="center"/>
              <w:rPr>
                <w:sz w:val="18"/>
                <w:szCs w:val="18"/>
              </w:rPr>
            </w:pPr>
            <w:r w:rsidRPr="00A01496">
              <w:rPr>
                <w:rFonts w:hint="eastAsia"/>
                <w:sz w:val="18"/>
                <w:szCs w:val="18"/>
                <w:lang w:eastAsia="zh-CN"/>
              </w:rPr>
              <w:t>6</w:t>
            </w:r>
            <w:r w:rsidRPr="00A01496">
              <w:rPr>
                <w:sz w:val="18"/>
                <w:szCs w:val="18"/>
              </w:rPr>
              <w:t>.</w:t>
            </w:r>
            <w:r w:rsidRPr="00A01496">
              <w:rPr>
                <w:rFonts w:hint="eastAsia"/>
                <w:sz w:val="18"/>
                <w:szCs w:val="18"/>
                <w:lang w:eastAsia="zh-CN"/>
              </w:rPr>
              <w:t>82</w:t>
            </w:r>
            <m:oMath>
              <m:r>
                <w:rPr>
                  <w:rFonts w:ascii="Cambria Math" w:hAnsi="Cambria Math"/>
                  <w:sz w:val="18"/>
                  <w:szCs w:val="18"/>
                </w:rPr>
                <m:t>×</m:t>
              </m:r>
            </m:oMath>
            <w:r w:rsidRPr="00A01496">
              <w:rPr>
                <w:sz w:val="18"/>
                <w:szCs w:val="18"/>
              </w:rPr>
              <w:t>10</w:t>
            </w:r>
            <w:r w:rsidRPr="00A01496">
              <w:rPr>
                <w:sz w:val="18"/>
                <w:szCs w:val="18"/>
                <w:vertAlign w:val="superscript"/>
              </w:rPr>
              <w:t>-1</w:t>
            </w:r>
            <w:r w:rsidRPr="00A01496">
              <w:rPr>
                <w:rFonts w:hint="eastAsia"/>
                <w:sz w:val="18"/>
                <w:szCs w:val="18"/>
                <w:vertAlign w:val="superscript"/>
                <w:lang w:eastAsia="zh-CN"/>
              </w:rPr>
              <w:t>6</w:t>
            </w:r>
          </w:p>
        </w:tc>
      </w:tr>
      <w:tr w:rsidR="00534149" w14:paraId="3F049D59" w14:textId="77777777" w:rsidTr="00A01496">
        <w:trPr>
          <w:trHeight w:val="303"/>
        </w:trPr>
        <w:tc>
          <w:tcPr>
            <w:tcW w:w="607" w:type="dxa"/>
            <w:vAlign w:val="center"/>
          </w:tcPr>
          <w:p w14:paraId="1F1949A4" w14:textId="77777777" w:rsidR="00534149" w:rsidRPr="005654B8" w:rsidRDefault="00534149" w:rsidP="00534149">
            <w:pPr>
              <w:jc w:val="center"/>
              <w:rPr>
                <w:sz w:val="18"/>
                <w:szCs w:val="18"/>
              </w:rPr>
            </w:pPr>
            <w:r w:rsidRPr="005654B8">
              <w:rPr>
                <w:rFonts w:hint="eastAsia"/>
                <w:sz w:val="18"/>
                <w:szCs w:val="18"/>
              </w:rPr>
              <w:t>P</w:t>
            </w:r>
            <w:r w:rsidRPr="005654B8">
              <w:rPr>
                <w:sz w:val="18"/>
                <w:szCs w:val="18"/>
              </w:rPr>
              <w:t>P</w:t>
            </w:r>
          </w:p>
        </w:tc>
        <w:tc>
          <w:tcPr>
            <w:tcW w:w="1135" w:type="dxa"/>
            <w:vAlign w:val="center"/>
          </w:tcPr>
          <w:p w14:paraId="282ACE14" w14:textId="77777777" w:rsidR="00534149" w:rsidRPr="005654B8" w:rsidRDefault="00534149" w:rsidP="00534149">
            <w:pPr>
              <w:jc w:val="center"/>
              <w:rPr>
                <w:sz w:val="18"/>
                <w:szCs w:val="18"/>
              </w:rPr>
            </w:pPr>
            <w:r w:rsidRPr="005654B8">
              <w:rPr>
                <w:sz w:val="18"/>
                <w:szCs w:val="18"/>
              </w:rPr>
              <w:t>3</w:t>
            </w:r>
          </w:p>
        </w:tc>
        <w:tc>
          <w:tcPr>
            <w:tcW w:w="1401" w:type="dxa"/>
            <w:vAlign w:val="center"/>
          </w:tcPr>
          <w:p w14:paraId="0D30A345" w14:textId="77777777" w:rsidR="00534149" w:rsidRPr="005654B8" w:rsidRDefault="00534149" w:rsidP="00534149">
            <w:pPr>
              <w:jc w:val="center"/>
              <w:rPr>
                <w:sz w:val="18"/>
                <w:szCs w:val="18"/>
              </w:rPr>
            </w:pPr>
            <w:r w:rsidRPr="005654B8">
              <w:rPr>
                <w:sz w:val="18"/>
                <w:szCs w:val="18"/>
              </w:rPr>
              <w:t>9.43</w:t>
            </w:r>
            <m:oMath>
              <m:r>
                <w:rPr>
                  <w:rFonts w:ascii="Cambria Math" w:hAnsi="Cambria Math"/>
                  <w:sz w:val="18"/>
                  <w:szCs w:val="18"/>
                </w:rPr>
                <m:t>×</m:t>
              </m:r>
            </m:oMath>
            <w:r w:rsidRPr="005654B8">
              <w:rPr>
                <w:sz w:val="18"/>
                <w:szCs w:val="18"/>
              </w:rPr>
              <w:t>10</w:t>
            </w:r>
            <w:r w:rsidRPr="005654B8">
              <w:rPr>
                <w:sz w:val="18"/>
                <w:szCs w:val="18"/>
                <w:vertAlign w:val="superscript"/>
              </w:rPr>
              <w:t>-10</w:t>
            </w:r>
          </w:p>
        </w:tc>
        <w:tc>
          <w:tcPr>
            <w:tcW w:w="1508" w:type="dxa"/>
            <w:vAlign w:val="center"/>
          </w:tcPr>
          <w:p w14:paraId="6398D83C" w14:textId="2FD82741" w:rsidR="00534149" w:rsidRPr="00A01496" w:rsidRDefault="00534149" w:rsidP="00534149">
            <w:pPr>
              <w:jc w:val="center"/>
              <w:rPr>
                <w:sz w:val="18"/>
                <w:szCs w:val="18"/>
              </w:rPr>
            </w:pPr>
            <w:r w:rsidRPr="00A01496">
              <w:rPr>
                <w:rFonts w:hint="eastAsia"/>
                <w:sz w:val="18"/>
                <w:szCs w:val="18"/>
                <w:lang w:eastAsia="zh-CN"/>
              </w:rPr>
              <w:t>8</w:t>
            </w:r>
            <w:r w:rsidRPr="00A01496">
              <w:rPr>
                <w:sz w:val="18"/>
                <w:szCs w:val="18"/>
              </w:rPr>
              <w:t>.1</w:t>
            </w:r>
            <w:r w:rsidRPr="00A01496">
              <w:rPr>
                <w:rFonts w:hint="eastAsia"/>
                <w:sz w:val="18"/>
                <w:szCs w:val="18"/>
                <w:lang w:eastAsia="zh-CN"/>
              </w:rPr>
              <w:t>9</w:t>
            </w:r>
            <m:oMath>
              <m:r>
                <w:rPr>
                  <w:rFonts w:ascii="Cambria Math" w:hAnsi="Cambria Math"/>
                  <w:sz w:val="18"/>
                  <w:szCs w:val="18"/>
                </w:rPr>
                <m:t>×</m:t>
              </m:r>
            </m:oMath>
            <w:r w:rsidRPr="00A01496">
              <w:rPr>
                <w:sz w:val="18"/>
                <w:szCs w:val="18"/>
              </w:rPr>
              <w:t>10</w:t>
            </w:r>
            <w:r w:rsidRPr="00A01496">
              <w:rPr>
                <w:sz w:val="18"/>
                <w:szCs w:val="18"/>
                <w:vertAlign w:val="superscript"/>
              </w:rPr>
              <w:t>-1</w:t>
            </w:r>
            <w:r w:rsidRPr="00A01496">
              <w:rPr>
                <w:rFonts w:hint="eastAsia"/>
                <w:sz w:val="18"/>
                <w:szCs w:val="18"/>
                <w:vertAlign w:val="superscript"/>
                <w:lang w:eastAsia="zh-CN"/>
              </w:rPr>
              <w:t>6</w:t>
            </w:r>
          </w:p>
        </w:tc>
      </w:tr>
    </w:tbl>
    <w:p w14:paraId="2F153F17" w14:textId="77777777" w:rsidR="00E8399C" w:rsidRDefault="00E8399C" w:rsidP="00E8399C">
      <w:r>
        <w:rPr>
          <w:rFonts w:hint="eastAsia"/>
        </w:rPr>
        <w:t xml:space="preserve">　</w:t>
      </w:r>
    </w:p>
    <w:p w14:paraId="19401230" w14:textId="4A067728" w:rsidR="00AC7BD6" w:rsidRDefault="00E8399C" w:rsidP="00E8399C">
      <w:r>
        <w:t xml:space="preserve"> </w:t>
      </w:r>
      <w:r>
        <w:rPr>
          <w:rFonts w:hint="eastAsia"/>
        </w:rPr>
        <w:t xml:space="preserve">　</w:t>
      </w:r>
      <w:r>
        <w:rPr>
          <w:rFonts w:hint="eastAsia"/>
        </w:rPr>
        <w:t>PEEK</w:t>
      </w:r>
      <w:r>
        <w:rPr>
          <w:rFonts w:hint="eastAsia"/>
        </w:rPr>
        <w:t>試験片では，板厚の増加とともに，拡散・透過係数が大きくなる傾向が記録された．</w:t>
      </w:r>
      <w:r>
        <w:rPr>
          <w:rFonts w:hint="eastAsia"/>
        </w:rPr>
        <w:t>Fick</w:t>
      </w:r>
      <w:r>
        <w:rPr>
          <w:rFonts w:hint="eastAsia"/>
        </w:rPr>
        <w:t>型拡散と仮定した場合，これらの係数は本来，材料固有の特性として扱われており，板厚に依存しないと考えられる</w:t>
      </w:r>
      <w:r w:rsidRPr="00856295">
        <w:rPr>
          <w:vertAlign w:val="superscript"/>
        </w:rPr>
        <w:t>(2)</w:t>
      </w:r>
      <w:r>
        <w:rPr>
          <w:rFonts w:hint="eastAsia"/>
        </w:rPr>
        <w:t>．試験の再現性を含めたさらなる検討が必要である．</w:t>
      </w:r>
    </w:p>
    <w:p w14:paraId="5F59ABF2" w14:textId="4088DBD3" w:rsidR="00534149" w:rsidRPr="002F3F88" w:rsidRDefault="00E8399C" w:rsidP="00E8399C">
      <w:pPr>
        <w:rPr>
          <w:rFonts w:ascii="MS Mincho" w:eastAsia="MS Mincho" w:hAnsi="MS Mincho" w:cs="MS Mincho" w:hint="eastAsia"/>
          <w:color w:val="EE0000"/>
        </w:rPr>
      </w:pPr>
      <w:r>
        <w:rPr>
          <w:rFonts w:hint="eastAsia"/>
        </w:rPr>
        <w:t xml:space="preserve">　</w:t>
      </w:r>
      <w:r w:rsidRPr="00534149">
        <w:rPr>
          <w:rFonts w:hint="eastAsia"/>
          <w:color w:val="EE0000"/>
        </w:rPr>
        <w:t>また，</w:t>
      </w:r>
      <w:r w:rsidR="00AC7BD6" w:rsidRPr="00534149">
        <w:rPr>
          <w:color w:val="EE0000"/>
        </w:rPr>
        <w:t>PEEK</w:t>
      </w:r>
      <w:r w:rsidR="00AC7BD6" w:rsidRPr="00534149">
        <w:rPr>
          <w:color w:val="EE0000"/>
        </w:rPr>
        <w:t>試験片における</w:t>
      </w:r>
      <w:r w:rsidR="00AC7BD6" w:rsidRPr="00534149">
        <w:rPr>
          <w:color w:val="EE0000"/>
        </w:rPr>
        <w:t xml:space="preserve"> </w:t>
      </w:r>
      <m:oMath>
        <m:sSub>
          <m:sSubPr>
            <m:ctrlPr>
              <w:rPr>
                <w:rFonts w:ascii="Cambria Math" w:hAnsi="Cambria Math"/>
                <w:color w:val="EE0000"/>
              </w:rPr>
            </m:ctrlPr>
          </m:sSubPr>
          <m:e>
            <m:r>
              <w:rPr>
                <w:rFonts w:ascii="Cambria Math" w:hAnsi="Cambria Math"/>
                <w:color w:val="EE0000"/>
              </w:rPr>
              <m:t>t</m:t>
            </m:r>
          </m:e>
          <m:sub>
            <m:r>
              <w:rPr>
                <w:rFonts w:ascii="Cambria Math" w:hAnsi="Cambria Math"/>
                <w:color w:val="EE0000"/>
              </w:rPr>
              <m:t>50</m:t>
            </m:r>
          </m:sub>
        </m:sSub>
      </m:oMath>
      <w:r w:rsidR="00AC7BD6" w:rsidRPr="00534149">
        <w:rPr>
          <w:color w:val="EE0000"/>
        </w:rPr>
        <w:t>と板厚の二乗</w:t>
      </w:r>
      <w:r w:rsidR="00AC7BD6" w:rsidRPr="00534149">
        <w:rPr>
          <w:color w:val="EE0000"/>
        </w:rPr>
        <w:t xml:space="preserve"> </w:t>
      </w:r>
      <m:oMath>
        <m:sSup>
          <m:sSupPr>
            <m:ctrlPr>
              <w:rPr>
                <w:rFonts w:ascii="Cambria Math" w:hAnsi="Cambria Math"/>
                <w:color w:val="EE0000"/>
              </w:rPr>
            </m:ctrlPr>
          </m:sSupPr>
          <m:e>
            <m:r>
              <w:rPr>
                <w:rFonts w:ascii="Cambria Math" w:hAnsi="Cambria Math"/>
                <w:color w:val="EE0000"/>
              </w:rPr>
              <m:t>L</m:t>
            </m:r>
          </m:e>
          <m:sup>
            <m:r>
              <w:rPr>
                <w:rFonts w:ascii="Cambria Math" w:hAnsi="Cambria Math"/>
                <w:color w:val="EE0000"/>
              </w:rPr>
              <m:t>2</m:t>
            </m:r>
          </m:sup>
        </m:sSup>
      </m:oMath>
      <w:r w:rsidR="00AC7BD6" w:rsidRPr="00534149">
        <w:rPr>
          <w:color w:val="EE0000"/>
        </w:rPr>
        <w:t>の関係を</w:t>
      </w:r>
      <w:r w:rsidR="00AC7BD6" w:rsidRPr="00534149">
        <w:rPr>
          <w:color w:val="EE0000"/>
        </w:rPr>
        <w:t>Fig. 2</w:t>
      </w:r>
      <w:r w:rsidR="00AC7BD6" w:rsidRPr="00534149">
        <w:rPr>
          <w:color w:val="EE0000"/>
        </w:rPr>
        <w:t>に示す</w:t>
      </w:r>
      <w:r w:rsidR="00AC7BD6" w:rsidRPr="00534149">
        <w:rPr>
          <w:rFonts w:ascii="MS Mincho" w:eastAsia="MS Mincho" w:hAnsi="MS Mincho" w:cs="MS Mincho" w:hint="eastAsia"/>
          <w:color w:val="EE0000"/>
        </w:rPr>
        <w:t>．</w:t>
      </w:r>
      <w:r w:rsidR="00534149" w:rsidRPr="00534149">
        <w:rPr>
          <w:rFonts w:ascii="MS Mincho" w:eastAsia="MS Mincho" w:hAnsi="MS Mincho" w:cs="MS Mincho" w:hint="eastAsia"/>
          <w:color w:val="EE0000"/>
        </w:rPr>
        <w:t>両者に線形回帰分析を行った結果，決定係数</w:t>
      </w:r>
      <m:oMath>
        <m:sSup>
          <m:sSupPr>
            <m:ctrlPr>
              <w:rPr>
                <w:rFonts w:ascii="Cambria Math" w:eastAsia="MS Mincho" w:hAnsi="Cambria Math" w:cs="MS Mincho"/>
                <w:i/>
                <w:color w:val="EE0000"/>
              </w:rPr>
            </m:ctrlPr>
          </m:sSupPr>
          <m:e>
            <m:r>
              <w:rPr>
                <w:rFonts w:ascii="Cambria Math" w:eastAsia="MS Mincho" w:hAnsi="Cambria Math" w:cs="MS Mincho" w:hint="eastAsia"/>
                <w:color w:val="EE0000"/>
              </w:rPr>
              <m:t>R</m:t>
            </m:r>
            <m:ctrlPr>
              <w:rPr>
                <w:rFonts w:ascii="Cambria Math" w:eastAsia="MS Mincho" w:hAnsi="Cambria Math" w:cs="MS Mincho" w:hint="eastAsia"/>
                <w:i/>
                <w:color w:val="EE0000"/>
              </w:rPr>
            </m:ctrlPr>
          </m:e>
          <m:sup>
            <m:r>
              <w:rPr>
                <w:rFonts w:ascii="Cambria Math" w:eastAsia="MS Mincho" w:hAnsi="Cambria Math" w:cs="MS Mincho"/>
                <w:color w:val="EE0000"/>
              </w:rPr>
              <m:t>2</m:t>
            </m:r>
          </m:sup>
        </m:sSup>
      </m:oMath>
      <w:r w:rsidR="00534149" w:rsidRPr="00534149">
        <w:rPr>
          <w:rFonts w:ascii="MS Mincho" w:eastAsia="MS Mincho" w:hAnsi="MS Mincho" w:cs="MS Mincho" w:hint="eastAsia"/>
          <w:color w:val="EE0000"/>
        </w:rPr>
        <w:t>は</w:t>
      </w:r>
      <w:r w:rsidR="00534149" w:rsidRPr="00534149">
        <w:rPr>
          <w:rFonts w:ascii="MS Mincho" w:eastAsia="MS Mincho" w:hAnsi="MS Mincho" w:cs="MS Mincho"/>
          <w:color w:val="EE0000"/>
        </w:rPr>
        <w:t>0.9969</w:t>
      </w:r>
      <w:r w:rsidR="00534149" w:rsidRPr="00534149">
        <w:rPr>
          <w:rFonts w:ascii="MS Mincho" w:eastAsia="MS Mincho" w:hAnsi="MS Mincho" w:cs="MS Mincho" w:hint="eastAsia"/>
          <w:color w:val="EE0000"/>
        </w:rPr>
        <w:t>となり，高い</w:t>
      </w:r>
      <w:r w:rsidR="00534149">
        <w:rPr>
          <w:rFonts w:ascii="MS Mincho" w:eastAsia="MS Mincho" w:hAnsi="MS Mincho" w:cs="MS Mincho" w:hint="eastAsia"/>
          <w:color w:val="EE0000"/>
        </w:rPr>
        <w:t>線形</w:t>
      </w:r>
      <w:r w:rsidR="002F3F88">
        <w:rPr>
          <w:rFonts w:ascii="MS Mincho" w:eastAsia="MS Mincho" w:hAnsi="MS Mincho" w:cs="MS Mincho" w:hint="eastAsia"/>
          <w:color w:val="EE0000"/>
        </w:rPr>
        <w:t>性を示す．実際，式</w:t>
      </w:r>
      <w:r w:rsidR="002F3F88">
        <w:rPr>
          <w:rFonts w:ascii="MS Mincho" w:eastAsia="MS Mincho" w:hAnsi="MS Mincho" w:cs="MS Mincho"/>
          <w:color w:val="EE0000"/>
        </w:rPr>
        <w:t>(1)</w:t>
      </w:r>
      <w:r w:rsidR="002F3F88">
        <w:rPr>
          <w:rFonts w:ascii="MS Mincho" w:eastAsia="MS Mincho" w:hAnsi="MS Mincho" w:cs="MS Mincho" w:hint="eastAsia"/>
          <w:color w:val="EE0000"/>
        </w:rPr>
        <w:t>を変形すると，</w:t>
      </w:r>
    </w:p>
    <w:p w14:paraId="0A12797B" w14:textId="48628FEA" w:rsidR="00E8399C" w:rsidRPr="00204956" w:rsidRDefault="00E8399C" w:rsidP="00E8399C">
      <w:r>
        <w:rPr>
          <w:rFonts w:ascii="MS Mincho" w:hAnsi="MS Mincho" w:cs="MS Mincho" w:hint="eastAsia"/>
        </w:rPr>
        <w:t xml:space="preserve">           </w:t>
      </w:r>
      <m:oMath>
        <m:sSub>
          <m:sSubPr>
            <m:ctrlPr>
              <w:rPr>
                <w:rFonts w:ascii="Cambria Math" w:hAnsi="Cambria Math"/>
              </w:rPr>
            </m:ctrlPr>
          </m:sSubPr>
          <m:e>
            <m:r>
              <w:rPr>
                <w:rFonts w:ascii="Cambria Math" w:hAnsi="Cambria Math"/>
              </w:rPr>
              <m:t>t</m:t>
            </m:r>
          </m:e>
          <m:sub>
            <m:r>
              <w:rPr>
                <w:rFonts w:ascii="Cambria Math" w:hAnsi="Cambria Math"/>
              </w:rPr>
              <m:t>50</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L</m:t>
                </m:r>
              </m:e>
              <m:sup>
                <m:r>
                  <w:rPr>
                    <w:rFonts w:ascii="Cambria Math" w:hAnsi="Cambria Math"/>
                  </w:rPr>
                  <m:t>2</m:t>
                </m:r>
              </m:sup>
            </m:sSup>
          </m:num>
          <m:den>
            <m:r>
              <w:rPr>
                <w:rFonts w:ascii="Cambria Math" w:hAnsi="Cambria Math"/>
              </w:rPr>
              <m:t>7.199</m:t>
            </m:r>
            <m:r>
              <w:rPr>
                <w:rFonts w:ascii="Cambria Math" w:hAnsi="Cambria Math" w:hint="eastAsia"/>
              </w:rPr>
              <m:t>D</m:t>
            </m:r>
          </m:den>
        </m:f>
        <m:r>
          <w:rPr>
            <w:rFonts w:ascii="Cambria Math" w:hAnsi="Cambria Math"/>
          </w:rPr>
          <m:t xml:space="preserve">  </m:t>
        </m:r>
      </m:oMath>
      <w:r>
        <w:t xml:space="preserve"> </w:t>
      </w:r>
      <w:r>
        <w:rPr>
          <w:rFonts w:hint="eastAsia"/>
        </w:rPr>
        <w:t xml:space="preserve">　　　</w:t>
      </w:r>
      <w:r>
        <w:t>(</w:t>
      </w:r>
      <w:r>
        <w:rPr>
          <w:rFonts w:hint="eastAsia"/>
        </w:rPr>
        <w:t>3</w:t>
      </w:r>
      <w:r>
        <w:t>)</w:t>
      </w:r>
    </w:p>
    <w:p w14:paraId="01CB25C6" w14:textId="77777777" w:rsidR="00E8399C" w:rsidRDefault="00E8399C" w:rsidP="00E8399C">
      <w:pPr>
        <w:rPr>
          <w:rFonts w:ascii="MS Mincho" w:hAnsi="MS Mincho" w:cs="MS Mincho"/>
        </w:rPr>
      </w:pPr>
    </w:p>
    <w:p w14:paraId="6974D858" w14:textId="09E4A53A" w:rsidR="00E8399C" w:rsidRDefault="00E8399C" w:rsidP="00E8399C">
      <w:pPr>
        <w:rPr>
          <w:rFonts w:ascii="MS Mincho" w:hAnsi="MS Mincho" w:cs="MS Mincho" w:hint="eastAsia"/>
        </w:rPr>
      </w:pPr>
      <w:r>
        <w:t>となり，拡散係数</w:t>
      </w:r>
      <w:r>
        <w:t xml:space="preserve"> </w:t>
      </w:r>
      <m:oMath>
        <m:r>
          <w:rPr>
            <w:rFonts w:ascii="Cambria Math" w:hAnsi="Cambria Math"/>
          </w:rPr>
          <m:t>D</m:t>
        </m:r>
      </m:oMath>
      <w:r>
        <w:t>が一定であれば，</w:t>
      </w:r>
      <m:oMath>
        <m:sSub>
          <m:sSubPr>
            <m:ctrlPr>
              <w:rPr>
                <w:rFonts w:ascii="Cambria Math" w:hAnsi="Cambria Math"/>
              </w:rPr>
            </m:ctrlPr>
          </m:sSubPr>
          <m:e>
            <m:r>
              <w:rPr>
                <w:rFonts w:ascii="Cambria Math" w:hAnsi="Cambria Math"/>
              </w:rPr>
              <m:t>t</m:t>
            </m:r>
          </m:e>
          <m:sub>
            <m:r>
              <w:rPr>
                <w:rFonts w:ascii="Cambria Math" w:hAnsi="Cambria Math"/>
              </w:rPr>
              <m:t>50</m:t>
            </m:r>
          </m:sub>
        </m:sSub>
      </m:oMath>
      <w:r>
        <w:t xml:space="preserve"> </w:t>
      </w:r>
      <w:r>
        <w:t>は板厚の二乗</w:t>
      </w:r>
      <w:r>
        <w:t xml:space="preserve"> </w:t>
      </w:r>
      <m:oMath>
        <m:sSup>
          <m:sSupPr>
            <m:ctrlPr>
              <w:rPr>
                <w:rFonts w:ascii="Cambria Math" w:hAnsi="Cambria Math"/>
              </w:rPr>
            </m:ctrlPr>
          </m:sSupPr>
          <m:e>
            <m:r>
              <w:rPr>
                <w:rFonts w:ascii="Cambria Math" w:hAnsi="Cambria Math"/>
              </w:rPr>
              <m:t>L</m:t>
            </m:r>
          </m:e>
          <m:sup>
            <m:r>
              <w:rPr>
                <w:rFonts w:ascii="Cambria Math" w:hAnsi="Cambria Math"/>
              </w:rPr>
              <m:t>2</m:t>
            </m:r>
          </m:sup>
        </m:sSup>
      </m:oMath>
      <w:r>
        <w:t>に比例する．今回得られた傾向は</w:t>
      </w:r>
      <w:r>
        <w:t>Fick</w:t>
      </w:r>
      <w:r>
        <w:t>型拡散から予想される傾向と整合している</w:t>
      </w:r>
      <w:r>
        <w:rPr>
          <w:rFonts w:ascii="MS Mincho" w:hAnsi="MS Mincho" w:cs="MS Mincho" w:hint="eastAsia"/>
        </w:rPr>
        <w:t>．</w:t>
      </w:r>
      <w:r w:rsidR="002F3F88" w:rsidRPr="002F3F88">
        <w:rPr>
          <w:rFonts w:ascii="MS Mincho" w:hAnsi="MS Mincho" w:cs="MS Mincho" w:hint="eastAsia"/>
          <w:color w:val="EE0000"/>
        </w:rPr>
        <w:t>ただし，</w:t>
      </w:r>
      <w:r w:rsidR="002F3F88">
        <w:rPr>
          <w:rFonts w:ascii="MS Mincho" w:hAnsi="MS Mincho" w:cs="MS Mincho" w:hint="eastAsia"/>
          <w:color w:val="EE0000"/>
        </w:rPr>
        <w:t>現時点でのデータ数は少ないため，線形性を</w:t>
      </w:r>
      <w:r w:rsidR="009818D5">
        <w:rPr>
          <w:rFonts w:ascii="MS Mincho" w:hAnsi="MS Mincho" w:cs="MS Mincho" w:hint="eastAsia"/>
          <w:color w:val="EE0000"/>
        </w:rPr>
        <w:t>十分に評価する</w:t>
      </w:r>
      <w:r w:rsidR="002F3F88">
        <w:rPr>
          <w:rFonts w:ascii="MS Mincho" w:hAnsi="MS Mincho" w:cs="MS Mincho" w:hint="eastAsia"/>
          <w:color w:val="EE0000"/>
        </w:rPr>
        <w:t>に</w:t>
      </w:r>
      <w:r w:rsidR="009818D5">
        <w:rPr>
          <w:rFonts w:ascii="MS Mincho" w:hAnsi="MS Mincho" w:cs="MS Mincho" w:hint="eastAsia"/>
          <w:color w:val="EE0000"/>
        </w:rPr>
        <w:t>は，今後さらなる</w:t>
      </w:r>
      <w:r w:rsidR="002F3F88">
        <w:rPr>
          <w:rFonts w:ascii="MS Mincho" w:hAnsi="MS Mincho" w:cs="MS Mincho" w:hint="eastAsia"/>
          <w:color w:val="EE0000"/>
        </w:rPr>
        <w:t>実験が必要</w:t>
      </w:r>
      <w:r w:rsidR="009818D5">
        <w:rPr>
          <w:rFonts w:ascii="MS Mincho" w:hAnsi="MS Mincho" w:cs="MS Mincho" w:hint="eastAsia"/>
          <w:color w:val="EE0000"/>
        </w:rPr>
        <w:t>であ</w:t>
      </w:r>
      <w:r w:rsidR="002F3F88">
        <w:rPr>
          <w:rFonts w:ascii="MS Mincho" w:hAnsi="MS Mincho" w:cs="MS Mincho" w:hint="eastAsia"/>
          <w:color w:val="EE0000"/>
        </w:rPr>
        <w:t>る。</w:t>
      </w:r>
    </w:p>
    <w:p w14:paraId="426FE26A" w14:textId="77777777" w:rsidR="00AC7BD6" w:rsidRPr="00856295" w:rsidRDefault="00AC7BD6" w:rsidP="00E8399C">
      <w:pPr>
        <w:rPr>
          <w:rFonts w:ascii="MS Mincho" w:hAnsi="MS Mincho" w:cs="MS Mincho"/>
        </w:rPr>
      </w:pPr>
      <w:r>
        <w:rPr>
          <w:rFonts w:ascii="MS Mincho" w:hAnsi="MS Mincho" w:cs="MS Mincho" w:hint="eastAsia"/>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9"/>
      </w:tblGrid>
      <w:tr w:rsidR="00AC7BD6" w14:paraId="17C0A18E" w14:textId="77777777" w:rsidTr="00DD41C8">
        <w:tc>
          <w:tcPr>
            <w:tcW w:w="4808" w:type="dxa"/>
            <w:vAlign w:val="center"/>
          </w:tcPr>
          <w:p w14:paraId="594DC663" w14:textId="7A4FC128" w:rsidR="00AC7BD6" w:rsidRDefault="00AC7BD6" w:rsidP="00DD41C8">
            <w:pPr>
              <w:jc w:val="center"/>
            </w:pPr>
            <w:r>
              <w:rPr>
                <w:noProof/>
              </w:rPr>
              <w:drawing>
                <wp:inline distT="0" distB="0" distL="0" distR="0" wp14:anchorId="60B2228D" wp14:editId="03808586">
                  <wp:extent cx="1699200" cy="1135476"/>
                  <wp:effectExtent l="0" t="0" r="3175" b="0"/>
                  <wp:docPr id="861269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69990" name="Picture 861269990"/>
                          <pic:cNvPicPr/>
                        </pic:nvPicPr>
                        <pic:blipFill rotWithShape="1">
                          <a:blip r:embed="rId8">
                            <a:extLst>
                              <a:ext uri="{28A0092B-C50C-407E-A947-70E740481C1C}">
                                <a14:useLocalDpi xmlns:a14="http://schemas.microsoft.com/office/drawing/2010/main" val="0"/>
                              </a:ext>
                            </a:extLst>
                          </a:blip>
                          <a:srcRect l="1550" t="47333" r="44589" b="2281"/>
                          <a:stretch>
                            <a:fillRect/>
                          </a:stretch>
                        </pic:blipFill>
                        <pic:spPr bwMode="auto">
                          <a:xfrm>
                            <a:off x="0" y="0"/>
                            <a:ext cx="1740400" cy="1163008"/>
                          </a:xfrm>
                          <a:prstGeom prst="rect">
                            <a:avLst/>
                          </a:prstGeom>
                          <a:ln>
                            <a:noFill/>
                          </a:ln>
                          <a:extLst>
                            <a:ext uri="{53640926-AAD7-44D8-BBD7-CCE9431645EC}">
                              <a14:shadowObscured xmlns:a14="http://schemas.microsoft.com/office/drawing/2010/main"/>
                            </a:ext>
                          </a:extLst>
                        </pic:spPr>
                      </pic:pic>
                    </a:graphicData>
                  </a:graphic>
                </wp:inline>
              </w:drawing>
            </w:r>
          </w:p>
        </w:tc>
      </w:tr>
      <w:tr w:rsidR="00AC7BD6" w14:paraId="7D043825" w14:textId="77777777" w:rsidTr="00DD41C8">
        <w:tc>
          <w:tcPr>
            <w:tcW w:w="4808" w:type="dxa"/>
            <w:vAlign w:val="center"/>
          </w:tcPr>
          <w:p w14:paraId="5402730A" w14:textId="41335AB4" w:rsidR="00AC7BD6" w:rsidRDefault="00AC7BD6" w:rsidP="00DD41C8">
            <w:pPr>
              <w:jc w:val="center"/>
            </w:pPr>
            <w:r>
              <w:t xml:space="preserve">Fig. </w:t>
            </w:r>
            <w:r>
              <w:t>2</w:t>
            </w:r>
            <w:r>
              <w:t xml:space="preserve"> </w:t>
            </w:r>
            <w:r>
              <w:t xml:space="preserve">Relationship between square thickness and </w:t>
            </w:r>
            <m:oMath>
              <m:sSub>
                <m:sSubPr>
                  <m:ctrlPr>
                    <w:rPr>
                      <w:rFonts w:ascii="Cambria Math" w:hAnsi="Cambria Math"/>
                    </w:rPr>
                  </m:ctrlPr>
                </m:sSubPr>
                <m:e>
                  <m:r>
                    <w:rPr>
                      <w:rFonts w:ascii="Cambria Math" w:hAnsi="Cambria Math"/>
                    </w:rPr>
                    <m:t>t</m:t>
                  </m:r>
                </m:e>
                <m:sub>
                  <m:r>
                    <w:rPr>
                      <w:rFonts w:ascii="Cambria Math" w:hAnsi="Cambria Math"/>
                    </w:rPr>
                    <m:t>50</m:t>
                  </m:r>
                </m:sub>
              </m:sSub>
            </m:oMath>
            <w:r>
              <w:t xml:space="preserve"> for PEEK specimens</w:t>
            </w:r>
            <w:r>
              <w:rPr>
                <w:rFonts w:hint="eastAsia"/>
              </w:rPr>
              <w:t xml:space="preserve"> </w:t>
            </w:r>
          </w:p>
        </w:tc>
      </w:tr>
    </w:tbl>
    <w:p w14:paraId="03518CFE" w14:textId="3D11E9E7" w:rsidR="00AC7BD6" w:rsidRDefault="002F3F88" w:rsidP="00E8399C">
      <w:pPr>
        <w:rPr>
          <w:rFonts w:ascii="MS Mincho" w:hAnsi="MS Mincho" w:cs="MS Mincho"/>
        </w:rPr>
      </w:pPr>
      <w:r>
        <w:rPr>
          <w:rFonts w:ascii="MS Mincho" w:hAnsi="MS Mincho" w:cs="MS Mincho" w:hint="eastAsia"/>
        </w:rPr>
        <w:t xml:space="preserve">　</w:t>
      </w:r>
    </w:p>
    <w:p w14:paraId="4D7E4F6F" w14:textId="748DA009" w:rsidR="00843978" w:rsidRPr="00A01496" w:rsidRDefault="002F3F88" w:rsidP="003364B0">
      <w:pPr>
        <w:rPr>
          <w:rFonts w:ascii="MS Mincho" w:hAnsi="MS Mincho" w:cs="MS Mincho" w:hint="eastAsia"/>
          <w:color w:val="EE0000"/>
          <w:lang w:eastAsia="zh-CN"/>
        </w:rPr>
      </w:pPr>
      <w:r>
        <w:rPr>
          <w:rFonts w:ascii="MS Mincho" w:hAnsi="MS Mincho" w:cs="MS Mincho" w:hint="eastAsia"/>
        </w:rPr>
        <w:t xml:space="preserve">　</w:t>
      </w:r>
      <w:r w:rsidRPr="002F3F88">
        <w:rPr>
          <w:rFonts w:ascii="MS Mincho" w:hAnsi="MS Mincho" w:cs="MS Mincho" w:hint="eastAsia"/>
          <w:color w:val="EE0000"/>
        </w:rPr>
        <w:t>一方</w:t>
      </w:r>
      <w:r>
        <w:rPr>
          <w:rFonts w:ascii="MS Mincho" w:hAnsi="MS Mincho" w:cs="MS Mincho" w:hint="eastAsia"/>
          <w:color w:val="EE0000"/>
        </w:rPr>
        <w:t>，</w:t>
      </w:r>
      <w:r w:rsidR="007A57E3">
        <w:rPr>
          <w:rFonts w:ascii="MS Mincho" w:hAnsi="MS Mincho" w:cs="MS Mincho" w:hint="eastAsia"/>
          <w:color w:val="EE0000"/>
        </w:rPr>
        <w:t>線形回帰式</w:t>
      </w:r>
      <w:r w:rsidR="009E546C">
        <w:rPr>
          <w:rFonts w:ascii="MS Mincho" w:hAnsi="MS Mincho" w:cs="MS Mincho" w:hint="eastAsia"/>
          <w:color w:val="EE0000"/>
        </w:rPr>
        <w:t>では切片として</w:t>
      </w:r>
      <w:r w:rsidR="007A57E3">
        <w:rPr>
          <w:rFonts w:ascii="MS Mincho" w:hAnsi="MS Mincho" w:cs="MS Mincho" w:hint="eastAsia"/>
          <w:color w:val="EE0000"/>
        </w:rPr>
        <w:t>7</w:t>
      </w:r>
      <w:r w:rsidR="007A57E3">
        <w:rPr>
          <w:rFonts w:ascii="MS Mincho" w:hAnsi="MS Mincho" w:cs="MS Mincho"/>
          <w:color w:val="EE0000"/>
        </w:rPr>
        <w:t>.909</w:t>
      </w:r>
      <w:r w:rsidR="009E546C">
        <w:rPr>
          <w:rFonts w:ascii="MS Mincho" w:hAnsi="MS Mincho" w:cs="MS Mincho"/>
          <w:color w:val="EE0000"/>
        </w:rPr>
        <w:t>min</w:t>
      </w:r>
      <w:r w:rsidR="009E546C">
        <w:rPr>
          <w:rFonts w:ascii="MS Mincho" w:hAnsi="MS Mincho" w:cs="MS Mincho" w:hint="eastAsia"/>
          <w:color w:val="EE0000"/>
        </w:rPr>
        <w:t>が得られた．</w:t>
      </w:r>
      <w:r w:rsidR="00EB1CC6">
        <w:rPr>
          <w:rFonts w:ascii="MS Mincho" w:hAnsi="MS Mincho" w:cs="MS Mincho" w:hint="eastAsia"/>
          <w:color w:val="EE0000"/>
        </w:rPr>
        <w:t>理想的な</w:t>
      </w:r>
      <w:r w:rsidR="00EB1CC6">
        <w:rPr>
          <w:rFonts w:ascii="MS Mincho" w:hAnsi="MS Mincho" w:cs="MS Mincho"/>
          <w:color w:val="EE0000"/>
        </w:rPr>
        <w:t>Fick</w:t>
      </w:r>
      <w:r w:rsidR="00EB1CC6">
        <w:rPr>
          <w:rFonts w:ascii="MS Mincho" w:hAnsi="MS Mincho" w:cs="MS Mincho" w:hint="eastAsia"/>
          <w:color w:val="EE0000"/>
        </w:rPr>
        <w:t>型拡散では</w:t>
      </w:r>
      <m:oMath>
        <m:sSup>
          <m:sSupPr>
            <m:ctrlPr>
              <w:rPr>
                <w:rFonts w:ascii="Cambria Math" w:hAnsi="Cambria Math"/>
                <w:color w:val="EE0000"/>
              </w:rPr>
            </m:ctrlPr>
          </m:sSupPr>
          <m:e>
            <m:r>
              <w:rPr>
                <w:rFonts w:ascii="Cambria Math" w:hAnsi="Cambria Math"/>
                <w:color w:val="EE0000"/>
              </w:rPr>
              <m:t>L</m:t>
            </m:r>
          </m:e>
          <m:sup>
            <m:r>
              <w:rPr>
                <w:rFonts w:ascii="Cambria Math" w:hAnsi="Cambria Math"/>
                <w:color w:val="EE0000"/>
              </w:rPr>
              <m:t>2</m:t>
            </m:r>
          </m:sup>
        </m:sSup>
      </m:oMath>
      <w:r w:rsidR="00EB1CC6">
        <w:rPr>
          <w:rFonts w:ascii="MS Mincho" w:hAnsi="MS Mincho" w:cs="MS Mincho"/>
          <w:color w:val="EE0000"/>
        </w:rPr>
        <w:t>=0</w:t>
      </w:r>
      <w:r w:rsidR="00EB1CC6">
        <w:rPr>
          <w:rFonts w:ascii="MS Mincho" w:hAnsi="MS Mincho" w:cs="MS Mincho" w:hint="eastAsia"/>
          <w:color w:val="EE0000"/>
        </w:rPr>
        <w:t>の時に</w:t>
      </w:r>
      <m:oMath>
        <m:sSub>
          <m:sSubPr>
            <m:ctrlPr>
              <w:rPr>
                <w:rFonts w:ascii="Cambria Math" w:hAnsi="Cambria Math"/>
                <w:color w:val="EE0000"/>
              </w:rPr>
            </m:ctrlPr>
          </m:sSubPr>
          <m:e>
            <m:r>
              <w:rPr>
                <w:rFonts w:ascii="Cambria Math" w:hAnsi="Cambria Math"/>
                <w:color w:val="EE0000"/>
              </w:rPr>
              <m:t>t</m:t>
            </m:r>
          </m:e>
          <m:sub>
            <m:r>
              <w:rPr>
                <w:rFonts w:ascii="Cambria Math" w:hAnsi="Cambria Math"/>
                <w:color w:val="EE0000"/>
              </w:rPr>
              <m:t>50</m:t>
            </m:r>
          </m:sub>
        </m:sSub>
      </m:oMath>
      <w:r w:rsidR="008D6AD3">
        <w:rPr>
          <w:rFonts w:ascii="MS Mincho" w:hAnsi="MS Mincho" w:cs="MS Mincho"/>
          <w:color w:val="EE0000"/>
        </w:rPr>
        <w:t>=0</w:t>
      </w:r>
      <w:r w:rsidR="008D6AD3">
        <w:rPr>
          <w:rFonts w:ascii="MS Mincho" w:hAnsi="MS Mincho" w:cs="MS Mincho" w:hint="eastAsia"/>
          <w:color w:val="EE0000"/>
        </w:rPr>
        <w:t>となるため，</w:t>
      </w:r>
      <w:r w:rsidR="00843978" w:rsidRPr="00843978">
        <w:rPr>
          <w:color w:val="EE0000"/>
        </w:rPr>
        <w:t>この切片は</w:t>
      </w:r>
      <w:r w:rsidR="00843978" w:rsidRPr="00843978">
        <w:rPr>
          <w:color w:val="EE0000"/>
        </w:rPr>
        <w:t>He</w:t>
      </w:r>
      <w:r w:rsidR="00843978" w:rsidRPr="00843978">
        <w:rPr>
          <w:color w:val="EE0000"/>
        </w:rPr>
        <w:t>ガス導入から測定応答が現れるまでの装置系および透過過程における時間遅れの影響を含んでいる可能性がある</w:t>
      </w:r>
      <w:r w:rsidR="00843978" w:rsidRPr="00843978">
        <w:rPr>
          <w:rFonts w:ascii="MS Mincho" w:eastAsia="MS Mincho" w:hAnsi="MS Mincho" w:cs="MS Mincho" w:hint="eastAsia"/>
          <w:color w:val="EE0000"/>
        </w:rPr>
        <w:t>．</w:t>
      </w:r>
    </w:p>
    <w:p w14:paraId="210DAD7C" w14:textId="77777777" w:rsidR="00A17898" w:rsidRDefault="00825BD1" w:rsidP="003364B0">
      <w:pPr>
        <w:rPr>
          <w:sz w:val="24"/>
          <w:szCs w:val="24"/>
        </w:rPr>
      </w:pPr>
      <w:r>
        <w:rPr>
          <w:sz w:val="24"/>
          <w:szCs w:val="24"/>
        </w:rPr>
        <w:t>4</w:t>
      </w:r>
      <w:r w:rsidR="00D6720F" w:rsidRPr="00AF2943">
        <w:rPr>
          <w:rFonts w:hint="eastAsia"/>
          <w:sz w:val="24"/>
          <w:szCs w:val="24"/>
        </w:rPr>
        <w:t>．おわりに</w:t>
      </w:r>
    </w:p>
    <w:p w14:paraId="10E2FB19" w14:textId="77777777" w:rsidR="00E8399C" w:rsidRDefault="001C3353" w:rsidP="00E8399C">
      <w:r>
        <w:rPr>
          <w:rFonts w:hint="eastAsia"/>
        </w:rPr>
        <w:t xml:space="preserve">　</w:t>
      </w:r>
      <w:r w:rsidR="00E8399C">
        <w:t>本研究では，</w:t>
      </w:r>
      <w:r w:rsidR="00E8399C">
        <w:t>PEEK</w:t>
      </w:r>
      <w:r w:rsidR="00E8399C">
        <w:t>および</w:t>
      </w:r>
      <w:r w:rsidR="00E8399C">
        <w:t>PP</w:t>
      </w:r>
      <w:r w:rsidR="00E8399C">
        <w:t>樹脂板の</w:t>
      </w:r>
      <w:r w:rsidR="00E8399C">
        <w:t>He</w:t>
      </w:r>
      <w:r w:rsidR="00E8399C">
        <w:t>ガス透過特性を実験的に評価した．</w:t>
      </w:r>
      <w:r w:rsidR="00E8399C">
        <w:t>PP</w:t>
      </w:r>
      <w:r w:rsidR="00E8399C">
        <w:t>は</w:t>
      </w:r>
      <w:r w:rsidR="00E8399C">
        <w:t>PEEK</w:t>
      </w:r>
      <w:r w:rsidR="00E8399C">
        <w:t>より高い拡散係数および透過係数を示した一方，</w:t>
      </w:r>
      <w:r w:rsidR="00E8399C">
        <w:t>PEEK</w:t>
      </w:r>
      <w:r w:rsidR="00E8399C">
        <w:t>では板厚の増加に伴って算出値が増加する傾向が確認された．</w:t>
      </w:r>
    </w:p>
    <w:p w14:paraId="6EC7B81C" w14:textId="77777777" w:rsidR="00E8399C" w:rsidRDefault="00E8399C" w:rsidP="00E8399C">
      <w:pPr>
        <w:ind w:firstLineChars="100" w:firstLine="209"/>
        <w:rPr>
          <w:rFonts w:ascii="MS PMincho"/>
        </w:rPr>
      </w:pPr>
      <w:r>
        <w:t>今後は試験の再現性</w:t>
      </w:r>
      <w:r>
        <w:rPr>
          <w:rFonts w:hint="eastAsia"/>
        </w:rPr>
        <w:t>確認，</w:t>
      </w:r>
      <w:r>
        <w:t>板厚依存性</w:t>
      </w:r>
      <w:r>
        <w:rPr>
          <w:rFonts w:hint="eastAsia"/>
        </w:rPr>
        <w:t>，温度依存性等</w:t>
      </w:r>
      <w:r>
        <w:t>について検討するとともに，</w:t>
      </w:r>
      <w:r>
        <w:t>CFRP</w:t>
      </w:r>
      <w:r>
        <w:t>積層板の透過試験</w:t>
      </w:r>
      <w:r>
        <w:rPr>
          <w:rFonts w:hint="eastAsia"/>
        </w:rPr>
        <w:t>を行う．また，有限要素法による</w:t>
      </w:r>
      <w:r>
        <w:t>クロスケール</w:t>
      </w:r>
      <w:r>
        <w:rPr>
          <w:rFonts w:hint="eastAsia"/>
        </w:rPr>
        <w:t>モデルに対する気体拡散解析を実施し，</w:t>
      </w:r>
      <w:r>
        <w:rPr>
          <w:rFonts w:hint="eastAsia"/>
        </w:rPr>
        <w:t>CFRP</w:t>
      </w:r>
      <w:r>
        <w:rPr>
          <w:rFonts w:hint="eastAsia"/>
        </w:rPr>
        <w:t>のガス透過モデルを構築する</w:t>
      </w:r>
      <w:r>
        <w:rPr>
          <w:rFonts w:ascii="MS Mincho" w:hAnsi="MS Mincho" w:cs="MS Mincho" w:hint="eastAsia"/>
        </w:rPr>
        <w:t>．</w:t>
      </w:r>
    </w:p>
    <w:p w14:paraId="7CB6F5CA" w14:textId="7EEEF5B1" w:rsidR="00B56068" w:rsidRDefault="00825BD1" w:rsidP="003364B0">
      <w:pPr>
        <w:rPr>
          <w:sz w:val="24"/>
          <w:szCs w:val="24"/>
        </w:rPr>
      </w:pPr>
      <w:r>
        <w:rPr>
          <w:sz w:val="24"/>
          <w:szCs w:val="24"/>
        </w:rPr>
        <w:t>5</w:t>
      </w:r>
      <w:r w:rsidRPr="00AF2943">
        <w:rPr>
          <w:rFonts w:hint="eastAsia"/>
          <w:sz w:val="24"/>
          <w:szCs w:val="24"/>
        </w:rPr>
        <w:t>．</w:t>
      </w:r>
      <w:r>
        <w:rPr>
          <w:rFonts w:hint="eastAsia"/>
          <w:sz w:val="24"/>
          <w:szCs w:val="24"/>
        </w:rPr>
        <w:t>参考文献</w:t>
      </w:r>
    </w:p>
    <w:p w14:paraId="2A004C69" w14:textId="77777777" w:rsidR="00AC7BD6" w:rsidRPr="00D117DF" w:rsidRDefault="00AC7BD6" w:rsidP="00AC7BD6">
      <w:pPr>
        <w:numPr>
          <w:ilvl w:val="0"/>
          <w:numId w:val="4"/>
        </w:numPr>
        <w:rPr>
          <w:rFonts w:ascii="Century" w:hAnsi="Century"/>
          <w:szCs w:val="21"/>
        </w:rPr>
      </w:pPr>
      <w:r w:rsidRPr="00D117DF">
        <w:rPr>
          <w:rFonts w:ascii="Century" w:hAnsi="Century"/>
          <w:szCs w:val="21"/>
        </w:rPr>
        <w:t xml:space="preserve">L. Lei et al., </w:t>
      </w:r>
      <w:r w:rsidRPr="00D117DF">
        <w:rPr>
          <w:rFonts w:ascii="Century" w:eastAsia="MS Mincho" w:hAnsi="Century"/>
          <w:i/>
          <w:iCs/>
          <w:szCs w:val="21"/>
        </w:rPr>
        <w:t>Composites Part B: Engineering</w:t>
      </w:r>
      <w:r w:rsidRPr="00D117DF">
        <w:rPr>
          <w:rFonts w:ascii="Century" w:eastAsia="MS Mincho" w:hAnsi="Century"/>
          <w:szCs w:val="21"/>
        </w:rPr>
        <w:t xml:space="preserve">, vol. 322, p. 113743, 2026. </w:t>
      </w:r>
    </w:p>
    <w:p w14:paraId="68802F36" w14:textId="77777777" w:rsidR="00AC7BD6" w:rsidRPr="00D117DF" w:rsidRDefault="00AC7BD6" w:rsidP="00AC7BD6">
      <w:pPr>
        <w:pStyle w:val="pdq2pgselectionanchorcontainer"/>
        <w:numPr>
          <w:ilvl w:val="0"/>
          <w:numId w:val="4"/>
        </w:numPr>
        <w:rPr>
          <w:rFonts w:ascii="Century" w:hAnsi="Century"/>
          <w:sz w:val="21"/>
          <w:szCs w:val="21"/>
        </w:rPr>
      </w:pPr>
      <w:r w:rsidRPr="00D117DF">
        <w:rPr>
          <w:rFonts w:ascii="Century" w:hAnsi="Century"/>
          <w:sz w:val="21"/>
          <w:szCs w:val="21"/>
        </w:rPr>
        <w:t xml:space="preserve">K. D. Ziegel et al., </w:t>
      </w:r>
      <w:r w:rsidRPr="00D117DF">
        <w:rPr>
          <w:rFonts w:ascii="Century" w:hAnsi="Century"/>
          <w:sz w:val="21"/>
          <w:szCs w:val="21"/>
          <w:lang w:val="en-US"/>
        </w:rPr>
        <w:t xml:space="preserve"> </w:t>
      </w:r>
      <w:r w:rsidRPr="00D117DF">
        <w:rPr>
          <w:rStyle w:val="Emphasis"/>
          <w:rFonts w:ascii="Century" w:hAnsi="Century"/>
          <w:sz w:val="21"/>
          <w:szCs w:val="21"/>
        </w:rPr>
        <w:t>Journal of Polymer Science Part A-2: Polymer Physics</w:t>
      </w:r>
      <w:r w:rsidRPr="00D117DF">
        <w:rPr>
          <w:rFonts w:ascii="Century" w:hAnsi="Century"/>
          <w:sz w:val="21"/>
          <w:szCs w:val="21"/>
        </w:rPr>
        <w:t xml:space="preserve">, Vol. 7, pp. 809–819, 1969. </w:t>
      </w:r>
    </w:p>
    <w:p w14:paraId="7C8460D1" w14:textId="0CD855E0" w:rsidR="00A01496" w:rsidRPr="00D117DF" w:rsidRDefault="00AC7BD6" w:rsidP="00A01496">
      <w:pPr>
        <w:numPr>
          <w:ilvl w:val="0"/>
          <w:numId w:val="4"/>
        </w:numPr>
        <w:rPr>
          <w:rFonts w:ascii="Century" w:hAnsi="Century"/>
          <w:szCs w:val="21"/>
        </w:rPr>
      </w:pPr>
      <w:r w:rsidRPr="00D117DF">
        <w:rPr>
          <w:rFonts w:ascii="Century" w:hAnsi="Century"/>
          <w:szCs w:val="21"/>
        </w:rPr>
        <w:t xml:space="preserve">B. R. Murray et al., </w:t>
      </w:r>
      <w:r w:rsidRPr="00D117DF">
        <w:rPr>
          <w:rStyle w:val="Emphasis"/>
          <w:rFonts w:ascii="Century" w:hAnsi="Century"/>
          <w:szCs w:val="21"/>
        </w:rPr>
        <w:t>Journal of Applied Polymer Science</w:t>
      </w:r>
      <w:r w:rsidRPr="00D117DF">
        <w:rPr>
          <w:rFonts w:ascii="Century" w:hAnsi="Century"/>
          <w:szCs w:val="21"/>
        </w:rPr>
        <w:t xml:space="preserve">, Vol. 133, No. 29, 43675, 2016. </w:t>
      </w:r>
    </w:p>
    <w:sectPr w:rsidR="00A01496" w:rsidRPr="00D117DF" w:rsidSect="002E3D62">
      <w:type w:val="continuous"/>
      <w:pgSz w:w="11906" w:h="16838" w:code="9"/>
      <w:pgMar w:top="1985" w:right="1361" w:bottom="1701" w:left="1361" w:header="851" w:footer="992" w:gutter="0"/>
      <w:cols w:num="2" w:space="425"/>
      <w:docGrid w:type="linesAndChars" w:linePitch="305" w:charSpace="-30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6487B42" w14:textId="77777777" w:rsidR="00684BE0" w:rsidRDefault="00684BE0" w:rsidP="00EB1021">
      <w:r>
        <w:separator/>
      </w:r>
    </w:p>
  </w:endnote>
  <w:endnote w:type="continuationSeparator" w:id="0">
    <w:p w14:paraId="4B4267EE" w14:textId="77777777" w:rsidR="00684BE0" w:rsidRDefault="00684BE0" w:rsidP="00EB1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4D"/>
    <w:family w:val="decorative"/>
    <w:pitch w:val="variable"/>
    <w:sig w:usb0="00000003" w:usb1="00000000" w:usb2="00000000" w:usb3="00000000" w:csb0="80000001"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Mincho">
    <w:altName w:val="ＭＳ Ｐ明朝"/>
    <w:panose1 w:val="02020600040205080304"/>
    <w:charset w:val="80"/>
    <w:family w:val="roman"/>
    <w:pitch w:val="variable"/>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54F07D8" w14:textId="77777777" w:rsidR="00684BE0" w:rsidRDefault="00684BE0" w:rsidP="00EB1021">
      <w:r>
        <w:separator/>
      </w:r>
    </w:p>
  </w:footnote>
  <w:footnote w:type="continuationSeparator" w:id="0">
    <w:p w14:paraId="7AC8D97E" w14:textId="77777777" w:rsidR="00684BE0" w:rsidRDefault="00684BE0" w:rsidP="00EB10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68308CC"/>
    <w:multiLevelType w:val="hybridMultilevel"/>
    <w:tmpl w:val="5B66E334"/>
    <w:lvl w:ilvl="0" w:tplc="FFFFFFFF">
      <w:start w:val="1"/>
      <w:numFmt w:val="decimal"/>
      <w:lvlText w:val="(%1)"/>
      <w:lvlJc w:val="left"/>
      <w:pPr>
        <w:tabs>
          <w:tab w:val="num" w:pos="360"/>
        </w:tabs>
        <w:ind w:left="360" w:hanging="360"/>
      </w:pPr>
      <w:rPr>
        <w:rFonts w:hint="default"/>
      </w:rPr>
    </w:lvl>
    <w:lvl w:ilvl="1" w:tplc="FFFFFFFF" w:tentative="1">
      <w:start w:val="1"/>
      <w:numFmt w:val="aiueoFullWidth"/>
      <w:lvlText w:val="(%2)"/>
      <w:lvlJc w:val="left"/>
      <w:pPr>
        <w:tabs>
          <w:tab w:val="num" w:pos="840"/>
        </w:tabs>
        <w:ind w:left="840" w:hanging="420"/>
      </w:pPr>
    </w:lvl>
    <w:lvl w:ilvl="2" w:tplc="FFFFFFFF" w:tentative="1">
      <w:start w:val="1"/>
      <w:numFmt w:val="decimalEnclosedCircle"/>
      <w:lvlText w:val="%3"/>
      <w:lvlJc w:val="lef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aiueoFullWidth"/>
      <w:lvlText w:val="(%5)"/>
      <w:lvlJc w:val="left"/>
      <w:pPr>
        <w:tabs>
          <w:tab w:val="num" w:pos="2100"/>
        </w:tabs>
        <w:ind w:left="2100" w:hanging="420"/>
      </w:pPr>
    </w:lvl>
    <w:lvl w:ilvl="5" w:tplc="FFFFFFFF" w:tentative="1">
      <w:start w:val="1"/>
      <w:numFmt w:val="decimalEnclosedCircle"/>
      <w:lvlText w:val="%6"/>
      <w:lvlJc w:val="lef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aiueoFullWidth"/>
      <w:lvlText w:val="(%8)"/>
      <w:lvlJc w:val="left"/>
      <w:pPr>
        <w:tabs>
          <w:tab w:val="num" w:pos="3360"/>
        </w:tabs>
        <w:ind w:left="3360" w:hanging="420"/>
      </w:pPr>
    </w:lvl>
    <w:lvl w:ilvl="8" w:tplc="FFFFFFFF" w:tentative="1">
      <w:start w:val="1"/>
      <w:numFmt w:val="decimalEnclosedCircle"/>
      <w:lvlText w:val="%9"/>
      <w:lvlJc w:val="left"/>
      <w:pPr>
        <w:tabs>
          <w:tab w:val="num" w:pos="3780"/>
        </w:tabs>
        <w:ind w:left="3780" w:hanging="420"/>
      </w:pPr>
    </w:lvl>
  </w:abstractNum>
  <w:abstractNum w:abstractNumId="1" w15:restartNumberingAfterBreak="0">
    <w:nsid w:val="3BB71BF0"/>
    <w:multiLevelType w:val="hybridMultilevel"/>
    <w:tmpl w:val="EB248AB4"/>
    <w:lvl w:ilvl="0" w:tplc="752EF8F8">
      <w:numFmt w:val="bullet"/>
      <w:lvlText w:val="■"/>
      <w:lvlJc w:val="left"/>
      <w:pPr>
        <w:ind w:left="360" w:hanging="360"/>
      </w:pPr>
      <w:rPr>
        <w:rFonts w:ascii="MS Mincho" w:eastAsia="MS Mincho" w:hAnsi="MS Mincho"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2" w15:restartNumberingAfterBreak="0">
    <w:nsid w:val="5D251EDE"/>
    <w:multiLevelType w:val="hybridMultilevel"/>
    <w:tmpl w:val="22266E8A"/>
    <w:lvl w:ilvl="0" w:tplc="FDE6F75C">
      <w:numFmt w:val="bullet"/>
      <w:lvlText w:val="■"/>
      <w:lvlJc w:val="left"/>
      <w:pPr>
        <w:ind w:left="360" w:hanging="360"/>
      </w:pPr>
      <w:rPr>
        <w:rFonts w:ascii="MS Mincho" w:eastAsia="MS Mincho" w:hAnsi="MS Mincho"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3" w15:restartNumberingAfterBreak="0">
    <w:nsid w:val="78603A0A"/>
    <w:multiLevelType w:val="hybridMultilevel"/>
    <w:tmpl w:val="0308C14C"/>
    <w:lvl w:ilvl="0" w:tplc="650AB9B6">
      <w:numFmt w:val="bullet"/>
      <w:lvlText w:val="■"/>
      <w:lvlJc w:val="left"/>
      <w:pPr>
        <w:ind w:left="360" w:hanging="360"/>
      </w:pPr>
      <w:rPr>
        <w:rFonts w:ascii="MS Mincho" w:eastAsia="MS Mincho" w:hAnsi="MS Mincho" w:cstheme="minorBidi" w:hint="eastAsia"/>
      </w:rPr>
    </w:lvl>
    <w:lvl w:ilvl="1" w:tplc="0409000B" w:tentative="1">
      <w:start w:val="1"/>
      <w:numFmt w:val="bullet"/>
      <w:lvlText w:val=""/>
      <w:lvlJc w:val="left"/>
      <w:pPr>
        <w:ind w:left="840" w:hanging="420"/>
      </w:pPr>
      <w:rPr>
        <w:rFonts w:ascii="Wingdings" w:hAnsi="Wingdings" w:hint="default"/>
      </w:rPr>
    </w:lvl>
    <w:lvl w:ilvl="2" w:tplc="0409000D"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B" w:tentative="1">
      <w:start w:val="1"/>
      <w:numFmt w:val="bullet"/>
      <w:lvlText w:val=""/>
      <w:lvlJc w:val="left"/>
      <w:pPr>
        <w:ind w:left="2100" w:hanging="420"/>
      </w:pPr>
      <w:rPr>
        <w:rFonts w:ascii="Wingdings" w:hAnsi="Wingdings" w:hint="default"/>
      </w:rPr>
    </w:lvl>
    <w:lvl w:ilvl="5" w:tplc="0409000D"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num w:numId="1" w16cid:durableId="921640207">
    <w:abstractNumId w:val="1"/>
  </w:num>
  <w:num w:numId="2" w16cid:durableId="526992857">
    <w:abstractNumId w:val="2"/>
  </w:num>
  <w:num w:numId="3" w16cid:durableId="1603417007">
    <w:abstractNumId w:val="3"/>
  </w:num>
  <w:num w:numId="4" w16cid:durableId="21319864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bordersDoNotSurroundHeader/>
  <w:bordersDoNotSurroundFooter/>
  <w:proofState w:spelling="clean" w:grammar="clean"/>
  <w:defaultTabStop w:val="840"/>
  <w:drawingGridHorizontalSpacing w:val="209"/>
  <w:drawingGridVerticalSpacing w:val="305"/>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616"/>
    <w:rsid w:val="00001D3E"/>
    <w:rsid w:val="000118BC"/>
    <w:rsid w:val="00012B4D"/>
    <w:rsid w:val="0005723C"/>
    <w:rsid w:val="00086EA3"/>
    <w:rsid w:val="00091764"/>
    <w:rsid w:val="000A664F"/>
    <w:rsid w:val="000B0683"/>
    <w:rsid w:val="000E0057"/>
    <w:rsid w:val="000E6BC5"/>
    <w:rsid w:val="00180AEC"/>
    <w:rsid w:val="001A5187"/>
    <w:rsid w:val="001C3353"/>
    <w:rsid w:val="001D5BBD"/>
    <w:rsid w:val="002A158C"/>
    <w:rsid w:val="002E3D62"/>
    <w:rsid w:val="002E5763"/>
    <w:rsid w:val="002F3F88"/>
    <w:rsid w:val="002F74E7"/>
    <w:rsid w:val="00302900"/>
    <w:rsid w:val="003364B0"/>
    <w:rsid w:val="00337141"/>
    <w:rsid w:val="003453E2"/>
    <w:rsid w:val="00356EB2"/>
    <w:rsid w:val="00416A73"/>
    <w:rsid w:val="0046252B"/>
    <w:rsid w:val="004A4CC4"/>
    <w:rsid w:val="004B54B0"/>
    <w:rsid w:val="004C42BE"/>
    <w:rsid w:val="004D306D"/>
    <w:rsid w:val="00531336"/>
    <w:rsid w:val="00534149"/>
    <w:rsid w:val="005654B8"/>
    <w:rsid w:val="00582C4D"/>
    <w:rsid w:val="005A7D6D"/>
    <w:rsid w:val="005D0F91"/>
    <w:rsid w:val="005D2526"/>
    <w:rsid w:val="005D6E73"/>
    <w:rsid w:val="005D7E29"/>
    <w:rsid w:val="00615C08"/>
    <w:rsid w:val="00620DE2"/>
    <w:rsid w:val="00656AB4"/>
    <w:rsid w:val="00664335"/>
    <w:rsid w:val="00682AED"/>
    <w:rsid w:val="00684BE0"/>
    <w:rsid w:val="006A21D5"/>
    <w:rsid w:val="006C1449"/>
    <w:rsid w:val="006D6674"/>
    <w:rsid w:val="007171DD"/>
    <w:rsid w:val="007430DA"/>
    <w:rsid w:val="0075311C"/>
    <w:rsid w:val="0076636E"/>
    <w:rsid w:val="007A57E3"/>
    <w:rsid w:val="007A78AF"/>
    <w:rsid w:val="007C30AF"/>
    <w:rsid w:val="007D3EB0"/>
    <w:rsid w:val="007D6E9D"/>
    <w:rsid w:val="007F2B48"/>
    <w:rsid w:val="007F6324"/>
    <w:rsid w:val="007F7CA9"/>
    <w:rsid w:val="008144E2"/>
    <w:rsid w:val="00823D28"/>
    <w:rsid w:val="00825BD1"/>
    <w:rsid w:val="00843978"/>
    <w:rsid w:val="00862254"/>
    <w:rsid w:val="008625AA"/>
    <w:rsid w:val="0086361D"/>
    <w:rsid w:val="00865949"/>
    <w:rsid w:val="00865BD6"/>
    <w:rsid w:val="00883616"/>
    <w:rsid w:val="008B750B"/>
    <w:rsid w:val="008D54D1"/>
    <w:rsid w:val="008D6AD3"/>
    <w:rsid w:val="008F067B"/>
    <w:rsid w:val="008F6C71"/>
    <w:rsid w:val="0090255C"/>
    <w:rsid w:val="00904542"/>
    <w:rsid w:val="0092141E"/>
    <w:rsid w:val="009538A9"/>
    <w:rsid w:val="009818D5"/>
    <w:rsid w:val="009B6DDD"/>
    <w:rsid w:val="009C32C8"/>
    <w:rsid w:val="009E546C"/>
    <w:rsid w:val="009F2CD2"/>
    <w:rsid w:val="00A01496"/>
    <w:rsid w:val="00A17898"/>
    <w:rsid w:val="00A215D3"/>
    <w:rsid w:val="00A22E6E"/>
    <w:rsid w:val="00A6622C"/>
    <w:rsid w:val="00A83409"/>
    <w:rsid w:val="00A853AE"/>
    <w:rsid w:val="00A86498"/>
    <w:rsid w:val="00AA1802"/>
    <w:rsid w:val="00AA204F"/>
    <w:rsid w:val="00AA61E0"/>
    <w:rsid w:val="00AC7BD6"/>
    <w:rsid w:val="00AF2943"/>
    <w:rsid w:val="00B03BA1"/>
    <w:rsid w:val="00B14F61"/>
    <w:rsid w:val="00B544D6"/>
    <w:rsid w:val="00B56068"/>
    <w:rsid w:val="00B56B21"/>
    <w:rsid w:val="00B80CA2"/>
    <w:rsid w:val="00B85D61"/>
    <w:rsid w:val="00B914BC"/>
    <w:rsid w:val="00B97F75"/>
    <w:rsid w:val="00BE4E5B"/>
    <w:rsid w:val="00C27A1E"/>
    <w:rsid w:val="00C27C8F"/>
    <w:rsid w:val="00C446C6"/>
    <w:rsid w:val="00C57D7B"/>
    <w:rsid w:val="00C622E1"/>
    <w:rsid w:val="00C7795C"/>
    <w:rsid w:val="00C83EF0"/>
    <w:rsid w:val="00C86C97"/>
    <w:rsid w:val="00C87D21"/>
    <w:rsid w:val="00CA05D0"/>
    <w:rsid w:val="00CA388E"/>
    <w:rsid w:val="00CA7BC9"/>
    <w:rsid w:val="00CB5D2A"/>
    <w:rsid w:val="00CD05DD"/>
    <w:rsid w:val="00CF28B5"/>
    <w:rsid w:val="00D031F3"/>
    <w:rsid w:val="00D07FD3"/>
    <w:rsid w:val="00D117DF"/>
    <w:rsid w:val="00D2235C"/>
    <w:rsid w:val="00D6720F"/>
    <w:rsid w:val="00DD7E9F"/>
    <w:rsid w:val="00E55A69"/>
    <w:rsid w:val="00E8399C"/>
    <w:rsid w:val="00EB1021"/>
    <w:rsid w:val="00EB1CC6"/>
    <w:rsid w:val="00ED4213"/>
    <w:rsid w:val="00F15975"/>
    <w:rsid w:val="00F5113F"/>
    <w:rsid w:val="00F5552E"/>
    <w:rsid w:val="00F6458C"/>
    <w:rsid w:val="00FA1489"/>
    <w:rsid w:val="00FA6104"/>
    <w:rsid w:val="00FA7689"/>
    <w:rsid w:val="00FB3C77"/>
    <w:rsid w:val="00FD71B9"/>
    <w:rsid w:val="00FD7A0B"/>
    <w:rsid w:val="00FE0ABB"/>
    <w:rsid w:val="00FE4DE0"/>
    <w:rsid w:val="00FE5F78"/>
    <w:rsid w:val="00FF56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A9D4C5C"/>
  <w15:docId w15:val="{E5511305-2EFE-9E46-A3B8-0412B4798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BD6"/>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0683"/>
    <w:pPr>
      <w:ind w:leftChars="400" w:left="840"/>
    </w:pPr>
  </w:style>
  <w:style w:type="paragraph" w:styleId="BalloonText">
    <w:name w:val="Balloon Text"/>
    <w:basedOn w:val="Normal"/>
    <w:link w:val="BalloonTextChar"/>
    <w:uiPriority w:val="99"/>
    <w:semiHidden/>
    <w:unhideWhenUsed/>
    <w:rsid w:val="00A6622C"/>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A6622C"/>
    <w:rPr>
      <w:rFonts w:asciiTheme="majorHAnsi" w:eastAsiaTheme="majorEastAsia" w:hAnsiTheme="majorHAnsi" w:cstheme="majorBidi"/>
      <w:sz w:val="18"/>
      <w:szCs w:val="18"/>
    </w:rPr>
  </w:style>
  <w:style w:type="paragraph" w:styleId="Header">
    <w:name w:val="header"/>
    <w:basedOn w:val="Normal"/>
    <w:link w:val="HeaderChar"/>
    <w:uiPriority w:val="99"/>
    <w:unhideWhenUsed/>
    <w:rsid w:val="00EB1021"/>
    <w:pPr>
      <w:tabs>
        <w:tab w:val="center" w:pos="4252"/>
        <w:tab w:val="right" w:pos="8504"/>
      </w:tabs>
      <w:snapToGrid w:val="0"/>
    </w:pPr>
  </w:style>
  <w:style w:type="character" w:customStyle="1" w:styleId="HeaderChar">
    <w:name w:val="Header Char"/>
    <w:basedOn w:val="DefaultParagraphFont"/>
    <w:link w:val="Header"/>
    <w:uiPriority w:val="99"/>
    <w:rsid w:val="00EB1021"/>
  </w:style>
  <w:style w:type="paragraph" w:styleId="Footer">
    <w:name w:val="footer"/>
    <w:basedOn w:val="Normal"/>
    <w:link w:val="FooterChar"/>
    <w:uiPriority w:val="99"/>
    <w:unhideWhenUsed/>
    <w:rsid w:val="00EB1021"/>
    <w:pPr>
      <w:tabs>
        <w:tab w:val="center" w:pos="4252"/>
        <w:tab w:val="right" w:pos="8504"/>
      </w:tabs>
      <w:snapToGrid w:val="0"/>
    </w:pPr>
  </w:style>
  <w:style w:type="character" w:customStyle="1" w:styleId="FooterChar">
    <w:name w:val="Footer Char"/>
    <w:basedOn w:val="DefaultParagraphFont"/>
    <w:link w:val="Footer"/>
    <w:uiPriority w:val="99"/>
    <w:rsid w:val="00EB1021"/>
  </w:style>
  <w:style w:type="character" w:styleId="PlaceholderText">
    <w:name w:val="Placeholder Text"/>
    <w:basedOn w:val="DefaultParagraphFont"/>
    <w:uiPriority w:val="99"/>
    <w:semiHidden/>
    <w:rsid w:val="00A853AE"/>
    <w:rPr>
      <w:color w:val="666666"/>
    </w:rPr>
  </w:style>
  <w:style w:type="table" w:styleId="TableGrid">
    <w:name w:val="Table Grid"/>
    <w:basedOn w:val="TableNormal"/>
    <w:uiPriority w:val="39"/>
    <w:rsid w:val="00825B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DefaultParagraphFont"/>
    <w:rsid w:val="00E8399C"/>
  </w:style>
  <w:style w:type="paragraph" w:customStyle="1" w:styleId="pdq2pgselectionanchorcontainer">
    <w:name w:val="pdq2pg_selectionanchorcontainer"/>
    <w:basedOn w:val="Normal"/>
    <w:rsid w:val="00AC7BD6"/>
    <w:pPr>
      <w:widowControl/>
      <w:spacing w:before="100" w:beforeAutospacing="1" w:after="100" w:afterAutospacing="1"/>
      <w:jc w:val="left"/>
    </w:pPr>
    <w:rPr>
      <w:rFonts w:ascii="Times New Roman" w:eastAsia="Times New Roman" w:hAnsi="Times New Roman" w:cs="Times New Roman"/>
      <w:kern w:val="0"/>
      <w:sz w:val="24"/>
      <w:szCs w:val="24"/>
      <w:lang w:val="en-JP" w:eastAsia="zh-CN"/>
    </w:rPr>
  </w:style>
  <w:style w:type="character" w:styleId="Emphasis">
    <w:name w:val="Emphasis"/>
    <w:basedOn w:val="DefaultParagraphFont"/>
    <w:uiPriority w:val="20"/>
    <w:qFormat/>
    <w:rsid w:val="00AC7BD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1068</TotalTime>
  <Pages>2</Pages>
  <Words>468</Words>
  <Characters>2671</Characters>
  <Application>Microsoft Office Word</Application>
  <DocSecurity>0</DocSecurity>
  <Lines>22</Lines>
  <Paragraphs>6</Paragraphs>
  <ScaleCrop>false</ScaleCrop>
  <HeadingPairs>
    <vt:vector size="4" baseType="variant">
      <vt:variant>
        <vt:lpstr>Title</vt:lpstr>
      </vt:variant>
      <vt:variant>
        <vt:i4>1</vt:i4>
      </vt:variant>
      <vt:variant>
        <vt:lpstr>タイトル</vt:lpstr>
      </vt:variant>
      <vt:variant>
        <vt:i4>1</vt:i4>
      </vt:variant>
    </vt:vector>
  </HeadingPairs>
  <TitlesOfParts>
    <vt:vector size="2" baseType="lpstr">
      <vt:lpstr/>
      <vt:lpstr/>
    </vt:vector>
  </TitlesOfParts>
  <Company>Hewlett-Packard Company</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yamanaka</dc:creator>
  <cp:lastModifiedBy>Lim Zi Yang</cp:lastModifiedBy>
  <cp:revision>30</cp:revision>
  <cp:lastPrinted>2021-10-06T06:53:00Z</cp:lastPrinted>
  <dcterms:created xsi:type="dcterms:W3CDTF">2026-09-04T06:25:00Z</dcterms:created>
  <dcterms:modified xsi:type="dcterms:W3CDTF">2026-09-11T02:14:00Z</dcterms:modified>
</cp:coreProperties>
</file>