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52"/>
        </w:rPr>
        <w:t>PROJECT TIMELINE</w:t>
      </w:r>
    </w:p>
    <w:p>
      <w:pPr>
        <w:jc w:val="center"/>
      </w:pPr>
      <w:r>
        <w:rPr>
          <w:rFonts w:ascii="Times New Roman" w:hAnsi="Times New Roman"/>
          <w:b/>
          <w:i w:val="0"/>
          <w:sz w:val="32"/>
        </w:rPr>
        <w:t>DocExtract - Intelligent Document Processing</w:t>
      </w:r>
    </w:p>
    <w:p/>
    <w:p>
      <w:r>
        <w:rPr>
          <w:rFonts w:ascii="Times New Roman" w:hAnsi="Times New Roman"/>
          <w:b/>
          <w:i w:val="0"/>
          <w:color w:val="000000"/>
          <w:sz w:val="36"/>
        </w:rP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55"/>
        <w:gridCol w:w="7555"/>
      </w:tblGrid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Field</w:t>
            </w:r>
          </w:p>
        </w:tc>
        <w:tc>
          <w:tcPr>
            <w:tcW w:type="dxa" w:w="9216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Details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Project Name</w:t>
            </w:r>
          </w:p>
        </w:tc>
        <w:tc>
          <w:tcPr>
            <w:tcW w:type="dxa" w:w="921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DocExtract - Intelligent Document Processing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Document Title</w:t>
            </w:r>
          </w:p>
        </w:tc>
        <w:tc>
          <w:tcPr>
            <w:tcW w:type="dxa" w:w="921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Project Timeline (Gantt Chart)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Prepared By</w:t>
            </w:r>
          </w:p>
        </w:tc>
        <w:tc>
          <w:tcPr>
            <w:tcW w:type="dxa" w:w="921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DocExtract Project Team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Version</w:t>
            </w:r>
          </w:p>
        </w:tc>
        <w:tc>
          <w:tcPr>
            <w:tcW w:type="dxa" w:w="921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1.0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921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30 July 2026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Project period</w:t>
            </w:r>
          </w:p>
        </w:tc>
        <w:tc>
          <w:tcPr>
            <w:tcW w:type="dxa" w:w="921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24 June 2026 to 2 August 2026 (6 weeks)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Data source</w:t>
            </w:r>
          </w:p>
        </w:tc>
        <w:tc>
          <w:tcPr>
            <w:tcW w:type="dxa" w:w="921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Git repository history (first commit 24/06/2026, latest 27/07/2026)</w:t>
            </w:r>
          </w:p>
        </w:tc>
      </w:tr>
    </w:tbl>
    <w:p/>
    <w:p>
      <w:r>
        <w:rPr>
          <w:rFonts w:ascii="Times New Roman" w:hAnsi="Times New Roman"/>
          <w:b/>
          <w:i w:val="0"/>
          <w:color w:val="000000"/>
          <w:sz w:val="36"/>
        </w:rPr>
        <w:t>1. Summary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The project ran for six weeks, from 24 June to 2 August 2026. The chart below is reconstructed from the repository's commit history, so each bar shows when work actually landed rather than when it was scheduled. A solid bar marks the main work of that week; a light bar marks follow-up work or smaller fixes.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77"/>
        <w:gridCol w:w="3777"/>
        <w:gridCol w:w="3777"/>
        <w:gridCol w:w="3777"/>
      </w:tblGrid>
      <w:tr>
        <w:tc>
          <w:tcPr>
            <w:tcW w:type="dxa" w:w="1296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Week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Dates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Main focus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Commits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W26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22-28 Jun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Project scaffolding, dataset, first extraction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W27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29 Jun-5 Jul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Interface, persistence, validation, export, evaluation, ROI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24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W28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6-12 Jul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Authentication, roles, audit, admin settings, RAG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14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W29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13-19 Jul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Model picker, persistent chat history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4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W30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20-26 Jul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Document refresh to v1.1, interface polish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W31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27 Jul-2 Aug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Archive and range export, testing, final documents, presentation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1+</w:t>
            </w:r>
          </w:p>
        </w:tc>
      </w:tr>
    </w:tbl>
    <w:p/>
    <w:p>
      <w:r>
        <w:br w:type="page"/>
      </w:r>
    </w:p>
    <w:p>
      <w:r>
        <w:rPr>
          <w:rFonts w:ascii="Times New Roman" w:hAnsi="Times New Roman"/>
          <w:b/>
          <w:i w:val="0"/>
          <w:color w:val="000000"/>
          <w:sz w:val="36"/>
        </w:rPr>
        <w:t>2. Gantt Chart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79"/>
        <w:gridCol w:w="1679"/>
        <w:gridCol w:w="1679"/>
        <w:gridCol w:w="1679"/>
        <w:gridCol w:w="1679"/>
        <w:gridCol w:w="1679"/>
        <w:gridCol w:w="1679"/>
        <w:gridCol w:w="1679"/>
        <w:gridCol w:w="1679"/>
      </w:tblGrid>
      <w:tr>
        <w:tc>
          <w:tcPr>
            <w:tcW w:type="dxa" w:w="1152"/>
            <w:shd w:val="clear" w:color="auto" w:fill="E3E8EF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Phase</w:t>
            </w:r>
          </w:p>
        </w:tc>
        <w:tc>
          <w:tcPr>
            <w:tcW w:type="dxa" w:w="5184"/>
            <w:shd w:val="clear" w:color="auto" w:fill="E3E8EF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Activity</w:t>
            </w:r>
          </w:p>
        </w:tc>
        <w:tc>
          <w:tcPr>
            <w:tcW w:type="dxa" w:w="1008"/>
            <w:shd w:val="clear" w:color="auto" w:fill="E3E8EF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Owner</w:t>
            </w:r>
          </w:p>
        </w:tc>
        <w:tc>
          <w:tcPr>
            <w:tcW w:type="dxa" w:w="1037"/>
            <w:shd w:val="clear" w:color="auto" w:fill="E3E8EF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W26</w:t>
            </w:r>
          </w:p>
        </w:tc>
        <w:tc>
          <w:tcPr>
            <w:tcW w:type="dxa" w:w="1037"/>
            <w:shd w:val="clear" w:color="auto" w:fill="E3E8EF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W27</w:t>
            </w:r>
          </w:p>
        </w:tc>
        <w:tc>
          <w:tcPr>
            <w:tcW w:type="dxa" w:w="1037"/>
            <w:shd w:val="clear" w:color="auto" w:fill="E3E8EF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W28</w:t>
            </w:r>
          </w:p>
        </w:tc>
        <w:tc>
          <w:tcPr>
            <w:tcW w:type="dxa" w:w="1037"/>
            <w:shd w:val="clear" w:color="auto" w:fill="E3E8EF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W29</w:t>
            </w:r>
          </w:p>
        </w:tc>
        <w:tc>
          <w:tcPr>
            <w:tcW w:type="dxa" w:w="1037"/>
            <w:shd w:val="clear" w:color="auto" w:fill="E3E8EF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W30</w:t>
            </w:r>
          </w:p>
        </w:tc>
        <w:tc>
          <w:tcPr>
            <w:tcW w:type="dxa" w:w="1037"/>
            <w:shd w:val="clear" w:color="auto" w:fill="E3E8EF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W31</w:t>
            </w:r>
          </w:p>
        </w:tc>
      </w:tr>
      <w:tr>
        <w:tc>
          <w:tcPr>
            <w:tcW w:type="dxa" w:w="1152"/>
            <w:shd w:val="clear" w:color="auto" w:fill="F2F4F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5184"/>
            <w:shd w:val="clear" w:color="auto" w:fill="F2F4F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08"/>
            <w:shd w:val="clear" w:color="auto" w:fill="F2F4F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37"/>
            <w:shd w:val="clear" w:color="auto" w:fill="F2F4F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22-28 Jun</w:t>
            </w:r>
          </w:p>
        </w:tc>
        <w:tc>
          <w:tcPr>
            <w:tcW w:type="dxa" w:w="1037"/>
            <w:shd w:val="clear" w:color="auto" w:fill="F2F4F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29 Jun-5 Jul</w:t>
            </w:r>
          </w:p>
        </w:tc>
        <w:tc>
          <w:tcPr>
            <w:tcW w:type="dxa" w:w="1037"/>
            <w:shd w:val="clear" w:color="auto" w:fill="F2F4F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6-12 Jul</w:t>
            </w:r>
          </w:p>
        </w:tc>
        <w:tc>
          <w:tcPr>
            <w:tcW w:type="dxa" w:w="1037"/>
            <w:shd w:val="clear" w:color="auto" w:fill="F2F4F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13-19 Jul</w:t>
            </w:r>
          </w:p>
        </w:tc>
        <w:tc>
          <w:tcPr>
            <w:tcW w:type="dxa" w:w="1037"/>
            <w:shd w:val="clear" w:color="auto" w:fill="F2F4F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20-26 Jul</w:t>
            </w:r>
          </w:p>
        </w:tc>
        <w:tc>
          <w:tcPr>
            <w:tcW w:type="dxa" w:w="1037"/>
            <w:shd w:val="clear" w:color="auto" w:fill="F2F4F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4"/>
              </w:rPr>
              <w:t>27 Jul-2 Aug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Setup</w:t>
            </w:r>
          </w:p>
        </w:tc>
        <w:tc>
          <w:tcPr>
            <w:tcW w:type="dxa" w:w="518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Repository, backend and frontend scaffolding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Fadhil</w:t>
            </w:r>
          </w:p>
        </w:tc>
        <w:tc>
          <w:tcPr>
            <w:tcW w:type="dxa" w:w="1037"/>
            <w:shd w:val="clear" w:color="auto" w:fill="316BF3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</w:tr>
      <w:tr>
        <w:tc>
          <w:tcPr>
            <w:tcW w:type="dxa" w:w="115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18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Dummy dataset and ground-truth labels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Fazza</w:t>
            </w:r>
          </w:p>
        </w:tc>
        <w:tc>
          <w:tcPr>
            <w:tcW w:type="dxa" w:w="1037"/>
            <w:shd w:val="clear" w:color="auto" w:fill="316BF3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</w:tr>
      <w:tr>
        <w:tc>
          <w:tcPr>
            <w:tcW w:type="dxa" w:w="115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18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Model selection and LM Studio configuration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Gifari</w:t>
            </w:r>
          </w:p>
        </w:tc>
        <w:tc>
          <w:tcPr>
            <w:tcW w:type="dxa" w:w="1037"/>
            <w:shd w:val="clear" w:color="auto" w:fill="316BF3"/>
          </w:tcPr>
          <w:p>
            <w:r/>
          </w:p>
        </w:tc>
        <w:tc>
          <w:tcPr>
            <w:tcW w:type="dxa" w:w="1037"/>
            <w:shd w:val="clear" w:color="auto" w:fill="C9D9FB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</w:tr>
      <w:tr>
        <w:tc>
          <w:tcPr>
            <w:tcW w:type="dxa" w:w="115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Extraction</w:t>
            </w:r>
          </w:p>
        </w:tc>
        <w:tc>
          <w:tcPr>
            <w:tcW w:type="dxa" w:w="518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Extraction pipeline: pydantic schema and model call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Fadhil</w:t>
            </w:r>
          </w:p>
        </w:tc>
        <w:tc>
          <w:tcPr>
            <w:tcW w:type="dxa" w:w="1037"/>
            <w:shd w:val="clear" w:color="auto" w:fill="316BF3"/>
          </w:tcPr>
          <w:p>
            <w:r/>
          </w:p>
        </w:tc>
        <w:tc>
          <w:tcPr>
            <w:tcW w:type="dxa" w:w="1037"/>
            <w:shd w:val="clear" w:color="auto" w:fill="316BF3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</w:tr>
      <w:tr>
        <w:tc>
          <w:tcPr>
            <w:tcW w:type="dxa" w:w="115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18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Indonesian dot-thousands handling and date normalisation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Fadhil</w:t>
            </w:r>
          </w:p>
        </w:tc>
        <w:tc>
          <w:tcPr>
            <w:tcW w:type="dxa" w:w="1037"/>
            <w:shd w:val="clear" w:color="auto" w:fill="C9D9FB"/>
          </w:tcPr>
          <w:p>
            <w:r/>
          </w:p>
        </w:tc>
        <w:tc>
          <w:tcPr>
            <w:tcW w:type="dxa" w:w="1037"/>
            <w:shd w:val="clear" w:color="auto" w:fill="316BF3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</w:tr>
      <w:tr>
        <w:tc>
          <w:tcPr>
            <w:tcW w:type="dxa" w:w="115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18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Single-file and batch upload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Fadhil</w:t>
            </w:r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  <w:shd w:val="clear" w:color="auto" w:fill="316BF3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</w:tr>
      <w:tr>
        <w:tc>
          <w:tcPr>
            <w:tcW w:type="dxa" w:w="115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18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Selectable extraction model (Qwen / MiniCPM / Gemini)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Gifari</w:t>
            </w:r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  <w:shd w:val="clear" w:color="auto" w:fill="316BF3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</w:tr>
      <w:tr>
        <w:tc>
          <w:tcPr>
            <w:tcW w:type="dxa" w:w="115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Validation</w:t>
            </w:r>
          </w:p>
        </w:tc>
        <w:tc>
          <w:tcPr>
            <w:tcW w:type="dxa" w:w="518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Nine business rules with error and warning severities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Fadhil</w:t>
            </w:r>
          </w:p>
        </w:tc>
        <w:tc>
          <w:tcPr>
            <w:tcW w:type="dxa" w:w="1037"/>
            <w:shd w:val="clear" w:color="auto" w:fill="316BF3"/>
          </w:tcPr>
          <w:p>
            <w:r/>
          </w:p>
        </w:tc>
        <w:tc>
          <w:tcPr>
            <w:tcW w:type="dxa" w:w="1037"/>
            <w:shd w:val="clear" w:color="auto" w:fill="C9D9FB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</w:tr>
      <w:tr>
        <w:tc>
          <w:tcPr>
            <w:tcW w:type="dxa" w:w="115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18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Live validation panel on the review screen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Gifari</w:t>
            </w:r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  <w:shd w:val="clear" w:color="auto" w:fill="316BF3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</w:tr>
      <w:tr>
        <w:tc>
          <w:tcPr>
            <w:tcW w:type="dxa" w:w="115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18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Admin-tunable validation thresholds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Fadhil</w:t>
            </w:r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  <w:shd w:val="clear" w:color="auto" w:fill="316BF3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</w:tr>
      <w:tr>
        <w:tc>
          <w:tcPr>
            <w:tcW w:type="dxa" w:w="115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Interface</w:t>
            </w:r>
          </w:p>
        </w:tc>
        <w:tc>
          <w:tcPr>
            <w:tcW w:type="dxa" w:w="518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Frontend rebuilt on the design system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Gifari</w:t>
            </w:r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  <w:shd w:val="clear" w:color="auto" w:fill="316BF3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</w:tr>
      <w:tr>
        <w:tc>
          <w:tcPr>
            <w:tcW w:type="dxa" w:w="115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18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Human-in-the-loop review screen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Gifari</w:t>
            </w:r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  <w:shd w:val="clear" w:color="auto" w:fill="316BF3"/>
          </w:tcPr>
          <w:p>
            <w:r/>
          </w:p>
        </w:tc>
        <w:tc>
          <w:tcPr>
            <w:tcW w:type="dxa" w:w="1037"/>
            <w:shd w:val="clear" w:color="auto" w:fill="C9D9FB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</w:tr>
      <w:tr>
        <w:tc>
          <w:tcPr>
            <w:tcW w:type="dxa" w:w="115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18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Document list filters and pagination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Gifari</w:t>
            </w:r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  <w:shd w:val="clear" w:color="auto" w:fill="316BF3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  <w:shd w:val="clear" w:color="auto" w:fill="C9D9FB"/>
          </w:tcPr>
          <w:p>
            <w:r/>
          </w:p>
        </w:tc>
        <w:tc>
          <w:tcPr>
            <w:tcW w:type="dxa" w:w="1037"/>
          </w:tcPr>
          <w:p>
            <w:r/>
          </w:p>
        </w:tc>
      </w:tr>
      <w:tr>
        <w:tc>
          <w:tcPr>
            <w:tcW w:type="dxa" w:w="115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18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Layout and page padding polish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Gifari</w:t>
            </w:r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  <w:shd w:val="clear" w:color="auto" w:fill="316BF3"/>
          </w:tcPr>
          <w:p>
            <w:r/>
          </w:p>
        </w:tc>
        <w:tc>
          <w:tcPr>
            <w:tcW w:type="dxa" w:w="1037"/>
          </w:tcPr>
          <w:p>
            <w:r/>
          </w:p>
        </w:tc>
      </w:tr>
      <w:tr>
        <w:tc>
          <w:tcPr>
            <w:tcW w:type="dxa" w:w="115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Data</w:t>
            </w:r>
          </w:p>
        </w:tc>
        <w:tc>
          <w:tcPr>
            <w:tcW w:type="dxa" w:w="518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SQLite persistence and extraction caching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Fadhil</w:t>
            </w:r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  <w:shd w:val="clear" w:color="auto" w:fill="316BF3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</w:tr>
      <w:tr>
        <w:tc>
          <w:tcPr>
            <w:tcW w:type="dxa" w:w="115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18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Authentication, roles and audit log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Fadhil</w:t>
            </w:r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  <w:shd w:val="clear" w:color="auto" w:fill="316BF3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</w:tr>
      <w:tr>
        <w:tc>
          <w:tcPr>
            <w:tcW w:type="dxa" w:w="115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18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Admin user management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Fadhil</w:t>
            </w:r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  <w:shd w:val="clear" w:color="auto" w:fill="316BF3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</w:tr>
      <w:tr>
        <w:tc>
          <w:tcPr>
            <w:tcW w:type="dxa" w:w="115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Export</w:t>
            </w:r>
          </w:p>
        </w:tc>
        <w:tc>
          <w:tcPr>
            <w:tcW w:type="dxa" w:w="518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CSV/JSON export and mock downstream API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Fadhil</w:t>
            </w:r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  <w:shd w:val="clear" w:color="auto" w:fill="316BF3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</w:tr>
      <w:tr>
        <w:tc>
          <w:tcPr>
            <w:tcW w:type="dxa" w:w="115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18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Bulk export and selected-rows export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Fadhil</w:t>
            </w:r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  <w:shd w:val="clear" w:color="auto" w:fill="C9D9FB"/>
          </w:tcPr>
          <w:p>
            <w:r/>
          </w:p>
        </w:tc>
        <w:tc>
          <w:tcPr>
            <w:tcW w:type="dxa" w:w="1037"/>
            <w:shd w:val="clear" w:color="auto" w:fill="316BF3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</w:tr>
      <w:tr>
        <w:tc>
          <w:tcPr>
            <w:tcW w:type="dxa" w:w="115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18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Archive: approved documents by approval date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Fadhil</w:t>
            </w:r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  <w:shd w:val="clear" w:color="auto" w:fill="316BF3"/>
          </w:tcPr>
          <w:p>
            <w:r/>
          </w:p>
        </w:tc>
        <w:tc>
          <w:tcPr>
            <w:tcW w:type="dxa" w:w="1037"/>
          </w:tcPr>
          <w:p>
            <w:r/>
          </w:p>
        </w:tc>
      </w:tr>
      <w:tr>
        <w:tc>
          <w:tcPr>
            <w:tcW w:type="dxa" w:w="115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18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Archive range export to PDF/Word/Excel/CSV/JSON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Fadhil</w:t>
            </w:r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  <w:shd w:val="clear" w:color="auto" w:fill="316BF3"/>
          </w:tcPr>
          <w:p>
            <w:r/>
          </w:p>
        </w:tc>
      </w:tr>
      <w:tr>
        <w:tc>
          <w:tcPr>
            <w:tcW w:type="dxa" w:w="115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Evaluation</w:t>
            </w:r>
          </w:p>
        </w:tc>
        <w:tc>
          <w:tcPr>
            <w:tcW w:type="dxa" w:w="518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Field-level accuracy evaluation harness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Yazid</w:t>
            </w:r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  <w:shd w:val="clear" w:color="auto" w:fill="316BF3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</w:tr>
      <w:tr>
        <w:tc>
          <w:tcPr>
            <w:tcW w:type="dxa" w:w="115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18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Admin-triggered evaluation and accuracy summary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Yazid</w:t>
            </w:r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  <w:shd w:val="clear" w:color="auto" w:fill="316BF3"/>
          </w:tcPr>
          <w:p>
            <w:r/>
          </w:p>
        </w:tc>
        <w:tc>
          <w:tcPr>
            <w:tcW w:type="dxa" w:w="1037"/>
            <w:shd w:val="clear" w:color="auto" w:fill="C9D9FB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</w:tr>
      <w:tr>
        <w:tc>
          <w:tcPr>
            <w:tcW w:type="dxa" w:w="115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18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Model Speed page and processing-time measurement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Yazid</w:t>
            </w:r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  <w:shd w:val="clear" w:color="auto" w:fill="316BF3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</w:tr>
      <w:tr>
        <w:tc>
          <w:tcPr>
            <w:tcW w:type="dxa" w:w="115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Business</w:t>
            </w:r>
          </w:p>
        </w:tc>
        <w:tc>
          <w:tcPr>
            <w:tcW w:type="dxa" w:w="518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ROI calculator and cost-benefit business case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Fazza</w:t>
            </w:r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  <w:shd w:val="clear" w:color="auto" w:fill="316BF3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</w:tr>
      <w:tr>
        <w:tc>
          <w:tcPr>
            <w:tcW w:type="dxa" w:w="115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Bonus</w:t>
            </w:r>
          </w:p>
        </w:tc>
        <w:tc>
          <w:tcPr>
            <w:tcW w:type="dxa" w:w="518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RAG assistant and persistent chat history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Fadhil</w:t>
            </w:r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  <w:shd w:val="clear" w:color="auto" w:fill="316BF3"/>
          </w:tcPr>
          <w:p>
            <w:r/>
          </w:p>
        </w:tc>
        <w:tc>
          <w:tcPr>
            <w:tcW w:type="dxa" w:w="1037"/>
            <w:shd w:val="clear" w:color="auto" w:fill="316BF3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</w:tr>
      <w:tr>
        <w:tc>
          <w:tcPr>
            <w:tcW w:type="dxa" w:w="115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Documents</w:t>
            </w:r>
          </w:p>
        </w:tc>
        <w:tc>
          <w:tcPr>
            <w:tcW w:type="dxa" w:w="518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Business Process Document and Database Design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Fazza</w:t>
            </w:r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  <w:shd w:val="clear" w:color="auto" w:fill="316BF3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  <w:shd w:val="clear" w:color="auto" w:fill="316BF3"/>
          </w:tcPr>
          <w:p>
            <w:r/>
          </w:p>
        </w:tc>
        <w:tc>
          <w:tcPr>
            <w:tcW w:type="dxa" w:w="1037"/>
          </w:tcPr>
          <w:p>
            <w:r/>
          </w:p>
        </w:tc>
      </w:tr>
      <w:tr>
        <w:tc>
          <w:tcPr>
            <w:tcW w:type="dxa" w:w="115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18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User Manual and Testing Scenario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Fazza</w:t>
            </w:r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  <w:shd w:val="clear" w:color="auto" w:fill="316BF3"/>
          </w:tcPr>
          <w:p>
            <w:r/>
          </w:p>
        </w:tc>
        <w:tc>
          <w:tcPr>
            <w:tcW w:type="dxa" w:w="1037"/>
            <w:shd w:val="clear" w:color="auto" w:fill="316BF3"/>
          </w:tcPr>
          <w:p>
            <w:r/>
          </w:p>
        </w:tc>
      </w:tr>
      <w:tr>
        <w:tc>
          <w:tcPr>
            <w:tcW w:type="dxa" w:w="115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18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UI/UX Design and v1.2 document refresh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Fazza</w:t>
            </w:r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  <w:shd w:val="clear" w:color="auto" w:fill="316BF3"/>
          </w:tcPr>
          <w:p>
            <w:r/>
          </w:p>
        </w:tc>
      </w:tr>
      <w:tr>
        <w:tc>
          <w:tcPr>
            <w:tcW w:type="dxa" w:w="115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18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End-to-end testing and evidence collection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Yazid</w:t>
            </w:r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  <w:shd w:val="clear" w:color="auto" w:fill="316BF3"/>
          </w:tcPr>
          <w:p>
            <w:r/>
          </w:p>
        </w:tc>
      </w:tr>
      <w:tr>
        <w:tc>
          <w:tcPr>
            <w:tcW w:type="dxa" w:w="115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518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Final presentation deck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Fazza</w:t>
            </w:r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  <w:shd w:val="clear" w:color="auto" w:fill="316BF3"/>
          </w:tcPr>
          <w:p>
            <w:r/>
          </w:p>
        </w:tc>
      </w:tr>
    </w:tbl>
    <w:p/>
    <w:p>
      <w:r>
        <w:rPr>
          <w:rFonts w:ascii="Times New Roman" w:hAnsi="Times New Roman"/>
          <w:sz w:val="18"/>
        </w:rPr>
        <w:t>Legend:  solid blue = main work that week;  light blue = follow-up work or smaller fixes.</w:t>
      </w:r>
    </w:p>
    <w:p>
      <w:r>
        <w:br w:type="page"/>
      </w:r>
    </w:p>
    <w:p>
      <w:r>
        <w:rPr>
          <w:rFonts w:ascii="Times New Roman" w:hAnsi="Times New Roman"/>
          <w:b/>
          <w:i w:val="0"/>
          <w:color w:val="000000"/>
          <w:sz w:val="36"/>
        </w:rPr>
        <w:t>3.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37"/>
        <w:gridCol w:w="5037"/>
        <w:gridCol w:w="5037"/>
      </w:tblGrid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Date</w:t>
            </w:r>
          </w:p>
        </w:tc>
        <w:tc>
          <w:tcPr>
            <w:tcW w:type="dxa" w:w="6624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Milestone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Evidence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24 Jun 2026</w:t>
            </w:r>
          </w:p>
        </w:tc>
        <w:tc>
          <w:tcPr>
            <w:tcW w:type="dxa" w:w="662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First vertical slice working: upload, local extraction, results displayed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first commit in the repository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30 Jun 2026</w:t>
            </w:r>
          </w:p>
        </w:tc>
        <w:tc>
          <w:tcPr>
            <w:tcW w:type="dxa" w:w="662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Validation rules and their tests landed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validation + test commit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 Jul 2026</w:t>
            </w:r>
          </w:p>
        </w:tc>
        <w:tc>
          <w:tcPr>
            <w:tcW w:type="dxa" w:w="662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CSV/JSON export, mock API, accuracy evaluation and ROI calculator complete, covering all six deliverables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24 commits during W27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7 Jul 2026</w:t>
            </w:r>
          </w:p>
        </w:tc>
        <w:tc>
          <w:tcPr>
            <w:tcW w:type="dxa" w:w="662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Real authentication, roles, RAG assistant and audit log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auth-roles-rag-audit commit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8 Jul 2026</w:t>
            </w:r>
          </w:p>
        </w:tc>
        <w:tc>
          <w:tcPr>
            <w:tcW w:type="dxa" w:w="662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Admin settings and user management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admin settings commit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16 Jul 2026</w:t>
            </w:r>
          </w:p>
        </w:tc>
        <w:tc>
          <w:tcPr>
            <w:tcW w:type="dxa" w:w="662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Persistent chat history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chat history commit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26 Jul 2026</w:t>
            </w:r>
          </w:p>
        </w:tc>
        <w:tc>
          <w:tcPr>
            <w:tcW w:type="dxa" w:w="662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Project documents refreshed to v1.1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docs+ui commit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27 Jul 2026</w:t>
            </w:r>
          </w:p>
        </w:tc>
        <w:tc>
          <w:tcPr>
            <w:tcW w:type="dxa" w:w="662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Archive and range export to five formats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feat(archive) commit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29-30 Jul 2026</w:t>
            </w:r>
          </w:p>
        </w:tc>
        <w:tc>
          <w:tcPr>
            <w:tcW w:type="dxa" w:w="662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150-scenario end-to-end testing, UI/UX design document, manual update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Works/3.Testing Scenario_v2.0.xlsx, Works/1.UI-UX Design.docx</w:t>
            </w:r>
          </w:p>
        </w:tc>
      </w:tr>
    </w:tbl>
    <w:p/>
    <w:p>
      <w:r>
        <w:rPr>
          <w:rFonts w:ascii="Times New Roman" w:hAnsi="Times New Roman"/>
          <w:b/>
          <w:i w:val="0"/>
          <w:color w:val="000000"/>
          <w:sz w:val="36"/>
        </w:rPr>
        <w:t>4. Notes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The Owner column reflects how the team divided the work by area. Note that most commits are recorded under a single account, so Git attribution does not always match the actual division of labour. Please confirm with each member before this document is finalised.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W29 and W30 look quieter because they coincided with document writing, which largely produces no code commits.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This chart records what happened, not what was originally planned. If a plan-versus-actual comparison is needed, the sprint plan on the Jira board can be added as a second set of rows.</w:t>
      </w:r>
    </w:p>
    <w:sectPr w:rsidR="00FC693F" w:rsidRPr="0006063C" w:rsidSect="00034616">
      <w:pgSz w:w="16838" w:h="11906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