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Calibri" w:hAnsi="Calibri" w:eastAsia="黑体"/>
          <w:b/>
          <w:i w:val="0"/>
          <w:sz w:val="38"/>
          <w:u w:val="none"/>
        </w:rPr>
        <w:t>浙江大学脑机智能全国重点实验室</w:t>
        <w:br/>
      </w:r>
      <w:r>
        <w:rPr>
          <w:rFonts w:ascii="Calibri" w:hAnsi="Calibri" w:eastAsia="黑体"/>
          <w:b/>
          <w:i w:val="0"/>
          <w:sz w:val="38"/>
          <w:u w:val="none"/>
        </w:rPr>
        <w:t>研究方向整理</w:t>
      </w:r>
    </w:p>
    <w:p>
      <w:pPr>
        <w:spacing w:before="0" w:after="40" w:line="302" w:lineRule="auto"/>
        <w:jc w:val="center"/>
      </w:pPr>
      <w:r>
        <w:rPr>
          <w:rFonts w:ascii="Calibri" w:hAnsi="Calibri" w:eastAsia="宋体"/>
          <w:b w:val="0"/>
          <w:i w:val="0"/>
          <w:color w:val="404040"/>
          <w:sz w:val="20"/>
          <w:u w:val="none"/>
        </w:rPr>
        <w:t>信息整理：2026 年 9 月 · 依据实验室官网及公开资料</w:t>
      </w:r>
    </w:p>
    <w:p>
      <w:pPr>
        <w:spacing w:before="0" w:after="200" w:line="302" w:lineRule="auto"/>
        <w:jc w:val="center"/>
      </w:pPr>
      <w:r>
        <w:rPr>
          <w:rFonts w:ascii="Calibri" w:hAnsi="Calibri" w:eastAsia="宋体"/>
          <w:b/>
          <w:i w:val="0"/>
          <w:sz w:val="21"/>
          <w:u w:val="none"/>
        </w:rPr>
        <w:t>浙江大学脑机智能全国重点实验室（State Key Laboratory of Brain-Machine Intelligence，简称脑机智能全重实验室）</w:t>
      </w:r>
    </w:p>
    <w:p>
      <w:pPr>
        <w:spacing w:before="0" w:after="80" w:line="302" w:lineRule="auto"/>
        <w:ind w:firstLine="420"/>
      </w:pPr>
      <w:r>
        <w:rPr>
          <w:rFonts w:ascii="Calibri" w:hAnsi="Calibri" w:eastAsia="宋体"/>
          <w:b w:val="0"/>
          <w:i w:val="0"/>
          <w:u w:val="none"/>
        </w:rPr>
        <w:t>浙江大学脑机智能全国重点实验室是国家首批标杆全国重点实验室之一，也是观察国内脑机接口、类脑计算与“脑—机—智能”交叉融合布局的核心窗口。本文档梳理实验室的定位、研究主线、核心方向、细分方向与代表性成果，并附主要信息来源，供查阅与参考。</w:t>
      </w:r>
    </w:p>
    <w:p>
      <w:pPr>
        <w:pStyle w:val="Heading1"/>
        <w:keepNext/>
        <w:spacing w:before="200" w:after="80" w:line="288" w:lineRule="auto"/>
      </w:pPr>
      <w:r>
        <w:rPr>
          <w:rFonts w:ascii="Calibri" w:hAnsi="Calibri" w:eastAsia="黑体"/>
          <w:b/>
          <w:i w:val="0"/>
          <w:sz w:val="30"/>
          <w:u w:val="none"/>
        </w:rPr>
        <w:t>一、实验室概况</w:t>
      </w:r>
    </w:p>
    <w:p>
      <w:pPr>
        <w:spacing w:before="0" w:after="80" w:line="302" w:lineRule="auto"/>
        <w:ind w:firstLine="420"/>
      </w:pPr>
      <w:r>
        <w:rPr>
          <w:rFonts w:ascii="Calibri" w:hAnsi="Calibri" w:eastAsia="宋体"/>
          <w:b w:val="0"/>
          <w:i w:val="0"/>
          <w:u w:val="none"/>
        </w:rPr>
        <w:t>实验室于 2022 年 5 月获科技部批准建设，是首批 20 家标杆全国重点实验室之一。实验室面向世界科技前沿与国家重大需求，针对“脑与机的交互、融合、模拟、增强”的科学问题与技术难题，聚焦脑机神经基础、脑机信息读写、脑机智能建模、脑机融合增强等基础理论与技术，做有组织科研，力争建成世界一流的脑机智能科研高地。</w:t>
      </w:r>
    </w:p>
    <w:p>
      <w:pPr>
        <w:spacing w:before="0" w:after="80" w:line="302" w:lineRule="auto"/>
        <w:ind w:firstLine="420"/>
      </w:pPr>
      <w:r>
        <w:rPr>
          <w:rFonts w:ascii="Calibri" w:hAnsi="Calibri" w:eastAsia="宋体"/>
          <w:b w:val="0"/>
          <w:i w:val="0"/>
          <w:u w:val="none"/>
        </w:rPr>
        <w:t>实验室依托浙江大学多学科交叉优势组建高水平科研队伍，现有包括两位中国科学院院士和四十多位国家级人才在内的百余人团队，涵盖计算机、人工智能、神经科学、心理学、数学、临床医学、生物医学工程、微电子、管理、哲学等十多个学科。</w:t>
      </w:r>
    </w:p>
    <w:p>
      <w:pPr>
        <w:spacing w:before="0" w:after="80" w:line="302" w:lineRule="auto"/>
        <w:ind w:firstLine="420"/>
      </w:pPr>
      <w:r>
        <w:rPr>
          <w:rFonts w:ascii="Calibri" w:hAnsi="Calibri" w:eastAsia="宋体"/>
          <w:b w:val="0"/>
          <w:i w:val="0"/>
          <w:u w:val="none"/>
        </w:rPr>
        <w:t>实验室主任为计算机科学与技术学院教授、博士生导师潘纲（国家杰出青年科学基金获得者，研究方向为人工智能、脑机接口、类脑计算、普适计算）；副主任为心理与行为科学系教授、心理科学研究中心主任何贵兵；首席科学家为中国科学院院士、神经生物学家段树民（亦任浙江大学脑科学与脑医学学院教授、浙大二院脑科医院院长）。联系邮箱：bmi_lab@zju.edu.cn，联系电话：0571-87918028，官方公众号“脑机智能全国重点实验室”。</w:t>
      </w:r>
    </w:p>
    <w:p>
      <w:pPr>
        <w:pStyle w:val="Heading1"/>
        <w:keepNext/>
        <w:spacing w:before="200" w:after="80" w:line="288" w:lineRule="auto"/>
      </w:pPr>
      <w:r>
        <w:rPr>
          <w:rFonts w:ascii="Calibri" w:hAnsi="Calibri" w:eastAsia="黑体"/>
          <w:b/>
          <w:i w:val="0"/>
          <w:sz w:val="30"/>
          <w:u w:val="none"/>
        </w:rPr>
        <w:t>二、两大研究主线（实验室主任访谈口径）</w:t>
      </w:r>
    </w:p>
    <w:p>
      <w:pPr>
        <w:spacing w:before="0" w:after="80" w:line="302" w:lineRule="auto"/>
        <w:ind w:firstLine="420"/>
      </w:pPr>
      <w:r>
        <w:rPr>
          <w:rFonts w:ascii="Calibri" w:hAnsi="Calibri" w:eastAsia="宋体"/>
          <w:b w:val="0"/>
          <w:i w:val="0"/>
          <w:u w:val="none"/>
        </w:rPr>
        <w:t>据实验室主任潘纲介绍，实验室的研究可归纳为两条主线：一是“如何将大脑与机器或人工智能连接起来”，二是“如何用计算去模拟大脑”。这两条主线分别对应脑机接口与类脑计算两大技术路线，也是理解实验室各方向的总纲。</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大脑—机器连接：研究脑信号的采集、解码与神经调控，发展侵入式与非侵入式脑机接口、脑机调控等技术，实现“读脑”与“控脑”。</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用计算模拟大脑：研究类脑计算模型与算法、神经拟态芯片与类脑计算系统，以硬件与算法模拟大脑神经机制，探索通向通用人工智能的新路径。</w:t>
      </w:r>
    </w:p>
    <w:p>
      <w:pPr>
        <w:pStyle w:val="Heading1"/>
        <w:keepNext/>
        <w:spacing w:before="200" w:after="80" w:line="288" w:lineRule="auto"/>
      </w:pPr>
      <w:r>
        <w:rPr>
          <w:rFonts w:ascii="Calibri" w:hAnsi="Calibri" w:eastAsia="黑体"/>
          <w:b/>
          <w:i w:val="0"/>
          <w:sz w:val="30"/>
          <w:u w:val="none"/>
        </w:rPr>
        <w:t>三、四大核心方向（实验室定位口径）</w:t>
      </w:r>
    </w:p>
    <w:p>
      <w:pPr>
        <w:spacing w:before="0" w:after="80" w:line="302" w:lineRule="auto"/>
        <w:ind w:firstLine="420"/>
      </w:pPr>
      <w:r>
        <w:rPr>
          <w:rFonts w:ascii="Calibri" w:hAnsi="Calibri" w:eastAsia="宋体"/>
          <w:b w:val="0"/>
          <w:i w:val="0"/>
          <w:u w:val="none"/>
        </w:rPr>
        <w:t>实验室简介将研究方向归纳为脑机神经基础、脑机信息读写、脑机智能建模、脑机融合增强四大类。下表为各方向的通俗解读（按实验室简介与公开报道归纳，具体以实验室发布为准）。</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5" w:type="dxa"/>
          <w:left w:w="120" w:type="dxa"/>
          <w:bottom w:w="55" w:type="dxa"/>
          <w:right w:w="120" w:type="dxa"/>
        </w:tblCellMar>
        <w:tblLayout w:type="fixed"/>
      </w:tblPr>
      <w:tblGrid>
        <w:gridCol w:w="737"/>
        <w:gridCol w:w="1928"/>
        <w:gridCol w:w="6746"/>
      </w:tblGrid>
      <w:tr>
        <w:trPr>
          <w:tblHeader w:val="true"/>
        </w:trPr>
        <w:tc>
          <w:tcPr>
            <w:tcW w:type="dxa" w:w="737"/>
            <w:vAlign w:val="center"/>
            <w:shd w:val="clear" w:color="auto" w:fill="1F4E79"/>
          </w:tcPr>
          <w:p>
            <w:pPr>
              <w:spacing w:before="40" w:after="40" w:line="293" w:lineRule="auto"/>
              <w:jc w:val="center"/>
            </w:pPr>
            <w:r>
              <w:rPr>
                <w:rFonts w:ascii="Calibri" w:hAnsi="Calibri" w:eastAsia="黑体"/>
                <w:b/>
                <w:i w:val="0"/>
                <w:color w:val="FFFFFF"/>
                <w:sz w:val="21"/>
                <w:u w:val="none"/>
              </w:rPr>
              <w:t>序号</w:t>
            </w:r>
          </w:p>
        </w:tc>
        <w:tc>
          <w:tcPr>
            <w:tcW w:type="dxa" w:w="1928"/>
            <w:vAlign w:val="center"/>
            <w:shd w:val="clear" w:color="auto" w:fill="1F4E79"/>
          </w:tcPr>
          <w:p>
            <w:pPr>
              <w:spacing w:before="40" w:after="40" w:line="293" w:lineRule="auto"/>
              <w:jc w:val="center"/>
            </w:pPr>
            <w:r>
              <w:rPr>
                <w:rFonts w:ascii="Calibri" w:hAnsi="Calibri" w:eastAsia="黑体"/>
                <w:b/>
                <w:i w:val="0"/>
                <w:color w:val="FFFFFF"/>
                <w:sz w:val="21"/>
                <w:u w:val="none"/>
              </w:rPr>
              <w:t>方向</w:t>
            </w:r>
          </w:p>
        </w:tc>
        <w:tc>
          <w:tcPr>
            <w:tcW w:type="dxa" w:w="6746"/>
            <w:vAlign w:val="center"/>
            <w:shd w:val="clear" w:color="auto" w:fill="1F4E79"/>
          </w:tcPr>
          <w:p>
            <w:pPr>
              <w:spacing w:before="40" w:after="40" w:line="293" w:lineRule="auto"/>
              <w:jc w:val="center"/>
            </w:pPr>
            <w:r>
              <w:rPr>
                <w:rFonts w:ascii="Calibri" w:hAnsi="Calibri" w:eastAsia="黑体"/>
                <w:b/>
                <w:i w:val="0"/>
                <w:color w:val="FFFFFF"/>
                <w:sz w:val="21"/>
                <w:u w:val="none"/>
              </w:rPr>
              <w:t>主要内涵（按实验室公开资料归纳）</w:t>
            </w:r>
          </w:p>
        </w:tc>
      </w:tr>
      <w:tr>
        <w:trPr>
          <w:cantSplit/>
        </w:trPr>
        <w:tc>
          <w:tcPr>
            <w:tcW w:type="dxa" w:w="737"/>
            <w:vAlign w:val="center"/>
          </w:tcPr>
          <w:p>
            <w:pPr>
              <w:spacing w:before="40" w:after="40" w:line="293" w:lineRule="auto"/>
              <w:jc w:val="center"/>
            </w:pPr>
            <w:r>
              <w:rPr>
                <w:rFonts w:ascii="Calibri" w:hAnsi="Calibri" w:eastAsia="宋体"/>
                <w:b w:val="0"/>
                <w:i w:val="0"/>
                <w:sz w:val="21"/>
                <w:u w:val="none"/>
              </w:rPr>
              <w:t>1</w:t>
            </w:r>
          </w:p>
        </w:tc>
        <w:tc>
          <w:tcPr>
            <w:tcW w:type="dxa" w:w="1928"/>
            <w:vAlign w:val="center"/>
          </w:tcPr>
          <w:p>
            <w:pPr>
              <w:spacing w:before="40" w:after="40" w:line="293" w:lineRule="auto"/>
              <w:jc w:val="left"/>
            </w:pPr>
            <w:r>
              <w:rPr>
                <w:rFonts w:ascii="Calibri" w:hAnsi="Calibri" w:eastAsia="宋体"/>
                <w:b/>
                <w:i w:val="0"/>
                <w:sz w:val="21"/>
                <w:u w:val="none"/>
              </w:rPr>
              <w:t>脑机神经基础</w:t>
            </w:r>
          </w:p>
        </w:tc>
        <w:tc>
          <w:tcPr>
            <w:tcW w:type="dxa" w:w="6746"/>
            <w:vAlign w:val="center"/>
          </w:tcPr>
          <w:p>
            <w:pPr>
              <w:spacing w:before="40" w:after="40" w:line="293" w:lineRule="auto"/>
              <w:jc w:val="left"/>
            </w:pPr>
            <w:r>
              <w:rPr>
                <w:rFonts w:ascii="Calibri" w:hAnsi="Calibri" w:eastAsia="宋体"/>
                <w:b w:val="0"/>
                <w:i w:val="0"/>
                <w:sz w:val="21"/>
                <w:u w:val="none"/>
              </w:rPr>
              <w:t>研究大脑的神经机制、认知与学习原理，为“读脑—控脑—仿脑”提供神经科学基础，涉及脑科学原理与认知神经科学。</w:t>
            </w:r>
          </w:p>
        </w:tc>
      </w:tr>
      <w:tr>
        <w:trPr>
          <w:cantSplit/>
        </w:trPr>
        <w:tc>
          <w:tcPr>
            <w:tcW w:type="dxa" w:w="737"/>
            <w:vAlign w:val="center"/>
            <w:shd w:val="clear" w:color="auto" w:fill="EEF3FA"/>
          </w:tcPr>
          <w:p>
            <w:pPr>
              <w:spacing w:before="40" w:after="40" w:line="293" w:lineRule="auto"/>
              <w:jc w:val="center"/>
            </w:pPr>
            <w:r>
              <w:rPr>
                <w:rFonts w:ascii="Calibri" w:hAnsi="Calibri" w:eastAsia="宋体"/>
                <w:b w:val="0"/>
                <w:i w:val="0"/>
                <w:sz w:val="21"/>
                <w:u w:val="none"/>
              </w:rPr>
              <w:t>2</w:t>
            </w:r>
          </w:p>
        </w:tc>
        <w:tc>
          <w:tcPr>
            <w:tcW w:type="dxa" w:w="1928"/>
            <w:vAlign w:val="center"/>
            <w:shd w:val="clear" w:color="auto" w:fill="EEF3FA"/>
          </w:tcPr>
          <w:p>
            <w:pPr>
              <w:spacing w:before="40" w:after="40" w:line="293" w:lineRule="auto"/>
              <w:jc w:val="left"/>
            </w:pPr>
            <w:r>
              <w:rPr>
                <w:rFonts w:ascii="Calibri" w:hAnsi="Calibri" w:eastAsia="宋体"/>
                <w:b/>
                <w:i w:val="0"/>
                <w:sz w:val="21"/>
                <w:u w:val="none"/>
              </w:rPr>
              <w:t>脑机信息读写</w:t>
            </w:r>
          </w:p>
        </w:tc>
        <w:tc>
          <w:tcPr>
            <w:tcW w:type="dxa" w:w="6746"/>
            <w:vAlign w:val="center"/>
            <w:shd w:val="clear" w:color="auto" w:fill="EEF3FA"/>
          </w:tcPr>
          <w:p>
            <w:pPr>
              <w:spacing w:before="40" w:after="40" w:line="293" w:lineRule="auto"/>
              <w:jc w:val="left"/>
            </w:pPr>
            <w:r>
              <w:rPr>
                <w:rFonts w:ascii="Calibri" w:hAnsi="Calibri" w:eastAsia="宋体"/>
                <w:b w:val="0"/>
                <w:i w:val="0"/>
                <w:sz w:val="21"/>
                <w:u w:val="none"/>
              </w:rPr>
              <w:t>研究神经信号的采集、解码与写入、调控，覆盖神经电极与芯片器件、侵入式/非侵入式脑机接口、神经调控技术等“读写”链路。</w:t>
            </w:r>
          </w:p>
        </w:tc>
      </w:tr>
      <w:tr>
        <w:trPr>
          <w:cantSplit/>
        </w:trPr>
        <w:tc>
          <w:tcPr>
            <w:tcW w:type="dxa" w:w="737"/>
            <w:vAlign w:val="center"/>
          </w:tcPr>
          <w:p>
            <w:pPr>
              <w:spacing w:before="40" w:after="40" w:line="293" w:lineRule="auto"/>
              <w:jc w:val="center"/>
            </w:pPr>
            <w:r>
              <w:rPr>
                <w:rFonts w:ascii="Calibri" w:hAnsi="Calibri" w:eastAsia="宋体"/>
                <w:b w:val="0"/>
                <w:i w:val="0"/>
                <w:sz w:val="21"/>
                <w:u w:val="none"/>
              </w:rPr>
              <w:t>3</w:t>
            </w:r>
          </w:p>
        </w:tc>
        <w:tc>
          <w:tcPr>
            <w:tcW w:type="dxa" w:w="1928"/>
            <w:vAlign w:val="center"/>
          </w:tcPr>
          <w:p>
            <w:pPr>
              <w:spacing w:before="40" w:after="40" w:line="293" w:lineRule="auto"/>
              <w:jc w:val="left"/>
            </w:pPr>
            <w:r>
              <w:rPr>
                <w:rFonts w:ascii="Calibri" w:hAnsi="Calibri" w:eastAsia="宋体"/>
                <w:b/>
                <w:i w:val="0"/>
                <w:sz w:val="21"/>
                <w:u w:val="none"/>
              </w:rPr>
              <w:t>脑机智能建模</w:t>
            </w:r>
          </w:p>
        </w:tc>
        <w:tc>
          <w:tcPr>
            <w:tcW w:type="dxa" w:w="6746"/>
            <w:vAlign w:val="center"/>
          </w:tcPr>
          <w:p>
            <w:pPr>
              <w:spacing w:before="40" w:after="40" w:line="293" w:lineRule="auto"/>
              <w:jc w:val="left"/>
            </w:pPr>
            <w:r>
              <w:rPr>
                <w:rFonts w:ascii="Calibri" w:hAnsi="Calibri" w:eastAsia="宋体"/>
                <w:b w:val="0"/>
                <w:i w:val="0"/>
                <w:sz w:val="21"/>
                <w:u w:val="none"/>
              </w:rPr>
              <w:t>研究类脑计算模型与算法、脑启发式人工智能、神经拟态芯片与类脑计算系统，用计算模拟大脑的机制与智能。</w:t>
            </w:r>
          </w:p>
        </w:tc>
      </w:tr>
      <w:tr>
        <w:trPr>
          <w:cantSplit/>
        </w:trPr>
        <w:tc>
          <w:tcPr>
            <w:tcW w:type="dxa" w:w="737"/>
            <w:vAlign w:val="center"/>
            <w:shd w:val="clear" w:color="auto" w:fill="EEF3FA"/>
          </w:tcPr>
          <w:p>
            <w:pPr>
              <w:spacing w:before="40" w:after="40" w:line="293" w:lineRule="auto"/>
              <w:jc w:val="center"/>
            </w:pPr>
            <w:r>
              <w:rPr>
                <w:rFonts w:ascii="Calibri" w:hAnsi="Calibri" w:eastAsia="宋体"/>
                <w:b w:val="0"/>
                <w:i w:val="0"/>
                <w:sz w:val="21"/>
                <w:u w:val="none"/>
              </w:rPr>
              <w:t>4</w:t>
            </w:r>
          </w:p>
        </w:tc>
        <w:tc>
          <w:tcPr>
            <w:tcW w:type="dxa" w:w="1928"/>
            <w:vAlign w:val="center"/>
            <w:shd w:val="clear" w:color="auto" w:fill="EEF3FA"/>
          </w:tcPr>
          <w:p>
            <w:pPr>
              <w:spacing w:before="40" w:after="40" w:line="293" w:lineRule="auto"/>
              <w:jc w:val="left"/>
            </w:pPr>
            <w:r>
              <w:rPr>
                <w:rFonts w:ascii="Calibri" w:hAnsi="Calibri" w:eastAsia="宋体"/>
                <w:b/>
                <w:i w:val="0"/>
                <w:sz w:val="21"/>
                <w:u w:val="none"/>
              </w:rPr>
              <w:t>脑机融合增强</w:t>
            </w:r>
          </w:p>
        </w:tc>
        <w:tc>
          <w:tcPr>
            <w:tcW w:type="dxa" w:w="6746"/>
            <w:vAlign w:val="center"/>
            <w:shd w:val="clear" w:color="auto" w:fill="EEF3FA"/>
          </w:tcPr>
          <w:p>
            <w:pPr>
              <w:spacing w:before="40" w:after="40" w:line="293" w:lineRule="auto"/>
              <w:jc w:val="left"/>
            </w:pPr>
            <w:r>
              <w:rPr>
                <w:rFonts w:ascii="Calibri" w:hAnsi="Calibri" w:eastAsia="宋体"/>
                <w:b w:val="0"/>
                <w:i w:val="0"/>
                <w:sz w:val="21"/>
                <w:u w:val="none"/>
              </w:rPr>
              <w:t>研究脑机融合系统与脑机协同智能，面向神经精神疾病诊疗、运动功能重建与康复、睡眠调控、人机融合增强等应用。</w:t>
            </w:r>
          </w:p>
        </w:tc>
      </w:tr>
    </w:tbl>
    <w:p>
      <w:pPr>
        <w:spacing w:before="80" w:after="80" w:line="302" w:lineRule="auto"/>
      </w:pPr>
      <w:r>
        <w:rPr>
          <w:rFonts w:ascii="Calibri" w:hAnsi="Calibri" w:eastAsia="宋体"/>
          <w:b w:val="0"/>
          <w:i/>
          <w:color w:val="595959"/>
          <w:sz w:val="19"/>
          <w:u w:val="none"/>
        </w:rPr>
        <w:t>注：实验室简介仅列示四个方向名称；“主要内涵”系编者按实验室简介、成果报道与公开资料归纳，供快速理解，具体以实验室官方发布为准。</w:t>
      </w:r>
    </w:p>
    <w:p>
      <w:pPr>
        <w:pStyle w:val="Heading1"/>
        <w:keepNext/>
        <w:spacing w:before="200" w:after="80" w:line="288" w:lineRule="auto"/>
      </w:pPr>
      <w:r>
        <w:rPr>
          <w:rFonts w:ascii="Calibri" w:hAnsi="Calibri" w:eastAsia="黑体"/>
          <w:b/>
          <w:i w:val="0"/>
          <w:sz w:val="30"/>
          <w:u w:val="none"/>
        </w:rPr>
        <w:t>四、细分研究方向（科研引才口径，8 项）</w:t>
      </w:r>
    </w:p>
    <w:p>
      <w:pPr>
        <w:spacing w:before="0" w:after="80" w:line="302" w:lineRule="auto"/>
        <w:ind w:firstLine="420"/>
      </w:pPr>
      <w:r>
        <w:rPr>
          <w:rFonts w:ascii="Calibri" w:hAnsi="Calibri" w:eastAsia="宋体"/>
          <w:b w:val="0"/>
          <w:i w:val="0"/>
          <w:u w:val="none"/>
        </w:rPr>
        <w:t>实验室在《科研方向与研究人员简介》中进一步列出八个细分方向，可直接用于对照导师与选题：</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脑机接口</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类脑智能</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脑科学原理</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认知心理</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具身智能</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脑疾病的脑机诊疗</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脑机伦理</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神经管理与神经经济</w:t>
      </w:r>
    </w:p>
    <w:p>
      <w:pPr>
        <w:spacing w:before="80" w:after="80" w:line="302" w:lineRule="auto"/>
        <w:ind w:firstLine="420"/>
      </w:pPr>
      <w:r>
        <w:rPr>
          <w:rFonts w:ascii="Calibri" w:hAnsi="Calibri" w:eastAsia="宋体"/>
          <w:b w:val="0"/>
          <w:i w:val="0"/>
          <w:u w:val="none"/>
        </w:rPr>
        <w:t>可以看出，除经典“脑机接口 + 类脑智能”主线外，实验室还系统性布局了脑科学原理、认知心理、具身智能、临床诊疗、伦理以及神经管理/神经经济等交叉方向，是全链条“脑—机—智能”研究布局。</w:t>
      </w:r>
    </w:p>
    <w:p>
      <w:pPr>
        <w:pStyle w:val="Heading1"/>
        <w:keepNext/>
        <w:spacing w:before="200" w:after="80" w:line="288" w:lineRule="auto"/>
      </w:pPr>
      <w:r>
        <w:rPr>
          <w:rFonts w:ascii="Calibri" w:hAnsi="Calibri" w:eastAsia="黑体"/>
          <w:b/>
          <w:i w:val="0"/>
          <w:sz w:val="30"/>
          <w:u w:val="none"/>
        </w:rPr>
        <w:t>五、代表性科研成果（公开报道口径）</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类脑芯片：“达尔文”（Darwin）系列等超低功耗类脑芯片；</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类脑计算机：新一代神经拟态类脑计算机“悟空”（Darwin Monkey）与大规模类脑计算系统；</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神经调控：神经调控的新机制与新靶点研究；</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神经器件：自主研发的神经电极芯片；</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脑机接口：侵入式脑机接口系统，面向运动功能重建等临床转化；</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应用转化：脑机调控睡眠技术，用于智能助眠与脑病诊疗并推进产业化；</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治疗前景：面向抑郁症等精神疾病的神经调控研究，预期五年内进入临床应用（潘纲访谈）。</w:t>
      </w:r>
    </w:p>
    <w:p>
      <w:pPr>
        <w:spacing w:before="80" w:after="80" w:line="302" w:lineRule="auto"/>
        <w:ind w:firstLine="420"/>
      </w:pPr>
      <w:r>
        <w:rPr>
          <w:rFonts w:ascii="Calibri" w:hAnsi="Calibri" w:eastAsia="宋体"/>
          <w:b w:val="0"/>
          <w:i w:val="0"/>
          <w:u w:val="none"/>
        </w:rPr>
        <w:t>以上成果综合自浙江大学良渚实验室调研报道及“走进全国重点实验室”公开报道，可反映实验室当前的技术与产业化重点。</w:t>
      </w:r>
    </w:p>
    <w:p>
      <w:pPr>
        <w:pStyle w:val="Heading1"/>
        <w:keepNext/>
        <w:spacing w:before="200" w:after="80" w:line="288" w:lineRule="auto"/>
      </w:pPr>
      <w:r>
        <w:rPr>
          <w:rFonts w:ascii="Calibri" w:hAnsi="Calibri" w:eastAsia="黑体"/>
          <w:b/>
          <w:i w:val="0"/>
          <w:sz w:val="30"/>
          <w:u w:val="none"/>
        </w:rPr>
        <w:t>六、人才培育与交叉平台</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脑机智能创新班：浙江大学工科试验班（脑机智能创新班）由心理与行为科学系、生物医学工程与仪器科学学院联合脑机智能全国重点实验室、脑科学与脑医学学院开设，聚焦脑机接口、智能交互、神经调控及智能仪器研发等前沿方向。</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南湖脑机交叉研究院：浙江大学与杭州市余杭区共建的独立法人研究机构，聚焦脑机接口基础器件、重大脑疾病神经机制、重大神经精神疾病的脑机接口治疗、运动康复的脑机接口四大方向，是重要的产业化与转化平台。</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学科切入建议：从计算机/人工智能学科进入，可对口类脑计算与脑机接口（如潘纲团队）；亦可通过心理、生物医学工程、神经科学、临床医学等路径切入该实验室的交叉团队。</w:t>
      </w:r>
    </w:p>
    <w:p>
      <w:pPr>
        <w:pStyle w:val="Heading1"/>
        <w:keepNext/>
        <w:spacing w:before="200" w:after="80" w:line="288" w:lineRule="auto"/>
      </w:pPr>
      <w:r>
        <w:rPr>
          <w:rFonts w:ascii="Calibri" w:hAnsi="Calibri" w:eastAsia="黑体"/>
          <w:b/>
          <w:i w:val="0"/>
          <w:sz w:val="30"/>
          <w:u w:val="none"/>
        </w:rPr>
        <w:t>七、主要信息来源</w:t>
      </w:r>
    </w:p>
    <w:p>
      <w:pPr>
        <w:keepNext/>
        <w:spacing w:after="60" w:line="293" w:lineRule="auto"/>
        <w:ind w:left="408" w:hanging="227"/>
      </w:pPr>
      <w:r>
        <w:rPr>
          <w:rFonts w:ascii="Calibri" w:hAnsi="Calibri" w:eastAsia="宋体"/>
          <w:b w:val="0"/>
          <w:i w:val="0"/>
          <w:sz w:val="20"/>
          <w:u w:val="none"/>
        </w:rPr>
        <w:t xml:space="preserve">• </w:t>
      </w:r>
      <w:hyperlink r:id="rId9">
        <w:r>
          <w:rPr>
            <w:rFonts w:ascii="Calibri" w:hAnsi="Calibri" w:eastAsia="宋体"/>
            <w:color w:val="0563C1"/>
            <w:sz w:val="20"/>
            <w:u w:val="single"/>
          </w:rPr>
          <w:t xml:space="preserve">浙江大学信息学部：脑机智能全国重点实验室简介</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9">
        <w:r>
          <w:rPr>
            <w:rFonts w:ascii="Calibri" w:hAnsi="Calibri" w:eastAsia="宋体"/>
            <w:color w:val="595959"/>
            <w:sz w:val="19"/>
            <w:u w:val="single"/>
          </w:rPr>
          <w:t xml:space="preserve">http://fit.zju.edu.cn/fitcn/2023/0406/c34346a2738116/page.htm</w:t>
        </w:r>
      </w:hyperlink>
    </w:p>
    <w:p>
      <w:pPr>
        <w:keepNext/>
        <w:spacing w:after="60" w:line="293" w:lineRule="auto"/>
        <w:ind w:left="408" w:hanging="227"/>
      </w:pPr>
      <w:r>
        <w:rPr>
          <w:rFonts w:ascii="Calibri" w:hAnsi="Calibri" w:eastAsia="宋体"/>
          <w:b w:val="0"/>
          <w:i w:val="0"/>
          <w:sz w:val="20"/>
          <w:u w:val="none"/>
        </w:rPr>
        <w:t xml:space="preserve">• </w:t>
      </w:r>
      <w:hyperlink r:id="rId10">
        <w:r>
          <w:rPr>
            <w:rFonts w:ascii="Calibri" w:hAnsi="Calibri" w:eastAsia="宋体"/>
            <w:color w:val="0563C1"/>
            <w:sz w:val="20"/>
            <w:u w:val="single"/>
          </w:rPr>
          <w:t xml:space="preserve">潘纲 个人主页（实验室主任）</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0">
        <w:r>
          <w:rPr>
            <w:rFonts w:ascii="Calibri" w:hAnsi="Calibri" w:eastAsia="宋体"/>
            <w:color w:val="595959"/>
            <w:sz w:val="19"/>
            <w:u w:val="single"/>
          </w:rPr>
          <w:t xml:space="preserve">https://person.zju.edu.cn/gpan</w:t>
        </w:r>
      </w:hyperlink>
    </w:p>
    <w:p>
      <w:pPr>
        <w:keepNext/>
        <w:spacing w:after="60" w:line="293" w:lineRule="auto"/>
        <w:ind w:left="408" w:hanging="227"/>
      </w:pPr>
      <w:r>
        <w:rPr>
          <w:rFonts w:ascii="Calibri" w:hAnsi="Calibri" w:eastAsia="宋体"/>
          <w:b w:val="0"/>
          <w:i w:val="0"/>
          <w:sz w:val="20"/>
          <w:u w:val="none"/>
        </w:rPr>
        <w:t xml:space="preserve">• </w:t>
      </w:r>
      <w:hyperlink r:id="rId11">
        <w:r>
          <w:rPr>
            <w:rFonts w:ascii="Calibri" w:hAnsi="Calibri" w:eastAsia="宋体"/>
            <w:color w:val="0563C1"/>
            <w:sz w:val="20"/>
            <w:u w:val="single"/>
          </w:rPr>
          <w:t xml:space="preserve">科学网：神经科学家段树民院士全职加盟（任实验室首席科学家）</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1">
        <w:r>
          <w:rPr>
            <w:rFonts w:ascii="Calibri" w:hAnsi="Calibri" w:eastAsia="宋体"/>
            <w:color w:val="595959"/>
            <w:sz w:val="19"/>
            <w:u w:val="single"/>
          </w:rPr>
          <w:t xml:space="preserve">https://news.sciencenet.cn/htmlnews/2026/8/570077.shtm</w:t>
        </w:r>
      </w:hyperlink>
    </w:p>
    <w:p>
      <w:pPr>
        <w:keepNext/>
        <w:spacing w:after="60" w:line="293" w:lineRule="auto"/>
        <w:ind w:left="408" w:hanging="227"/>
      </w:pPr>
      <w:r>
        <w:rPr>
          <w:rFonts w:ascii="Calibri" w:hAnsi="Calibri" w:eastAsia="宋体"/>
          <w:b w:val="0"/>
          <w:i w:val="0"/>
          <w:sz w:val="20"/>
          <w:u w:val="none"/>
        </w:rPr>
        <w:t xml:space="preserve">• </w:t>
      </w:r>
      <w:hyperlink r:id="rId12">
        <w:r>
          <w:rPr>
            <w:rFonts w:ascii="Calibri" w:hAnsi="Calibri" w:eastAsia="宋体"/>
            <w:color w:val="0563C1"/>
            <w:sz w:val="20"/>
            <w:u w:val="single"/>
          </w:rPr>
          <w:t xml:space="preserve">良渚实验室：陈竺一行调研脑机智能全国重点实验室（代表性成果）</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2">
        <w:r>
          <w:rPr>
            <w:rFonts w:ascii="Calibri" w:hAnsi="Calibri" w:eastAsia="宋体"/>
            <w:color w:val="595959"/>
            <w:sz w:val="19"/>
            <w:u w:val="single"/>
          </w:rPr>
          <w:t xml:space="preserve">http://liangzhulab.zju.edu.cn/index.php?m=content&amp;c=index&amp;a=show&amp;catid=62&amp;id=2087</w:t>
        </w:r>
      </w:hyperlink>
    </w:p>
    <w:p>
      <w:pPr>
        <w:keepNext/>
        <w:spacing w:after="60" w:line="293" w:lineRule="auto"/>
        <w:ind w:left="408" w:hanging="227"/>
      </w:pPr>
      <w:r>
        <w:rPr>
          <w:rFonts w:ascii="Calibri" w:hAnsi="Calibri" w:eastAsia="宋体"/>
          <w:b w:val="0"/>
          <w:i w:val="0"/>
          <w:sz w:val="20"/>
          <w:u w:val="none"/>
        </w:rPr>
        <w:t xml:space="preserve">• </w:t>
      </w:r>
      <w:hyperlink r:id="rId13">
        <w:r>
          <w:rPr>
            <w:rFonts w:ascii="Calibri" w:hAnsi="Calibri" w:eastAsia="宋体"/>
            <w:color w:val="0563C1"/>
            <w:sz w:val="20"/>
            <w:u w:val="single"/>
          </w:rPr>
          <w:t xml:space="preserve">封面新闻/新浪：走进全国重点实验室①——类脑计算（两大主线、类脑计算机“悟空”）</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3">
        <w:r>
          <w:rPr>
            <w:rFonts w:ascii="Calibri" w:hAnsi="Calibri" w:eastAsia="宋体"/>
            <w:color w:val="595959"/>
            <w:sz w:val="19"/>
            <w:u w:val="single"/>
          </w:rPr>
          <w:t xml:space="preserve">https://k.sina.com.cn/article_1496814565_593793e502001urck.html</w:t>
        </w:r>
      </w:hyperlink>
    </w:p>
    <w:p>
      <w:pPr>
        <w:keepNext/>
        <w:spacing w:after="60" w:line="293" w:lineRule="auto"/>
        <w:ind w:left="408" w:hanging="227"/>
      </w:pPr>
      <w:r>
        <w:rPr>
          <w:rFonts w:ascii="Calibri" w:hAnsi="Calibri" w:eastAsia="宋体"/>
          <w:b w:val="0"/>
          <w:i w:val="0"/>
          <w:sz w:val="20"/>
          <w:u w:val="none"/>
        </w:rPr>
        <w:t xml:space="preserve">• </w:t>
      </w:r>
      <w:hyperlink r:id="rId14">
        <w:r>
          <w:rPr>
            <w:rFonts w:ascii="Calibri" w:hAnsi="Calibri" w:eastAsia="宋体"/>
            <w:color w:val="0563C1"/>
            <w:sz w:val="20"/>
            <w:u w:val="single"/>
          </w:rPr>
          <w:t xml:space="preserve">浙江大学：脑机智能全国重点实验室科研方向与研究人员简介（八个细分方向）</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4">
        <w:r>
          <w:rPr>
            <w:rFonts w:ascii="Calibri" w:hAnsi="Calibri" w:eastAsia="宋体"/>
            <w:color w:val="595959"/>
            <w:sz w:val="19"/>
            <w:u w:val="single"/>
          </w:rPr>
          <w:t xml:space="preserve">http://rd.zju.edu.cn/_upload/article/files/92/bf/42abfc1c4c9eafe603df4f99c397/de0c14cf-cc3f-4cf4-a46a-f2a389ad6b73.pdf</w:t>
        </w:r>
      </w:hyperlink>
    </w:p>
    <w:p>
      <w:pPr>
        <w:keepNext/>
        <w:spacing w:after="60" w:line="293" w:lineRule="auto"/>
        <w:ind w:left="408" w:hanging="227"/>
      </w:pPr>
      <w:r>
        <w:rPr>
          <w:rFonts w:ascii="Calibri" w:hAnsi="Calibri" w:eastAsia="宋体"/>
          <w:b w:val="0"/>
          <w:i w:val="0"/>
          <w:sz w:val="20"/>
          <w:u w:val="none"/>
        </w:rPr>
        <w:t xml:space="preserve">• </w:t>
      </w:r>
      <w:hyperlink r:id="rId15">
        <w:r>
          <w:rPr>
            <w:rFonts w:ascii="Calibri" w:hAnsi="Calibri" w:eastAsia="宋体"/>
            <w:color w:val="0563C1"/>
            <w:sz w:val="20"/>
            <w:u w:val="single"/>
          </w:rPr>
          <w:t xml:space="preserve">澎湃新闻：未来超级大脑——浙大“脑机智能创新班”</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5">
        <w:r>
          <w:rPr>
            <w:rFonts w:ascii="Calibri" w:hAnsi="Calibri" w:eastAsia="宋体"/>
            <w:color w:val="595959"/>
            <w:sz w:val="19"/>
            <w:u w:val="single"/>
          </w:rPr>
          <w:t xml:space="preserve">https://m.thepaper.cn/newsDetail_forward_33426944</w:t>
        </w:r>
      </w:hyperlink>
    </w:p>
    <w:p>
      <w:pPr>
        <w:keepNext/>
        <w:spacing w:after="60" w:line="293" w:lineRule="auto"/>
        <w:ind w:left="408" w:hanging="227"/>
      </w:pPr>
      <w:r>
        <w:rPr>
          <w:rFonts w:ascii="Calibri" w:hAnsi="Calibri" w:eastAsia="宋体"/>
          <w:b w:val="0"/>
          <w:i w:val="0"/>
          <w:sz w:val="20"/>
          <w:u w:val="none"/>
        </w:rPr>
        <w:t xml:space="preserve">• </w:t>
      </w:r>
      <w:hyperlink r:id="rId16">
        <w:r>
          <w:rPr>
            <w:rFonts w:ascii="Calibri" w:hAnsi="Calibri" w:eastAsia="宋体"/>
            <w:color w:val="0563C1"/>
            <w:sz w:val="20"/>
            <w:u w:val="single"/>
          </w:rPr>
          <w:t xml:space="preserve">南湖脑机交叉研究院（浙大—余杭共建）</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6">
        <w:r>
          <w:rPr>
            <w:rFonts w:ascii="Calibri" w:hAnsi="Calibri" w:eastAsia="宋体"/>
            <w:color w:val="595959"/>
            <w:sz w:val="19"/>
            <w:u w:val="single"/>
          </w:rPr>
          <w:t xml:space="preserve">https://www.zjbci.cn/overview.aspx?category_id=272</w:t>
        </w:r>
      </w:hyperlink>
    </w:p>
    <w:p>
      <w:pPr>
        <w:spacing w:before="80" w:after="80" w:line="302" w:lineRule="auto"/>
        <w:ind w:firstLine="420"/>
      </w:pPr>
      <w:r>
        <w:rPr>
          <w:rFonts w:ascii="Calibri" w:hAnsi="Calibri" w:eastAsia="宋体"/>
          <w:b w:val="0"/>
          <w:i w:val="0"/>
          <w:u w:val="none"/>
        </w:rPr>
        <w:t>与浙江大学计算机辅助设计与图形系统全国重点实验室（CAD&amp;CG）相对照：后者聚焦“几何设计—图形呈现—智能计算”，而脑机智能全重实验室聚焦“读脑—控脑—仿脑—脑机融合”，两者在具身智能、生成式人工智能等方向上有交叉。</w:t>
      </w:r>
    </w:p>
    <w:sectPr w:rsidR="00FC693F" w:rsidRPr="0006063C" w:rsidSect="00034616">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Calibri" w:hAnsi="Calibri"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fit.zju.edu.cn/fitcn/2023/0406/c34346a2738116/page.htm" TargetMode="External"/><Relationship Id="rId10" Type="http://schemas.openxmlformats.org/officeDocument/2006/relationships/hyperlink" Target="https://person.zju.edu.cn/gpan" TargetMode="External"/><Relationship Id="rId11" Type="http://schemas.openxmlformats.org/officeDocument/2006/relationships/hyperlink" Target="https://news.sciencenet.cn/htmlnews/2026/8/570077.shtm" TargetMode="External"/><Relationship Id="rId12" Type="http://schemas.openxmlformats.org/officeDocument/2006/relationships/hyperlink" Target="http://liangzhulab.zju.edu.cn/index.php?m=content&amp;c=index&amp;a=show&amp;catid=62&amp;id=2087" TargetMode="External"/><Relationship Id="rId13" Type="http://schemas.openxmlformats.org/officeDocument/2006/relationships/hyperlink" Target="https://k.sina.com.cn/article_1496814565_593793e502001urck.html" TargetMode="External"/><Relationship Id="rId14" Type="http://schemas.openxmlformats.org/officeDocument/2006/relationships/hyperlink" Target="http://rd.zju.edu.cn/_upload/article/files/92/bf/42abfc1c4c9eafe603df4f99c397/de0c14cf-cc3f-4cf4-a46a-f2a389ad6b73.pdf" TargetMode="External"/><Relationship Id="rId15" Type="http://schemas.openxmlformats.org/officeDocument/2006/relationships/hyperlink" Target="https://m.thepaper.cn/newsDetail_forward_33426944" TargetMode="External"/><Relationship Id="rId16" Type="http://schemas.openxmlformats.org/officeDocument/2006/relationships/hyperlink" Target="https://www.zjbci.cn/overview.aspx?category_id=2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