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heading=h.mc8miufet6rs" w:id="0"/>
      <w:bookmarkEnd w:id="0"/>
      <w:r w:rsidDel="00000000" w:rsidR="00000000" w:rsidRPr="00000000">
        <w:rPr>
          <w:rtl w:val="0"/>
        </w:rPr>
      </w:r>
    </w:p>
    <w:p w:rsidR="00000000" w:rsidDel="00000000" w:rsidP="00000000" w:rsidRDefault="00000000" w:rsidRPr="00000000" w14:paraId="00000003">
      <w:pPr>
        <w:pStyle w:val="Title"/>
        <w:jc w:val="center"/>
        <w:rPr/>
      </w:pPr>
      <w:bookmarkStart w:colFirst="0" w:colLast="0" w:name="_heading=h.cjaj1y4h2hk6" w:id="1"/>
      <w:bookmarkEnd w:id="1"/>
      <w:r w:rsidDel="00000000" w:rsidR="00000000" w:rsidRPr="00000000">
        <w:rPr>
          <w:rtl w:val="0"/>
        </w:rPr>
        <w:t xml:space="preserve">Informe de Definición del Alcance del Proyecto</w:t>
      </w:r>
    </w:p>
    <w:p w:rsidR="00000000" w:rsidDel="00000000" w:rsidP="00000000" w:rsidRDefault="00000000" w:rsidRPr="00000000" w14:paraId="00000004">
      <w:pPr>
        <w:spacing w:after="240" w:before="240" w:lineRule="auto"/>
        <w:rPr>
          <w:sz w:val="25"/>
          <w:szCs w:val="25"/>
        </w:rPr>
      </w:pPr>
      <w:r w:rsidDel="00000000" w:rsidR="00000000" w:rsidRPr="00000000">
        <w:rPr>
          <w:rtl w:val="0"/>
        </w:rPr>
      </w:r>
    </w:p>
    <w:p w:rsidR="00000000" w:rsidDel="00000000" w:rsidP="00000000" w:rsidRDefault="00000000" w:rsidRPr="00000000" w14:paraId="00000005">
      <w:pPr>
        <w:spacing w:before="580" w:lineRule="auto"/>
        <w:ind w:left="8740" w:firstLine="0"/>
        <w:jc w:val="center"/>
        <w:rPr>
          <w:color w:val="00af4f"/>
          <w:sz w:val="25"/>
          <w:szCs w:val="25"/>
        </w:rPr>
      </w:pPr>
      <w:r w:rsidDel="00000000" w:rsidR="00000000" w:rsidRPr="00000000">
        <w:rPr>
          <w:rtl w:val="0"/>
        </w:rPr>
      </w:r>
    </w:p>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07">
      <w:pPr>
        <w:spacing w:before="240" w:lineRule="auto"/>
        <w:ind w:left="160" w:right="420" w:firstLine="0"/>
        <w:jc w:val="center"/>
        <w:rPr>
          <w:sz w:val="20"/>
          <w:szCs w:val="20"/>
        </w:rPr>
      </w:pPr>
      <w:r w:rsidDel="00000000" w:rsidR="00000000" w:rsidRPr="00000000">
        <w:rPr>
          <w:color w:val="00af4f"/>
          <w:sz w:val="50"/>
          <w:szCs w:val="50"/>
          <w:rtl w:val="0"/>
        </w:rPr>
        <w:t xml:space="preserve">AltoqueCV</w:t>
      </w:r>
      <w:r w:rsidDel="00000000" w:rsidR="00000000" w:rsidRPr="00000000">
        <w:rPr>
          <w:rtl w:val="0"/>
        </w:rPr>
      </w:r>
    </w:p>
    <w:p w:rsidR="00000000" w:rsidDel="00000000" w:rsidP="00000000" w:rsidRDefault="00000000" w:rsidRPr="00000000" w14:paraId="00000008">
      <w:pPr>
        <w:spacing w:after="240" w:before="240" w:lineRule="auto"/>
        <w:jc w:val="center"/>
        <w:rPr>
          <w:sz w:val="20"/>
          <w:szCs w:val="20"/>
        </w:rPr>
      </w:pPr>
      <w:r w:rsidDel="00000000" w:rsidR="00000000" w:rsidRPr="00000000">
        <w:rPr>
          <w:sz w:val="20"/>
          <w:szCs w:val="20"/>
          <w:rtl w:val="0"/>
        </w:rPr>
        <w:t xml:space="preserve"> </w:t>
      </w:r>
      <w:r w:rsidDel="00000000" w:rsidR="00000000" w:rsidRPr="00000000">
        <w:rPr>
          <w:sz w:val="25"/>
          <w:szCs w:val="25"/>
          <w:rtl w:val="0"/>
        </w:rPr>
        <w:t xml:space="preserve">Versión 1.0 </w:t>
      </w:r>
      <w:r w:rsidDel="00000000" w:rsidR="00000000" w:rsidRPr="00000000">
        <w:rPr>
          <w:color w:val="00af4f"/>
          <w:sz w:val="25"/>
          <w:szCs w:val="25"/>
          <w:rtl w:val="0"/>
        </w:rPr>
        <w:t xml:space="preserve">● 09/09/2026</w:t>
      </w:r>
      <w:r w:rsidDel="00000000" w:rsidR="00000000" w:rsidRPr="00000000">
        <w:rPr>
          <w:rtl w:val="0"/>
        </w:rPr>
      </w:r>
    </w:p>
    <w:p w:rsidR="00000000" w:rsidDel="00000000" w:rsidP="00000000" w:rsidRDefault="00000000" w:rsidRPr="00000000" w14:paraId="00000009">
      <w:pPr>
        <w:spacing w:after="240" w:before="240" w:lineRule="auto"/>
        <w:rPr>
          <w:sz w:val="20"/>
          <w:szCs w:val="20"/>
        </w:rPr>
      </w:pPr>
      <w:r w:rsidDel="00000000" w:rsidR="00000000" w:rsidRPr="00000000">
        <w:rPr>
          <w:sz w:val="20"/>
          <w:szCs w:val="20"/>
          <w:rtl w:val="0"/>
        </w:rPr>
        <w:t xml:space="preserve"> </w:t>
      </w:r>
    </w:p>
    <w:tbl>
      <w:tblPr>
        <w:tblStyle w:val="Table1"/>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0"/>
        <w:gridCol w:w="4155"/>
        <w:tblGridChange w:id="0">
          <w:tblGrid>
            <w:gridCol w:w="4170"/>
            <w:gridCol w:w="4155"/>
          </w:tblGrid>
        </w:tblGridChange>
      </w:tblGrid>
      <w:tr>
        <w:trPr>
          <w:cantSplit w:val="0"/>
          <w:trHeight w:val="345" w:hRule="atLeast"/>
          <w:tblHeader w:val="0"/>
        </w:trPr>
        <w:tc>
          <w:tcPr>
            <w:tcBorders>
              <w:top w:color="95b3d7" w:space="0" w:sz="9" w:val="single"/>
              <w:left w:color="95b3d7" w:space="0" w:sz="9" w:val="single"/>
              <w:bottom w:color="95b3d7" w:space="0" w:sz="9" w:val="single"/>
              <w:right w:color="95b3d7" w:space="0" w:sz="9" w:val="single"/>
            </w:tcBorders>
            <w:tcMar>
              <w:top w:w="0.0" w:type="dxa"/>
              <w:left w:w="100.0" w:type="dxa"/>
              <w:bottom w:w="0.0" w:type="dxa"/>
              <w:right w:w="100.0" w:type="dxa"/>
            </w:tcMar>
          </w:tcPr>
          <w:p w:rsidR="00000000" w:rsidDel="00000000" w:rsidP="00000000" w:rsidRDefault="00000000" w:rsidRPr="00000000" w14:paraId="0000000A">
            <w:pPr>
              <w:spacing w:after="240" w:before="240" w:lineRule="auto"/>
              <w:ind w:left="100" w:right="100" w:firstLine="0"/>
              <w:rPr>
                <w:sz w:val="20"/>
                <w:szCs w:val="20"/>
              </w:rPr>
            </w:pPr>
            <w:r w:rsidDel="00000000" w:rsidR="00000000" w:rsidRPr="00000000">
              <w:rPr>
                <w:sz w:val="20"/>
                <w:szCs w:val="20"/>
                <w:rtl w:val="0"/>
              </w:rPr>
              <w:t xml:space="preserve">Nombre del Proyecto</w:t>
            </w:r>
          </w:p>
        </w:tc>
        <w:tc>
          <w:tcPr>
            <w:tcBorders>
              <w:top w:color="95b3d7" w:space="0" w:sz="9" w:val="single"/>
              <w:left w:color="000000" w:space="0" w:sz="0" w:val="nil"/>
              <w:bottom w:color="95b3d7" w:space="0" w:sz="9" w:val="single"/>
              <w:right w:color="95b3d7" w:space="0" w:sz="9" w:val="single"/>
            </w:tcBorders>
            <w:tcMar>
              <w:top w:w="0.0" w:type="dxa"/>
              <w:left w:w="100.0" w:type="dxa"/>
              <w:bottom w:w="0.0" w:type="dxa"/>
              <w:right w:w="100.0" w:type="dxa"/>
            </w:tcMar>
          </w:tcPr>
          <w:p w:rsidR="00000000" w:rsidDel="00000000" w:rsidP="00000000" w:rsidRDefault="00000000" w:rsidRPr="00000000" w14:paraId="0000000B">
            <w:pPr>
              <w:spacing w:after="240" w:before="240" w:lineRule="auto"/>
              <w:ind w:left="100" w:right="100" w:firstLine="0"/>
              <w:rPr>
                <w:sz w:val="20"/>
                <w:szCs w:val="20"/>
              </w:rPr>
            </w:pPr>
            <w:r w:rsidDel="00000000" w:rsidR="00000000" w:rsidRPr="00000000">
              <w:rPr>
                <w:sz w:val="20"/>
                <w:szCs w:val="20"/>
                <w:rtl w:val="0"/>
              </w:rPr>
              <w:t xml:space="preserve">AltoqueCV</w:t>
            </w:r>
          </w:p>
        </w:tc>
      </w:tr>
      <w:tr>
        <w:trPr>
          <w:cantSplit w:val="0"/>
          <w:trHeight w:val="345" w:hRule="atLeast"/>
          <w:tblHeader w:val="0"/>
        </w:trPr>
        <w:tc>
          <w:tcPr>
            <w:tcBorders>
              <w:top w:color="000000" w:space="0" w:sz="0" w:val="nil"/>
              <w:left w:color="95b3d7" w:space="0" w:sz="9" w:val="single"/>
              <w:bottom w:color="95b3d7" w:space="0" w:sz="9" w:val="single"/>
              <w:right w:color="95b3d7" w:space="0" w:sz="9" w:val="single"/>
            </w:tcBorders>
            <w:tcMar>
              <w:top w:w="0.0" w:type="dxa"/>
              <w:left w:w="100.0" w:type="dxa"/>
              <w:bottom w:w="0.0" w:type="dxa"/>
              <w:right w:w="100.0" w:type="dxa"/>
            </w:tcMar>
          </w:tcPr>
          <w:p w:rsidR="00000000" w:rsidDel="00000000" w:rsidP="00000000" w:rsidRDefault="00000000" w:rsidRPr="00000000" w14:paraId="0000000C">
            <w:pPr>
              <w:spacing w:after="240" w:before="240" w:lineRule="auto"/>
              <w:ind w:left="100" w:right="100" w:firstLine="0"/>
              <w:rPr>
                <w:sz w:val="20"/>
                <w:szCs w:val="20"/>
              </w:rPr>
            </w:pPr>
            <w:r w:rsidDel="00000000" w:rsidR="00000000" w:rsidRPr="00000000">
              <w:rPr>
                <w:sz w:val="20"/>
                <w:szCs w:val="20"/>
                <w:rtl w:val="0"/>
              </w:rPr>
              <w:t xml:space="preserve">Preparado Por</w:t>
            </w:r>
          </w:p>
        </w:tc>
        <w:tc>
          <w:tcPr>
            <w:tcBorders>
              <w:top w:color="000000" w:space="0" w:sz="0" w:val="nil"/>
              <w:left w:color="000000" w:space="0" w:sz="0" w:val="nil"/>
              <w:bottom w:color="95b3d7" w:space="0" w:sz="9" w:val="single"/>
              <w:right w:color="95b3d7" w:space="0" w:sz="9" w:val="single"/>
            </w:tcBorders>
            <w:tcMar>
              <w:top w:w="0.0" w:type="dxa"/>
              <w:left w:w="100.0" w:type="dxa"/>
              <w:bottom w:w="0.0" w:type="dxa"/>
              <w:right w:w="100.0" w:type="dxa"/>
            </w:tcMar>
          </w:tcPr>
          <w:p w:rsidR="00000000" w:rsidDel="00000000" w:rsidP="00000000" w:rsidRDefault="00000000" w:rsidRPr="00000000" w14:paraId="0000000D">
            <w:pPr>
              <w:spacing w:after="240" w:before="240" w:lineRule="auto"/>
              <w:ind w:left="100" w:right="100" w:firstLine="0"/>
              <w:rPr>
                <w:sz w:val="20"/>
                <w:szCs w:val="20"/>
              </w:rPr>
            </w:pPr>
            <w:r w:rsidDel="00000000" w:rsidR="00000000" w:rsidRPr="00000000">
              <w:rPr>
                <w:sz w:val="20"/>
                <w:szCs w:val="20"/>
                <w:rtl w:val="0"/>
              </w:rPr>
              <w:t xml:space="preserve">César Antonio Gangas Lineros</w:t>
            </w:r>
          </w:p>
        </w:tc>
      </w:tr>
      <w:tr>
        <w:trPr>
          <w:cantSplit w:val="0"/>
          <w:trHeight w:val="345" w:hRule="atLeast"/>
          <w:tblHeader w:val="0"/>
        </w:trPr>
        <w:tc>
          <w:tcPr>
            <w:tcBorders>
              <w:top w:color="000000" w:space="0" w:sz="0" w:val="nil"/>
              <w:left w:color="95b3d7" w:space="0" w:sz="9" w:val="single"/>
              <w:bottom w:color="95b3d7" w:space="0" w:sz="9" w:val="single"/>
              <w:right w:color="95b3d7" w:space="0" w:sz="9" w:val="single"/>
            </w:tcBorders>
            <w:tcMar>
              <w:top w:w="0.0" w:type="dxa"/>
              <w:left w:w="100.0" w:type="dxa"/>
              <w:bottom w:w="0.0" w:type="dxa"/>
              <w:right w:w="100.0" w:type="dxa"/>
            </w:tcMar>
          </w:tcPr>
          <w:p w:rsidR="00000000" w:rsidDel="00000000" w:rsidP="00000000" w:rsidRDefault="00000000" w:rsidRPr="00000000" w14:paraId="0000000E">
            <w:pPr>
              <w:spacing w:after="240" w:before="240" w:lineRule="auto"/>
              <w:ind w:left="100" w:right="100" w:firstLine="0"/>
              <w:rPr>
                <w:sz w:val="20"/>
                <w:szCs w:val="20"/>
              </w:rPr>
            </w:pPr>
            <w:r w:rsidDel="00000000" w:rsidR="00000000" w:rsidRPr="00000000">
              <w:rPr>
                <w:sz w:val="20"/>
                <w:szCs w:val="20"/>
                <w:rtl w:val="0"/>
              </w:rPr>
              <w:t xml:space="preserve">Fecha (mm/dd/yyyy)</w:t>
            </w:r>
          </w:p>
        </w:tc>
        <w:tc>
          <w:tcPr>
            <w:tcBorders>
              <w:top w:color="000000" w:space="0" w:sz="0" w:val="nil"/>
              <w:left w:color="000000" w:space="0" w:sz="0" w:val="nil"/>
              <w:bottom w:color="95b3d7" w:space="0" w:sz="9" w:val="single"/>
              <w:right w:color="95b3d7" w:space="0" w:sz="9" w:val="single"/>
            </w:tcBorders>
            <w:tcMar>
              <w:top w:w="0.0" w:type="dxa"/>
              <w:left w:w="100.0" w:type="dxa"/>
              <w:bottom w:w="0.0" w:type="dxa"/>
              <w:right w:w="100.0" w:type="dxa"/>
            </w:tcMar>
          </w:tcPr>
          <w:p w:rsidR="00000000" w:rsidDel="00000000" w:rsidP="00000000" w:rsidRDefault="00000000" w:rsidRPr="00000000" w14:paraId="0000000F">
            <w:pPr>
              <w:spacing w:after="240" w:before="240" w:lineRule="auto"/>
              <w:ind w:left="100" w:right="100" w:firstLine="0"/>
              <w:rPr>
                <w:sz w:val="20"/>
                <w:szCs w:val="20"/>
              </w:rPr>
            </w:pPr>
            <w:r w:rsidDel="00000000" w:rsidR="00000000" w:rsidRPr="00000000">
              <w:rPr>
                <w:sz w:val="20"/>
                <w:szCs w:val="20"/>
                <w:rtl w:val="0"/>
              </w:rPr>
              <w:t xml:space="preserve">09/09/2026</w:t>
            </w:r>
          </w:p>
        </w:tc>
      </w:tr>
    </w:tbl>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dt>
      <w:sdtPr>
        <w:id w:val="565009504"/>
        <w:docPartObj>
          <w:docPartGallery w:val="Table of Contents"/>
          <w:docPartUnique w:val="1"/>
        </w:docPartObj>
      </w:sdtPr>
      <w:sdtContent>
        <w:p w:rsidR="00000000" w:rsidDel="00000000" w:rsidP="00000000" w:rsidRDefault="00000000" w:rsidRPr="00000000" w14:paraId="00000016">
          <w:pPr>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ljwn5cybzt02">
            <w:r w:rsidDel="00000000" w:rsidR="00000000" w:rsidRPr="00000000">
              <w:rPr>
                <w:b w:val="1"/>
                <w:bCs w:val="1"/>
                <w:color w:val="000000"/>
                <w:u w:val="none"/>
                <w:rtl w:val="0"/>
              </w:rPr>
              <w:t xml:space="preserve">1. Justificación y Objetivos del Proyecto</w:t>
              <w:tab/>
              <w:t xml:space="preserve">3</w:t>
            </w:r>
          </w:hyperlink>
          <w:r w:rsidDel="00000000" w:rsidR="00000000" w:rsidRPr="00000000">
            <w:rPr>
              <w:rtl w:val="0"/>
            </w:rPr>
          </w:r>
        </w:p>
        <w:p w:rsidR="00000000" w:rsidDel="00000000" w:rsidP="00000000" w:rsidRDefault="00000000" w:rsidRPr="00000000" w14:paraId="00000017">
          <w:pPr>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Justificación</w:t>
              <w:tab/>
              <w:t xml:space="preserve">3</w:t>
            </w:r>
          </w:hyperlink>
          <w:r w:rsidDel="00000000" w:rsidR="00000000" w:rsidRPr="00000000">
            <w:rPr>
              <w:rtl w:val="0"/>
            </w:rPr>
          </w:r>
        </w:p>
        <w:p w:rsidR="00000000" w:rsidDel="00000000" w:rsidP="00000000" w:rsidRDefault="00000000" w:rsidRPr="00000000" w14:paraId="00000018">
          <w:pPr>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del Alcance del Producto</w:t>
              <w:tab/>
              <w:t xml:space="preserve">3</w:t>
            </w:r>
          </w:hyperlink>
          <w:r w:rsidDel="00000000" w:rsidR="00000000" w:rsidRPr="00000000">
            <w:rPr>
              <w:rtl w:val="0"/>
            </w:rPr>
          </w:r>
        </w:p>
        <w:p w:rsidR="00000000" w:rsidDel="00000000" w:rsidP="00000000" w:rsidRDefault="00000000" w:rsidRPr="00000000" w14:paraId="00000019">
          <w:pPr>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Entregables del Producto</w:t>
              <w:tab/>
              <w:t xml:space="preserve">3</w:t>
            </w:r>
          </w:hyperlink>
          <w:r w:rsidDel="00000000" w:rsidR="00000000" w:rsidRPr="00000000">
            <w:rPr>
              <w:rtl w:val="0"/>
            </w:rPr>
          </w:r>
        </w:p>
        <w:p w:rsidR="00000000" w:rsidDel="00000000" w:rsidP="00000000" w:rsidRDefault="00000000" w:rsidRPr="00000000" w14:paraId="0000001A">
          <w:pPr>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Entregables del Proyecto</w:t>
              <w:tab/>
              <w:t xml:space="preserve">4</w:t>
            </w:r>
          </w:hyperlink>
          <w:r w:rsidDel="00000000" w:rsidR="00000000" w:rsidRPr="00000000">
            <w:rPr>
              <w:rtl w:val="0"/>
            </w:rPr>
          </w:r>
        </w:p>
        <w:p w:rsidR="00000000" w:rsidDel="00000000" w:rsidP="00000000" w:rsidRDefault="00000000" w:rsidRPr="00000000" w14:paraId="0000001B">
          <w:pPr>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Exclusiones del Alcance (Qué NO incluye el proyecto)</w:t>
              <w:tab/>
              <w:t xml:space="preserve">5</w:t>
            </w:r>
          </w:hyperlink>
          <w:r w:rsidDel="00000000" w:rsidR="00000000" w:rsidRPr="00000000">
            <w:rPr>
              <w:rtl w:val="0"/>
            </w:rPr>
          </w:r>
        </w:p>
        <w:p w:rsidR="00000000" w:rsidDel="00000000" w:rsidP="00000000" w:rsidRDefault="00000000" w:rsidRPr="00000000" w14:paraId="0000001C">
          <w:pPr>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Requerimientos de Alto Nivel del Cliente (Stakeholders)</w:t>
              <w:tab/>
              <w:t xml:space="preserve">5</w:t>
            </w:r>
          </w:hyperlink>
          <w:r w:rsidDel="00000000" w:rsidR="00000000" w:rsidRPr="00000000">
            <w:rPr>
              <w:rtl w:val="0"/>
            </w:rPr>
          </w:r>
        </w:p>
        <w:p w:rsidR="00000000" w:rsidDel="00000000" w:rsidP="00000000" w:rsidRDefault="00000000" w:rsidRPr="00000000" w14:paraId="0000001D">
          <w:pPr>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Factores Ambientales de la Empresa (FAE) y Activos de Procesos (APO)</w:t>
              <w:tab/>
              <w:t xml:space="preserve">5</w:t>
            </w:r>
          </w:hyperlink>
          <w:r w:rsidDel="00000000" w:rsidR="00000000" w:rsidRPr="00000000">
            <w:rPr>
              <w:rtl w:val="0"/>
            </w:rPr>
          </w:r>
        </w:p>
        <w:p w:rsidR="00000000" w:rsidDel="00000000" w:rsidP="00000000" w:rsidRDefault="00000000" w:rsidRPr="00000000" w14:paraId="0000001E">
          <w:pPr>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Factores Ambientales de la Empresa (FAE)</w:t>
              <w:tab/>
              <w:t xml:space="preserve">6</w:t>
            </w:r>
          </w:hyperlink>
          <w:r w:rsidDel="00000000" w:rsidR="00000000" w:rsidRPr="00000000">
            <w:rPr>
              <w:rtl w:val="0"/>
            </w:rPr>
          </w:r>
        </w:p>
        <w:p w:rsidR="00000000" w:rsidDel="00000000" w:rsidP="00000000" w:rsidRDefault="00000000" w:rsidRPr="00000000" w14:paraId="0000001F">
          <w:pPr>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Activos de los Procesos de la Organización (APO)</w:t>
              <w:tab/>
              <w:t xml:space="preserve">6</w:t>
            </w:r>
          </w:hyperlink>
          <w:r w:rsidDel="00000000" w:rsidR="00000000" w:rsidRPr="00000000">
            <w:rPr>
              <w:rtl w:val="0"/>
            </w:rPr>
          </w:r>
        </w:p>
        <w:p w:rsidR="00000000" w:rsidDel="00000000" w:rsidP="00000000" w:rsidRDefault="00000000" w:rsidRPr="00000000" w14:paraId="00000020">
          <w:pPr>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Criterios de Aceptación del Proyecto</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Heading2"/>
        <w:spacing w:after="120" w:before="480" w:line="275" w:lineRule="auto"/>
        <w:rPr>
          <w:color w:val="1b1c1d"/>
        </w:rPr>
      </w:pPr>
      <w:r w:rsidDel="00000000" w:rsidR="00000000" w:rsidRPr="00000000">
        <w:rPr>
          <w:rtl w:val="0"/>
        </w:rPr>
      </w:r>
    </w:p>
    <w:p w:rsidR="00000000" w:rsidDel="00000000" w:rsidP="00000000" w:rsidRDefault="00000000" w:rsidRPr="00000000" w14:paraId="00000022">
      <w:pPr>
        <w:pStyle w:val="Heading2"/>
        <w:spacing w:after="120" w:before="480" w:line="275" w:lineRule="auto"/>
        <w:rPr>
          <w:color w:val="1b1c1d"/>
        </w:rPr>
      </w:pPr>
      <w:r w:rsidDel="00000000" w:rsidR="00000000" w:rsidRPr="00000000">
        <w:rPr>
          <w:rtl w:val="0"/>
        </w:rPr>
      </w:r>
    </w:p>
    <w:p w:rsidR="00000000" w:rsidDel="00000000" w:rsidP="00000000" w:rsidRDefault="00000000" w:rsidRPr="00000000" w14:paraId="00000023">
      <w:pPr>
        <w:pStyle w:val="Heading2"/>
        <w:spacing w:after="120" w:before="480" w:line="275" w:lineRule="auto"/>
        <w:rPr>
          <w:color w:val="1b1c1d"/>
        </w:rPr>
      </w:pPr>
      <w:r w:rsidDel="00000000" w:rsidR="00000000" w:rsidRPr="00000000">
        <w:rPr>
          <w:rtl w:val="0"/>
        </w:rPr>
      </w:r>
    </w:p>
    <w:p w:rsidR="00000000" w:rsidDel="00000000" w:rsidP="00000000" w:rsidRDefault="00000000" w:rsidRPr="00000000" w14:paraId="00000024">
      <w:pPr>
        <w:pStyle w:val="Heading2"/>
        <w:spacing w:after="120" w:before="480" w:line="275" w:lineRule="auto"/>
        <w:rPr>
          <w:color w:val="1b1c1d"/>
        </w:rPr>
      </w:pPr>
      <w:r w:rsidDel="00000000" w:rsidR="00000000" w:rsidRPr="00000000">
        <w:rPr>
          <w:rtl w:val="0"/>
        </w:rPr>
      </w:r>
    </w:p>
    <w:p w:rsidR="00000000" w:rsidDel="00000000" w:rsidP="00000000" w:rsidRDefault="00000000" w:rsidRPr="00000000" w14:paraId="00000025">
      <w:pPr>
        <w:pStyle w:val="Heading2"/>
        <w:spacing w:after="120" w:before="480" w:line="275" w:lineRule="auto"/>
        <w:rPr>
          <w:color w:val="1b1c1d"/>
        </w:rPr>
      </w:pPr>
      <w:r w:rsidDel="00000000" w:rsidR="00000000" w:rsidRPr="00000000">
        <w:rPr>
          <w:rtl w:val="0"/>
        </w:rPr>
      </w:r>
    </w:p>
    <w:p w:rsidR="00000000" w:rsidDel="00000000" w:rsidP="00000000" w:rsidRDefault="00000000" w:rsidRPr="00000000" w14:paraId="00000026">
      <w:pPr>
        <w:pStyle w:val="Heading2"/>
        <w:spacing w:after="120" w:before="480" w:line="275" w:lineRule="auto"/>
        <w:rPr>
          <w:color w:val="1b1c1d"/>
        </w:rPr>
      </w:pPr>
      <w:r w:rsidDel="00000000" w:rsidR="00000000" w:rsidRPr="00000000">
        <w:rPr>
          <w:rtl w:val="0"/>
        </w:rPr>
      </w:r>
    </w:p>
    <w:p w:rsidR="00000000" w:rsidDel="00000000" w:rsidP="00000000" w:rsidRDefault="00000000" w:rsidRPr="00000000" w14:paraId="00000027">
      <w:pPr>
        <w:pStyle w:val="Heading2"/>
        <w:spacing w:after="120" w:before="480" w:line="275" w:lineRule="auto"/>
        <w:rPr>
          <w:color w:val="1b1c1d"/>
        </w:rPr>
      </w:pPr>
      <w:r w:rsidDel="00000000" w:rsidR="00000000" w:rsidRPr="00000000">
        <w:rPr>
          <w:rtl w:val="0"/>
        </w:rPr>
      </w:r>
    </w:p>
    <w:p w:rsidR="00000000" w:rsidDel="00000000" w:rsidP="00000000" w:rsidRDefault="00000000" w:rsidRPr="00000000" w14:paraId="00000028">
      <w:pPr>
        <w:pStyle w:val="Heading2"/>
        <w:spacing w:after="120" w:before="480" w:line="275" w:lineRule="auto"/>
        <w:rPr>
          <w:color w:val="1b1c1d"/>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spacing w:after="120" w:before="480" w:line="275" w:lineRule="auto"/>
        <w:rPr/>
      </w:pPr>
      <w:bookmarkStart w:colFirst="0" w:colLast="0" w:name="_heading=h.ljwn5cybzt02" w:id="2"/>
      <w:bookmarkEnd w:id="2"/>
      <w:r w:rsidDel="00000000" w:rsidR="00000000" w:rsidRPr="00000000">
        <w:rPr>
          <w:rtl w:val="0"/>
        </w:rPr>
        <w:t xml:space="preserve">1. Justificación y Objetivos del Proyecto</w:t>
      </w:r>
    </w:p>
    <w:p w:rsidR="00000000" w:rsidDel="00000000" w:rsidP="00000000" w:rsidRDefault="00000000" w:rsidRPr="00000000" w14:paraId="0000002C">
      <w:pPr>
        <w:pStyle w:val="Heading3"/>
        <w:rPr/>
      </w:pPr>
      <w:r w:rsidDel="00000000" w:rsidR="00000000" w:rsidRPr="00000000">
        <w:rPr>
          <w:rtl w:val="0"/>
        </w:rPr>
        <w:t xml:space="preserve">1.1. Justificación</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120" w:before="120" w:line="275" w:lineRule="auto"/>
        <w:rPr>
          <w:color w:val="1b1c1d"/>
        </w:rPr>
      </w:pPr>
      <w:r w:rsidDel="00000000" w:rsidR="00000000" w:rsidRPr="00000000">
        <w:rPr>
          <w:color w:val="1b1c1d"/>
          <w:rtl w:val="0"/>
        </w:rPr>
        <w:t xml:space="preserve">El alcance de este proyecto será considerado exitoso si se cumplen los siguientes objetivos: </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pacing w:after="120" w:before="120" w:line="275" w:lineRule="auto"/>
        <w:ind w:left="720" w:hanging="360"/>
        <w:rPr>
          <w:color w:val="1b1c1d"/>
        </w:rPr>
      </w:pPr>
      <w:r w:rsidDel="00000000" w:rsidR="00000000" w:rsidRPr="00000000">
        <w:rPr>
          <w:b w:val="1"/>
          <w:bCs w:val="1"/>
          <w:color w:val="1b1c1d"/>
          <w:rtl w:val="0"/>
        </w:rPr>
        <w:t xml:space="preserve">Alcance (Specific):</w:t>
      </w:r>
      <w:r w:rsidDel="00000000" w:rsidR="00000000" w:rsidRPr="00000000">
        <w:rPr>
          <w:color w:val="1b1c1d"/>
          <w:rtl w:val="0"/>
        </w:rPr>
        <w:t xml:space="preserve"> Implementar en producción un ecosistema compuesto por un Perfil Maestro centralizado (Web App), un inyector de datos en el DOM (Extensión Manifest V3), un Escáner ATS impulsado por IA y un tablero Kanban de trazabilidad, operando bajo un entorno cloud escalable. </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pacing w:after="120" w:before="120" w:line="275" w:lineRule="auto"/>
        <w:ind w:left="720" w:hanging="360"/>
        <w:rPr>
          <w:color w:val="1b1c1d"/>
        </w:rPr>
      </w:pPr>
      <w:r w:rsidDel="00000000" w:rsidR="00000000" w:rsidRPr="00000000">
        <w:rPr>
          <w:b w:val="1"/>
          <w:bCs w:val="1"/>
          <w:color w:val="1b1c1d"/>
          <w:rtl w:val="0"/>
        </w:rPr>
        <w:t xml:space="preserve">Tiempo (Time-bound):</w:t>
      </w:r>
      <w:r w:rsidDel="00000000" w:rsidR="00000000" w:rsidRPr="00000000">
        <w:rPr>
          <w:color w:val="1b1c1d"/>
          <w:rtl w:val="0"/>
        </w:rPr>
        <w:t xml:space="preserve"> Completar el ciclo de desarrollo, la integración de servicios y las pruebas automatizadas de certificación (E2E) en el plazo académico estipulado de 18 semanas. </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pacing w:after="120" w:before="120" w:line="275" w:lineRule="auto"/>
        <w:ind w:left="720" w:hanging="360"/>
        <w:rPr>
          <w:color w:val="1b1c1d"/>
        </w:rPr>
      </w:pPr>
      <w:r w:rsidDel="00000000" w:rsidR="00000000" w:rsidRPr="00000000">
        <w:rPr>
          <w:b w:val="1"/>
          <w:bCs w:val="1"/>
          <w:color w:val="1b1c1d"/>
          <w:rtl w:val="0"/>
        </w:rPr>
        <w:t xml:space="preserve">Costo (Measurable):</w:t>
      </w:r>
      <w:r w:rsidDel="00000000" w:rsidR="00000000" w:rsidRPr="00000000">
        <w:rPr>
          <w:color w:val="1b1c1d"/>
          <w:rtl w:val="0"/>
        </w:rPr>
        <w:t xml:space="preserve"> Ejecutar la totalidad de la arquitectura de software manteniendo los costos de infraestructura y licenciamiento en la capa gratuita (Freemium) provista por plataformas Open Source y servicios Cloud (Vercel, Supabase). </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pacing w:after="120" w:before="120" w:line="275" w:lineRule="auto"/>
        <w:ind w:left="720" w:hanging="360"/>
        <w:rPr>
          <w:color w:val="1b1c1d"/>
        </w:rPr>
      </w:pPr>
      <w:r w:rsidDel="00000000" w:rsidR="00000000" w:rsidRPr="00000000">
        <w:rPr>
          <w:b w:val="1"/>
          <w:bCs w:val="1"/>
          <w:color w:val="1b1c1d"/>
          <w:rtl w:val="0"/>
        </w:rPr>
        <w:t xml:space="preserve">Calidad (Achievable):</w:t>
      </w:r>
      <w:r w:rsidDel="00000000" w:rsidR="00000000" w:rsidRPr="00000000">
        <w:rPr>
          <w:color w:val="1b1c1d"/>
          <w:rtl w:val="0"/>
        </w:rPr>
        <w:t xml:space="preserve"> Lograr que la extensión de navegador inyecte correctamente el 100% de los campos obligatorios en portales objetivo (Laborum, Trabajando.com) sin activar bloqueos de red o firewalls. </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pacing w:after="120" w:before="120" w:line="275" w:lineRule="auto"/>
        <w:ind w:left="720" w:hanging="360"/>
        <w:rPr>
          <w:color w:val="1b1c1d"/>
        </w:rPr>
      </w:pPr>
      <w:r w:rsidDel="00000000" w:rsidR="00000000" w:rsidRPr="00000000">
        <w:rPr>
          <w:b w:val="1"/>
          <w:bCs w:val="1"/>
          <w:color w:val="1b1c1d"/>
          <w:rtl w:val="0"/>
        </w:rPr>
        <w:t xml:space="preserve">Riesgo (Relevant):</w:t>
      </w:r>
      <w:r w:rsidDel="00000000" w:rsidR="00000000" w:rsidRPr="00000000">
        <w:rPr>
          <w:color w:val="1b1c1d"/>
          <w:rtl w:val="0"/>
        </w:rPr>
        <w:t xml:space="preserve"> Mitigar las fallas derivadas de mutaciones en el DOM de terceros mediante la ejecución de una suite de pruebas automatizadas diarias en Cypress, garantizando la detención del flujo de desarrollo (límite WIP) ante quiebres de selectores. </w:t>
      </w:r>
    </w:p>
    <w:p w:rsidR="00000000" w:rsidDel="00000000" w:rsidP="00000000" w:rsidRDefault="00000000" w:rsidRPr="00000000" w14:paraId="00000033">
      <w:pPr>
        <w:pStyle w:val="Heading2"/>
        <w:spacing w:after="120" w:before="120" w:line="275" w:lineRule="auto"/>
        <w:rPr>
          <w:color w:val="1b1c1d"/>
        </w:rPr>
      </w:pP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tl w:val="0"/>
        </w:rPr>
        <w:t xml:space="preserve">2. Descripción del Alcance del Producto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El producto final es un ecosistema digital integrado compuesto por cuatro módulos arquitectónicos principales.  </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pStyle w:val="Heading3"/>
        <w:rPr/>
      </w:pPr>
      <w:r w:rsidDel="00000000" w:rsidR="00000000" w:rsidRPr="00000000">
        <w:rPr>
          <w:rtl w:val="0"/>
        </w:rPr>
        <w:t xml:space="preserve">2.1. Entregables del Producto</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20" w:before="120" w:line="275" w:lineRule="auto"/>
              <w:rPr>
                <w:b w:val="1"/>
                <w:bCs w:val="1"/>
                <w:color w:val="1b1c1d"/>
              </w:rPr>
            </w:pPr>
            <w:r w:rsidDel="00000000" w:rsidR="00000000" w:rsidRPr="00000000">
              <w:rPr>
                <w:b w:val="1"/>
                <w:bCs w:val="1"/>
                <w:color w:val="1b1c1d"/>
                <w:rtl w:val="0"/>
              </w:rPr>
              <w:t xml:space="preserve">Módulo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120" w:before="120" w:line="275" w:lineRule="auto"/>
              <w:rPr>
                <w:b w:val="1"/>
                <w:bCs w:val="1"/>
                <w:color w:val="1b1c1d"/>
              </w:rPr>
            </w:pPr>
            <w:r w:rsidDel="00000000" w:rsidR="00000000" w:rsidRPr="00000000">
              <w:rPr>
                <w:b w:val="1"/>
                <w:bCs w:val="1"/>
                <w:color w:val="1b1c1d"/>
                <w:rtl w:val="0"/>
              </w:rPr>
              <w:t xml:space="preserve">Descripción Funcional del Producto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before="120" w:line="275" w:lineRule="auto"/>
              <w:rPr>
                <w:b w:val="1"/>
                <w:bCs w:val="1"/>
                <w:color w:val="1b1c1d"/>
              </w:rPr>
            </w:pPr>
            <w:r w:rsidDel="00000000" w:rsidR="00000000" w:rsidRPr="00000000">
              <w:rPr>
                <w:b w:val="1"/>
                <w:bCs w:val="1"/>
                <w:color w:val="1b1c1d"/>
                <w:rtl w:val="0"/>
              </w:rPr>
              <w:t xml:space="preserve">Criterios de Aceptación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line="275" w:lineRule="auto"/>
              <w:rPr>
                <w:b w:val="1"/>
                <w:bCs w:val="1"/>
                <w:color w:val="1b1c1d"/>
              </w:rPr>
            </w:pPr>
            <w:r w:rsidDel="00000000" w:rsidR="00000000" w:rsidRPr="00000000">
              <w:rPr>
                <w:b w:val="1"/>
                <w:bCs w:val="1"/>
                <w:color w:val="1b1c1d"/>
                <w:rtl w:val="0"/>
              </w:rPr>
              <w:t xml:space="preserve">1. Web App (Frontend Central)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Aplicación desarrollada en React/Next.js para la gestión del Perfil Maestro (RUT, Previsión, etc.) y la visualización del tablero Kanban de postulaciones.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Despliegue exitoso en Vercel. Sincronización en tiempo real del estado de los tickets (To Do, In Progress, Done).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line="275" w:lineRule="auto"/>
              <w:rPr>
                <w:b w:val="1"/>
                <w:bCs w:val="1"/>
                <w:color w:val="1b1c1d"/>
              </w:rPr>
            </w:pPr>
            <w:r w:rsidDel="00000000" w:rsidR="00000000" w:rsidRPr="00000000">
              <w:rPr>
                <w:b w:val="1"/>
                <w:bCs w:val="1"/>
                <w:color w:val="1b1c1d"/>
                <w:rtl w:val="0"/>
              </w:rPr>
              <w:t xml:space="preserve">2. Extensión de Navegador (Client-Side)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Paquete de software basado en Plasmo Framework (Manifest V3) que interactúa directamente con el Virtual DOM de los portales de empleo mediante eventos sintéticos.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Inyección de datos sin originar bloqueos de IP (Cloudflare). Respuesta exclusiva a la interacción humana (On-Click).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line="275" w:lineRule="auto"/>
              <w:rPr>
                <w:b w:val="1"/>
                <w:bCs w:val="1"/>
                <w:color w:val="1b1c1d"/>
              </w:rPr>
            </w:pPr>
            <w:r w:rsidDel="00000000" w:rsidR="00000000" w:rsidRPr="00000000">
              <w:rPr>
                <w:b w:val="1"/>
                <w:bCs w:val="1"/>
                <w:color w:val="1b1c1d"/>
                <w:rtl w:val="0"/>
              </w:rPr>
              <w:t xml:space="preserve">3. API y Escáner ATS (Backend)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Servidor RESTful desarrollado en Python (FastAPI) encargado de orquestar las consultas a la base de datos y comunicarse con la API del LLM para calcular la compatibilidad (Match).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Generación de documentación automática (Swagger/OpenAPI). Tiempos de respuesta inferiores a 2 segundos en el cálculo de 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line="275" w:lineRule="auto"/>
              <w:rPr>
                <w:b w:val="1"/>
                <w:bCs w:val="1"/>
                <w:color w:val="1b1c1d"/>
              </w:rPr>
            </w:pPr>
            <w:r w:rsidDel="00000000" w:rsidR="00000000" w:rsidRPr="00000000">
              <w:rPr>
                <w:b w:val="1"/>
                <w:bCs w:val="1"/>
                <w:color w:val="1b1c1d"/>
                <w:rtl w:val="0"/>
              </w:rPr>
              <w:t xml:space="preserve">4. Base de Datos Relacional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Modelo de datos centralizado en PostgreSQL (alojado en Supabase) para mantener la persistencia transaccional y la localización de los atributos chilenos.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75" w:lineRule="auto"/>
              <w:rPr>
                <w:color w:val="1b1c1d"/>
              </w:rPr>
            </w:pPr>
            <w:r w:rsidDel="00000000" w:rsidR="00000000" w:rsidRPr="00000000">
              <w:rPr>
                <w:color w:val="1b1c1d"/>
                <w:rtl w:val="0"/>
              </w:rPr>
              <w:t xml:space="preserve">Normalización del Modelo Entidad-Relación (MER). Ejecución de consultas eficientes bajo estrictas políticas de RLS (Row Level Security).</w:t>
            </w:r>
          </w:p>
        </w:tc>
      </w:tr>
    </w:tbl>
    <w:p w:rsidR="00000000" w:rsidDel="00000000" w:rsidP="00000000" w:rsidRDefault="00000000" w:rsidRPr="00000000" w14:paraId="00000048">
      <w:pPr>
        <w:pStyle w:val="Heading3"/>
        <w:rPr/>
      </w:pPr>
      <w:r w:rsidDel="00000000" w:rsidR="00000000" w:rsidRPr="00000000">
        <w:rPr>
          <w:rtl w:val="0"/>
        </w:rPr>
        <w:t xml:space="preserve">2.2. Entregables del Proyecto</w:t>
      </w:r>
    </w:p>
    <w:p w:rsidR="00000000" w:rsidDel="00000000" w:rsidP="00000000" w:rsidRDefault="00000000" w:rsidRPr="00000000" w14:paraId="0000004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275" w:lineRule="auto"/>
        <w:ind w:left="1200" w:right="0" w:hanging="360"/>
        <w:jc w:val="left"/>
        <w:rPr>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Backlog de Producto estructurado en Historias de Usuario bajo la sintaxis BDD (Gherkin) dentro de la plataforma Jira.  </w:t>
      </w:r>
    </w:p>
    <w:p w:rsidR="00000000" w:rsidDel="00000000" w:rsidP="00000000" w:rsidRDefault="00000000" w:rsidRPr="00000000" w14:paraId="0000004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5" w:lineRule="auto"/>
        <w:ind w:left="1200" w:right="0" w:hanging="360"/>
        <w:jc w:val="left"/>
        <w:rPr>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Documentación arquitectónica (Diagramas de Componentes, Diagramas de Secuencia y MER).  </w:t>
      </w:r>
    </w:p>
    <w:p w:rsidR="00000000" w:rsidDel="00000000" w:rsidP="00000000" w:rsidRDefault="00000000" w:rsidRPr="00000000" w14:paraId="0000004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5" w:lineRule="auto"/>
        <w:ind w:left="1200" w:right="0" w:hanging="360"/>
        <w:jc w:val="left"/>
        <w:rPr>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Suite de pruebas E2E codificadas en Cypress y reportes de ejecución.  </w:t>
      </w:r>
    </w:p>
    <w:p w:rsidR="00000000" w:rsidDel="00000000" w:rsidP="00000000" w:rsidRDefault="00000000" w:rsidRPr="00000000" w14:paraId="0000004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75" w:lineRule="auto"/>
        <w:ind w:left="1200" w:right="0" w:hanging="360"/>
        <w:jc w:val="left"/>
        <w:rPr>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Informe Técnico de Definición de Proyecto (Fases Formativas y Sumativas).  </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120" w:before="120" w:line="275" w:lineRule="auto"/>
        <w:rPr>
          <w:color w:val="1b1c1d"/>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before="120" w:line="275" w:lineRule="auto"/>
        <w:rPr>
          <w:color w:val="1b1c1d"/>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20" w:before="120" w:line="275" w:lineRule="auto"/>
        <w:rPr>
          <w:color w:val="1b1c1d"/>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before="120" w:line="275" w:lineRule="auto"/>
        <w:rPr>
          <w:color w:val="1b1c1d"/>
        </w:rPr>
      </w:pP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3. Exclusiones del Alcance (Qué NO incluye el proyecto)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20" w:before="120" w:line="275" w:lineRule="auto"/>
        <w:ind w:left="480" w:firstLine="0"/>
        <w:rPr>
          <w:color w:val="1b1c1d"/>
        </w:rPr>
      </w:pPr>
      <w:r w:rsidDel="00000000" w:rsidR="00000000" w:rsidRPr="00000000">
        <w:rPr>
          <w:color w:val="1b1c1d"/>
          <w:rtl w:val="0"/>
        </w:rPr>
        <w:t xml:space="preserve">La omisión de los siguientes elementos es deliberada y necesaria para acotar el proyecto a las restricciones éticas y tecnológicas: </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pacing w:after="120" w:before="120" w:line="275" w:lineRule="auto"/>
        <w:ind w:left="720" w:hanging="360"/>
        <w:rPr>
          <w:color w:val="1b1c1d"/>
        </w:rPr>
      </w:pPr>
      <w:r w:rsidDel="00000000" w:rsidR="00000000" w:rsidRPr="00000000">
        <w:rPr>
          <w:b w:val="1"/>
          <w:bCs w:val="1"/>
          <w:color w:val="1b1c1d"/>
          <w:rtl w:val="0"/>
        </w:rPr>
        <w:t xml:space="preserve">Evasión de Sistemas Antibots:</w:t>
      </w:r>
      <w:r w:rsidDel="00000000" w:rsidR="00000000" w:rsidRPr="00000000">
        <w:rPr>
          <w:color w:val="1b1c1d"/>
          <w:rtl w:val="0"/>
        </w:rPr>
        <w:t xml:space="preserve"> El software no integrará librerías ni lógicas orientadas a la resolución automatizada de CAPTCHAs, reCAPTCHAs o validaciones biométricas. </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pacing w:after="120" w:before="120" w:line="275" w:lineRule="auto"/>
        <w:ind w:left="720" w:hanging="360"/>
        <w:rPr>
          <w:color w:val="1b1c1d"/>
        </w:rPr>
      </w:pPr>
      <w:r w:rsidDel="00000000" w:rsidR="00000000" w:rsidRPr="00000000">
        <w:rPr>
          <w:b w:val="1"/>
          <w:bCs w:val="1"/>
          <w:color w:val="1b1c1d"/>
          <w:rtl w:val="0"/>
        </w:rPr>
        <w:t xml:space="preserve">Web Scraping Masivo desde el Servidor:</w:t>
      </w:r>
      <w:r w:rsidDel="00000000" w:rsidR="00000000" w:rsidRPr="00000000">
        <w:rPr>
          <w:color w:val="1b1c1d"/>
          <w:rtl w:val="0"/>
        </w:rPr>
        <w:t xml:space="preserve"> La extracción y lectura de datos se limitará al contexto del cliente (Browser Extension). No se implementarán scripts de recolección de datos masivos en el backend. </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pacing w:after="120" w:before="120" w:line="275" w:lineRule="auto"/>
        <w:ind w:left="720" w:hanging="360"/>
        <w:rPr>
          <w:color w:val="1b1c1d"/>
        </w:rPr>
      </w:pPr>
      <w:r w:rsidDel="00000000" w:rsidR="00000000" w:rsidRPr="00000000">
        <w:rPr>
          <w:b w:val="1"/>
          <w:bCs w:val="1"/>
          <w:color w:val="1b1c1d"/>
          <w:rtl w:val="0"/>
        </w:rPr>
        <w:t xml:space="preserve">Automatización Total sin Intervención:</w:t>
      </w:r>
      <w:r w:rsidDel="00000000" w:rsidR="00000000" w:rsidRPr="00000000">
        <w:rPr>
          <w:color w:val="1b1c1d"/>
          <w:rtl w:val="0"/>
        </w:rPr>
        <w:t xml:space="preserve"> El sistema requerirá obligatoriamente el disparador humano (clic de confirmación) para iniciar el autocompletado; no operará en segundo plano ejecutando postulaciones no supervisadas. </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pacing w:after="120" w:before="120" w:line="275" w:lineRule="auto"/>
        <w:ind w:left="720" w:hanging="360"/>
        <w:rPr>
          <w:color w:val="1b1c1d"/>
        </w:rPr>
      </w:pPr>
      <w:r w:rsidDel="00000000" w:rsidR="00000000" w:rsidRPr="00000000">
        <w:rPr>
          <w:b w:val="1"/>
          <w:bCs w:val="1"/>
          <w:color w:val="1b1c1d"/>
          <w:rtl w:val="0"/>
        </w:rPr>
        <w:t xml:space="preserve">Desarrollo de Aplicaciones Móviles Nativas:</w:t>
      </w:r>
      <w:r w:rsidDel="00000000" w:rsidR="00000000" w:rsidRPr="00000000">
        <w:rPr>
          <w:color w:val="1b1c1d"/>
          <w:rtl w:val="0"/>
        </w:rPr>
        <w:t xml:space="preserve"> El alcance se restringe a entornos web y navegadores de escritorio (arquitectura Chromium), excluyendo el desarrollo en iOS o Android. </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120" w:before="120" w:line="275" w:lineRule="auto"/>
        <w:ind w:left="480" w:firstLine="0"/>
        <w:rPr>
          <w:color w:val="1b1c1d"/>
        </w:rPr>
      </w:pP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4. Requerimientos de Alto Nivel del Cliente (Stakeholders)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Usuarios Finales (Modelo B2C): Requisito de un flujo de usuario sin fricciones, donde la carga de datos maestros se realice una única vez, reduciendo el tiempo de postulación por vacante.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Instituciones (Modelo B2B): Requisito futuro de un panel de métricas agregadas que permita visualizar las tasas de empleabilidad y éxito de los egresados.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5. Factores Ambientales de la Empresa (FAE) y Activos de Procesos (APO)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rPr/>
      </w:pPr>
      <w:r w:rsidDel="00000000" w:rsidR="00000000" w:rsidRPr="00000000">
        <w:rPr>
          <w:rtl w:val="0"/>
        </w:rPr>
        <w:t xml:space="preserve">5.1. Factores Ambientales de la Empresa (FAE)</w:t>
      </w:r>
    </w:p>
    <w:p w:rsidR="00000000" w:rsidDel="00000000" w:rsidP="00000000" w:rsidRDefault="00000000" w:rsidRPr="00000000" w14:paraId="00000063">
      <w:pPr>
        <w:numPr>
          <w:ilvl w:val="0"/>
          <w:numId w:val="6"/>
        </w:numPr>
        <w:ind w:left="720" w:hanging="360"/>
        <w:rPr/>
      </w:pPr>
      <w:r w:rsidDel="00000000" w:rsidR="00000000" w:rsidRPr="00000000">
        <w:rPr>
          <w:b w:val="1"/>
          <w:bCs w:val="1"/>
          <w:rtl w:val="0"/>
        </w:rPr>
        <w:t xml:space="preserve">Sistemas de Seguridad Externos:</w:t>
      </w:r>
      <w:r w:rsidDel="00000000" w:rsidR="00000000" w:rsidRPr="00000000">
        <w:rPr>
          <w:rtl w:val="0"/>
        </w:rPr>
        <w:t xml:space="preserve"> La presencia de firewalls de aplicaciones web (WAF) como Cloudflare en los portales de empleo, lo cual fuerza el desarrollo de la arquitectura Client-Side para evitar bloqueos por IP. </w:t>
      </w:r>
    </w:p>
    <w:p w:rsidR="00000000" w:rsidDel="00000000" w:rsidP="00000000" w:rsidRDefault="00000000" w:rsidRPr="00000000" w14:paraId="00000064">
      <w:pPr>
        <w:numPr>
          <w:ilvl w:val="0"/>
          <w:numId w:val="6"/>
        </w:numPr>
        <w:ind w:left="720" w:hanging="360"/>
        <w:rPr/>
      </w:pPr>
      <w:r w:rsidDel="00000000" w:rsidR="00000000" w:rsidRPr="00000000">
        <w:rPr>
          <w:b w:val="1"/>
          <w:bCs w:val="1"/>
          <w:rtl w:val="0"/>
        </w:rPr>
        <w:t xml:space="preserve">Mutabilidad de Interfaces de Terceros:</w:t>
      </w:r>
      <w:r w:rsidDel="00000000" w:rsidR="00000000" w:rsidRPr="00000000">
        <w:rPr>
          <w:rtl w:val="0"/>
        </w:rPr>
        <w:t xml:space="preserve"> Las actualizaciones imprevistas en la estructura HTML/CSS de plataformas como Laborum o Trabajando.com representan un factor externo de alto riesgo para los selectores de la extensión. </w:t>
      </w:r>
    </w:p>
    <w:p w:rsidR="00000000" w:rsidDel="00000000" w:rsidP="00000000" w:rsidRDefault="00000000" w:rsidRPr="00000000" w14:paraId="00000065">
      <w:pPr>
        <w:ind w:left="720" w:firstLine="0"/>
        <w:rPr>
          <w:b w:val="1"/>
          <w:bCs w:val="1"/>
        </w:rPr>
      </w:pP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pStyle w:val="Heading3"/>
        <w:rPr/>
      </w:pPr>
      <w:r w:rsidDel="00000000" w:rsidR="00000000" w:rsidRPr="00000000">
        <w:rPr>
          <w:rtl w:val="0"/>
        </w:rPr>
        <w:t xml:space="preserve">5.2. Activos de los Procesos de la Organización (APO)</w:t>
      </w:r>
    </w:p>
    <w:p w:rsidR="00000000" w:rsidDel="00000000" w:rsidP="00000000" w:rsidRDefault="00000000" w:rsidRPr="00000000" w14:paraId="00000068">
      <w:pPr>
        <w:numPr>
          <w:ilvl w:val="0"/>
          <w:numId w:val="1"/>
        </w:numPr>
        <w:ind w:left="720" w:hanging="360"/>
        <w:rPr/>
      </w:pPr>
      <w:r w:rsidDel="00000000" w:rsidR="00000000" w:rsidRPr="00000000">
        <w:rPr>
          <w:b w:val="1"/>
          <w:bCs w:val="1"/>
          <w:rtl w:val="0"/>
        </w:rPr>
        <w:t xml:space="preserve">Rúbricas de Evaluación:</w:t>
      </w:r>
      <w:r w:rsidDel="00000000" w:rsidR="00000000" w:rsidRPr="00000000">
        <w:rPr>
          <w:rtl w:val="0"/>
        </w:rPr>
        <w:t xml:space="preserve"> Se utilizarán los instrumentos de evaluación (1.3, 1.4, 1.6) provistos por Duoc UC como guías de control de calidad para los entregables documentales. </w:t>
      </w:r>
    </w:p>
    <w:p w:rsidR="00000000" w:rsidDel="00000000" w:rsidP="00000000" w:rsidRDefault="00000000" w:rsidRPr="00000000" w14:paraId="00000069">
      <w:pPr>
        <w:numPr>
          <w:ilvl w:val="0"/>
          <w:numId w:val="1"/>
        </w:numPr>
        <w:ind w:left="720" w:hanging="360"/>
        <w:rPr/>
      </w:pPr>
      <w:r w:rsidDel="00000000" w:rsidR="00000000" w:rsidRPr="00000000">
        <w:rPr>
          <w:b w:val="1"/>
          <w:bCs w:val="1"/>
          <w:rtl w:val="0"/>
        </w:rPr>
        <w:t xml:space="preserve">Acuerdos de Trabajo del Equipo:</w:t>
      </w:r>
      <w:r w:rsidDel="00000000" w:rsidR="00000000" w:rsidRPr="00000000">
        <w:rPr>
          <w:rtl w:val="0"/>
        </w:rPr>
        <w:t xml:space="preserve"> Se aplicarán formalmente el </w:t>
      </w:r>
      <w:r w:rsidDel="00000000" w:rsidR="00000000" w:rsidRPr="00000000">
        <w:rPr>
          <w:i w:val="1"/>
          <w:iCs w:val="1"/>
          <w:rtl w:val="0"/>
        </w:rPr>
        <w:t xml:space="preserve">Definition of Ready (DoR)</w:t>
      </w:r>
      <w:r w:rsidDel="00000000" w:rsidR="00000000" w:rsidRPr="00000000">
        <w:rPr>
          <w:rtl w:val="0"/>
        </w:rPr>
        <w:t xml:space="preserve"> y el </w:t>
      </w:r>
      <w:r w:rsidDel="00000000" w:rsidR="00000000" w:rsidRPr="00000000">
        <w:rPr>
          <w:i w:val="1"/>
          <w:iCs w:val="1"/>
          <w:rtl w:val="0"/>
        </w:rPr>
        <w:t xml:space="preserve">Definition of Done (DoD)</w:t>
      </w:r>
      <w:r w:rsidDel="00000000" w:rsidR="00000000" w:rsidRPr="00000000">
        <w:rPr>
          <w:rtl w:val="0"/>
        </w:rPr>
        <w:t xml:space="preserve"> como activos normativos para gestionar el flujo de las Historias de Usuario en el tablero Kanban.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6. Criterios de Aceptación del Proyecto</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20" w:line="275" w:lineRule="auto"/>
        <w:rPr>
          <w:color w:val="1b1c1d"/>
        </w:rPr>
      </w:pPr>
      <w:r w:rsidDel="00000000" w:rsidR="00000000" w:rsidRPr="00000000">
        <w:rPr>
          <w:color w:val="1b1c1d"/>
          <w:rtl w:val="0"/>
        </w:rPr>
        <w:t xml:space="preserve">El proyecto se considerará completo y exitoso una vez que se evidencie el cumplimiento de los siguientes hitos: </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pacing w:after="120" w:line="275" w:lineRule="auto"/>
        <w:ind w:left="720" w:hanging="360"/>
        <w:rPr>
          <w:color w:val="1b1c1d"/>
        </w:rPr>
      </w:pPr>
      <w:r w:rsidDel="00000000" w:rsidR="00000000" w:rsidRPr="00000000">
        <w:rPr>
          <w:b w:val="1"/>
          <w:bCs w:val="1"/>
          <w:color w:val="1b1c1d"/>
          <w:rtl w:val="0"/>
        </w:rPr>
        <w:t xml:space="preserve">Funcionalidad Transaccional:</w:t>
      </w:r>
      <w:r w:rsidDel="00000000" w:rsidR="00000000" w:rsidRPr="00000000">
        <w:rPr>
          <w:color w:val="1b1c1d"/>
          <w:rtl w:val="0"/>
        </w:rPr>
        <w:t xml:space="preserve"> La integración del flujo completo (Ingreso de datos en Web App -&gt; Análisis de IA en Backend -&gt; Inyección en el DOM vía Extensión) debe operar de manera continua y sin excepciones no controladas. </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pacing w:after="120" w:line="275" w:lineRule="auto"/>
        <w:ind w:left="720" w:hanging="360"/>
        <w:rPr>
          <w:color w:val="1b1c1d"/>
        </w:rPr>
      </w:pPr>
      <w:r w:rsidDel="00000000" w:rsidR="00000000" w:rsidRPr="00000000">
        <w:rPr>
          <w:b w:val="1"/>
          <w:bCs w:val="1"/>
          <w:color w:val="1b1c1d"/>
          <w:rtl w:val="0"/>
        </w:rPr>
        <w:t xml:space="preserve">Aseguramiento de Calidad:</w:t>
      </w:r>
      <w:r w:rsidDel="00000000" w:rsidR="00000000" w:rsidRPr="00000000">
        <w:rPr>
          <w:color w:val="1b1c1d"/>
          <w:rtl w:val="0"/>
        </w:rPr>
        <w:t xml:space="preserve"> La rama principal del repositorio de código (</w:t>
      </w:r>
      <w:r w:rsidDel="00000000" w:rsidR="00000000" w:rsidRPr="00000000">
        <w:rPr>
          <w:i w:val="1"/>
          <w:iCs w:val="1"/>
          <w:color w:val="1b1c1d"/>
          <w:rtl w:val="0"/>
        </w:rPr>
        <w:t xml:space="preserve">main/master</w:t>
      </w:r>
      <w:r w:rsidDel="00000000" w:rsidR="00000000" w:rsidRPr="00000000">
        <w:rPr>
          <w:color w:val="1b1c1d"/>
          <w:rtl w:val="0"/>
        </w:rPr>
        <w:t xml:space="preserve">) no podrá fusionar nuevos incrementos sin que estos superen satisfactoriamente las pruebas de regresión automatizadas en Cypress. </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pacing w:after="120" w:line="275" w:lineRule="auto"/>
        <w:ind w:left="720" w:hanging="360"/>
        <w:rPr>
          <w:color w:val="1b1c1d"/>
        </w:rPr>
      </w:pPr>
      <w:r w:rsidDel="00000000" w:rsidR="00000000" w:rsidRPr="00000000">
        <w:rPr>
          <w:b w:val="1"/>
          <w:bCs w:val="1"/>
          <w:color w:val="1b1c1d"/>
          <w:rtl w:val="0"/>
        </w:rPr>
        <w:t xml:space="preserve">Trazabilidad Metodológica:</w:t>
      </w:r>
      <w:r w:rsidDel="00000000" w:rsidR="00000000" w:rsidRPr="00000000">
        <w:rPr>
          <w:color w:val="1b1c1d"/>
          <w:rtl w:val="0"/>
        </w:rPr>
        <w:t xml:space="preserve"> El equipo deberá demostrar la correcta administración del marco Scrumban, evidenciando el respeto por los límites de trabajo en progreso (WIP) y la estructuración del Backlog mediante BDD/Gherkin. </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20" w:line="275" w:lineRule="auto"/>
        <w:rPr/>
      </w:pPr>
      <w:r w:rsidDel="00000000" w:rsidR="00000000" w:rsidRPr="00000000">
        <w:rPr>
          <w:rtl w:val="0"/>
        </w:rPr>
      </w:r>
    </w:p>
    <w:sectPr>
      <w:headerReference r:id="rId7" w:type="default"/>
      <w:foot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widowControl w:val="1"/>
      <w:tabs>
        <w:tab w:val="center" w:leader="none" w:pos="4419"/>
        <w:tab w:val="right" w:leader="none" w:pos="8838"/>
      </w:tabs>
      <w:spacing w:after="200" w:line="276" w:lineRule="auto"/>
      <w:jc w:val="center"/>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widowControl w:val="1"/>
      <w:tabs>
        <w:tab w:val="center" w:leader="none" w:pos="4419"/>
        <w:tab w:val="right" w:leader="none" w:pos="8838"/>
      </w:tabs>
      <w:spacing w:line="276" w:lineRule="auto"/>
      <w:rPr>
        <w:b w:val="1"/>
        <w:bCs w:val="1"/>
        <w:color w:val="0d0d0d"/>
        <w:sz w:val="28"/>
        <w:szCs w:val="28"/>
      </w:rPr>
    </w:pPr>
    <w:r w:rsidDel="00000000" w:rsidR="00000000" w:rsidRPr="00000000">
      <w:rPr>
        <w:b w:val="1"/>
        <w:bCs w:val="1"/>
        <w:color w:val="0d0d0d"/>
        <w:sz w:val="28"/>
        <w:szCs w:val="28"/>
      </w:rPr>
      <w:drawing>
        <wp:inline distB="114300" distT="114300" distL="114300" distR="114300">
          <wp:extent cx="3167063" cy="798419"/>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167063" cy="798419"/>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widowControl w:val="1"/>
      <w:tabs>
        <w:tab w:val="center" w:leader="none" w:pos="4419"/>
        <w:tab w:val="right" w:leader="none" w:pos="8838"/>
      </w:tabs>
      <w:spacing w:line="276" w:lineRule="auto"/>
      <w:jc w:val="right"/>
      <w:rPr>
        <w:color w:val="365f91"/>
        <w:sz w:val="24"/>
        <w:szCs w:val="24"/>
      </w:rPr>
    </w:pPr>
    <w:r w:rsidDel="00000000" w:rsidR="00000000" w:rsidRPr="00000000">
      <w:rPr>
        <w:rtl w:val="0"/>
      </w:rPr>
    </w:r>
  </w:p>
  <w:p w:rsidR="00000000" w:rsidDel="00000000" w:rsidP="00000000" w:rsidRDefault="00000000" w:rsidRPr="00000000" w14:paraId="00000073">
    <w:pPr>
      <w:widowControl w:val="1"/>
      <w:tabs>
        <w:tab w:val="center" w:leader="none" w:pos="4419"/>
        <w:tab w:val="right" w:leader="none" w:pos="8838"/>
      </w:tabs>
      <w:spacing w:line="276" w:lineRule="auto"/>
      <w:jc w:val="right"/>
      <w:rPr>
        <w:color w:val="365f91"/>
        <w:sz w:val="24"/>
        <w:szCs w:val="24"/>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1200" w:hanging="360"/>
      </w:pPr>
      <w:rPr>
        <w:rFonts w:ascii="Noto Sans Symbols" w:cs="Noto Sans Symbols" w:eastAsia="Noto Sans Symbols" w:hAnsi="Noto Sans Symbols"/>
      </w:rPr>
    </w:lvl>
    <w:lvl w:ilvl="1">
      <w:start w:val="1"/>
      <w:numFmt w:val="bullet"/>
      <w:lvlText w:val="o"/>
      <w:lvlJc w:val="left"/>
      <w:pPr>
        <w:ind w:left="1920" w:hanging="360"/>
      </w:pPr>
      <w:rPr>
        <w:rFonts w:ascii="Courier New" w:cs="Courier New" w:eastAsia="Courier New" w:hAnsi="Courier New"/>
      </w:rPr>
    </w:lvl>
    <w:lvl w:ilvl="2">
      <w:start w:val="1"/>
      <w:numFmt w:val="bullet"/>
      <w:lvlText w:val="▪"/>
      <w:lvlJc w:val="left"/>
      <w:pPr>
        <w:ind w:left="2640" w:hanging="360"/>
      </w:pPr>
      <w:rPr>
        <w:rFonts w:ascii="Noto Sans Symbols" w:cs="Noto Sans Symbols" w:eastAsia="Noto Sans Symbols" w:hAnsi="Noto Sans Symbols"/>
      </w:rPr>
    </w:lvl>
    <w:lvl w:ilvl="3">
      <w:start w:val="1"/>
      <w:numFmt w:val="bullet"/>
      <w:lvlText w:val="●"/>
      <w:lvlJc w:val="left"/>
      <w:pPr>
        <w:ind w:left="3360" w:hanging="360"/>
      </w:pPr>
      <w:rPr>
        <w:rFonts w:ascii="Noto Sans Symbols" w:cs="Noto Sans Symbols" w:eastAsia="Noto Sans Symbols" w:hAnsi="Noto Sans Symbols"/>
      </w:rPr>
    </w:lvl>
    <w:lvl w:ilvl="4">
      <w:start w:val="1"/>
      <w:numFmt w:val="bullet"/>
      <w:lvlText w:val="o"/>
      <w:lvlJc w:val="left"/>
      <w:pPr>
        <w:ind w:left="4080" w:hanging="360"/>
      </w:pPr>
      <w:rPr>
        <w:rFonts w:ascii="Courier New" w:cs="Courier New" w:eastAsia="Courier New" w:hAnsi="Courier New"/>
      </w:rPr>
    </w:lvl>
    <w:lvl w:ilvl="5">
      <w:start w:val="1"/>
      <w:numFmt w:val="bullet"/>
      <w:lvlText w:val="▪"/>
      <w:lvlJc w:val="left"/>
      <w:pPr>
        <w:ind w:left="4800" w:hanging="360"/>
      </w:pPr>
      <w:rPr>
        <w:rFonts w:ascii="Noto Sans Symbols" w:cs="Noto Sans Symbols" w:eastAsia="Noto Sans Symbols" w:hAnsi="Noto Sans Symbols"/>
      </w:rPr>
    </w:lvl>
    <w:lvl w:ilvl="6">
      <w:start w:val="1"/>
      <w:numFmt w:val="bullet"/>
      <w:lvlText w:val="●"/>
      <w:lvlJc w:val="left"/>
      <w:pPr>
        <w:ind w:left="5520" w:hanging="360"/>
      </w:pPr>
      <w:rPr>
        <w:rFonts w:ascii="Noto Sans Symbols" w:cs="Noto Sans Symbols" w:eastAsia="Noto Sans Symbols" w:hAnsi="Noto Sans Symbols"/>
      </w:rPr>
    </w:lvl>
    <w:lvl w:ilvl="7">
      <w:start w:val="1"/>
      <w:numFmt w:val="bullet"/>
      <w:lvlText w:val="o"/>
      <w:lvlJc w:val="left"/>
      <w:pPr>
        <w:ind w:left="6240" w:hanging="360"/>
      </w:pPr>
      <w:rPr>
        <w:rFonts w:ascii="Courier New" w:cs="Courier New" w:eastAsia="Courier New" w:hAnsi="Courier New"/>
      </w:rPr>
    </w:lvl>
    <w:lvl w:ilvl="8">
      <w:start w:val="1"/>
      <w:numFmt w:val="bullet"/>
      <w:lvlText w:val="▪"/>
      <w:lvlJc w:val="left"/>
      <w:pPr>
        <w:ind w:left="696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paragraph" w:styleId="Prrafodelista">
    <w:name w:val="List Paragraph"/>
    <w:basedOn w:val="Normal"/>
    <w:uiPriority w:val="34"/>
    <w:qFormat w:val="1"/>
    <w:rsid w:val="007149AF"/>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8ywu0KZkM0bie//c1UwNexXZWQ==">CgMxLjAyDmgubWM4bWl1ZmV0NnJzMg5oLmNqYWoxeTRoMmhrNjIOaC5sanduNWN5Ynp0MDI4AHIhMS14cll5WmdIeWZ5cFhvYU9jaThjdkU4RXRxV0RJVHZ3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2026-09-09T17:34:00Z</dcterms:created>
</cp:coreProperties>
</file>