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0" w:line="264" w:lineRule="auto"/>
        <w:jc w:val="center"/>
      </w:pPr>
      <w:r>
        <w:rPr>
          <w:rFonts w:ascii="Calibri" w:hAnsi="Calibri"/>
          <w:b/>
          <w:color w:val="7A5A00"/>
          <w:sz w:val="21"/>
        </w:rPr>
        <w:t>INSTITUTIONAL PILOT OVERVIEW</w:t>
      </w:r>
    </w:p>
    <w:p>
      <w:pPr>
        <w:spacing w:before="0" w:after="80" w:line="264" w:lineRule="auto"/>
        <w:jc w:val="center"/>
      </w:pPr>
      <w:r>
        <w:rPr>
          <w:rFonts w:ascii="Calibri" w:hAnsi="Calibri"/>
          <w:b/>
          <w:color w:val="0B2545"/>
          <w:sz w:val="56"/>
        </w:rPr>
        <w:t>TheAdvisor</w:t>
      </w:r>
    </w:p>
    <w:p>
      <w:pPr>
        <w:spacing w:before="0" w:after="360" w:line="264" w:lineRule="auto"/>
        <w:jc w:val="center"/>
      </w:pPr>
      <w:r>
        <w:rPr>
          <w:rFonts w:ascii="Calibri" w:hAnsi="Calibri"/>
          <w:color w:val="5B6573"/>
          <w:sz w:val="26"/>
        </w:rPr>
        <w:t>A controlled evaluation platform for systematic trading research, risk governance, and execution evidence</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80" w:type="dxa"/>
              <w:start w:w="120" w:type="dxa"/>
              <w:bottom w:w="80" w:type="dxa"/>
              <w:end w:w="120" w:type="dxa"/>
            </w:tcMar>
            <w:vAlign w:val="center"/>
            <w:shd w:fill="E8EEF5"/>
          </w:tcPr>
          <w:p>
            <w:pPr>
              <w:spacing w:after="0"/>
            </w:pPr>
            <w:r>
              <w:rPr>
                <w:rFonts w:ascii="Calibri" w:hAnsi="Calibri"/>
                <w:b/>
                <w:color w:val="0B2545"/>
                <w:sz w:val="19"/>
              </w:rPr>
              <w:t>Engagement</w:t>
            </w:r>
          </w:p>
        </w:tc>
        <w:tc>
          <w:tcPr>
            <w:tcW w:type="dxa" w:w="4680"/>
            <w:tcMar>
              <w:top w:w="80" w:type="dxa"/>
              <w:start w:w="120" w:type="dxa"/>
              <w:bottom w:w="80" w:type="dxa"/>
              <w:end w:w="120" w:type="dxa"/>
            </w:tcMar>
            <w:vAlign w:val="center"/>
            <w:shd w:fill="E8EEF5"/>
          </w:tcPr>
          <w:p>
            <w:pPr>
              <w:spacing w:after="0"/>
            </w:pPr>
            <w:r>
              <w:rPr>
                <w:rFonts w:ascii="Calibri" w:hAnsi="Calibri"/>
                <w:b/>
                <w:color w:val="0B2545"/>
                <w:sz w:val="19"/>
              </w:rPr>
              <w:t>Institutional technology / trading-risk pilot</w:t>
            </w:r>
          </w:p>
        </w:tc>
      </w:tr>
      <w:tr>
        <w:tc>
          <w:tcPr>
            <w:tcW w:type="dxa" w:w="4680"/>
            <w:tcMar>
              <w:top w:w="80" w:type="dxa"/>
              <w:start w:w="120" w:type="dxa"/>
              <w:bottom w:w="80" w:type="dxa"/>
              <w:end w:w="120" w:type="dxa"/>
            </w:tcMar>
            <w:vAlign w:val="center"/>
            <w:shd w:fill="E8EEF5"/>
          </w:tcPr>
          <w:p>
            <w:pPr>
              <w:spacing w:after="0"/>
            </w:pPr>
            <w:r>
              <w:rPr>
                <w:rFonts w:ascii="Calibri" w:hAnsi="Calibri"/>
                <w:b/>
                <w:color w:val="0B2545"/>
                <w:sz w:val="19"/>
              </w:rPr>
              <w:t>Pilot posture</w:t>
            </w:r>
          </w:p>
        </w:tc>
        <w:tc>
          <w:tcPr>
            <w:tcW w:type="dxa" w:w="4680"/>
            <w:tcMar>
              <w:top w:w="80" w:type="dxa"/>
              <w:start w:w="120" w:type="dxa"/>
              <w:bottom w:w="80" w:type="dxa"/>
              <w:end w:w="120" w:type="dxa"/>
            </w:tcMar>
            <w:vAlign w:val="center"/>
            <w:shd w:fill="E8EEF5"/>
          </w:tcPr>
          <w:p>
            <w:pPr>
              <w:spacing w:after="0"/>
            </w:pPr>
            <w:r>
              <w:rPr>
                <w:rFonts w:ascii="Calibri" w:hAnsi="Calibri"/>
                <w:b/>
                <w:color w:val="0B2545"/>
                <w:sz w:val="19"/>
              </w:rPr>
              <w:t>Shadow first; no custody transfer; no performance claims</w:t>
            </w:r>
          </w:p>
        </w:tc>
      </w:tr>
    </w:tbl>
    <w:p>
      <w:pPr>
        <w:pStyle w:val="Heading1"/>
      </w:pPr>
      <w:r>
        <w:rPr>
          <w:rFonts w:ascii="Calibri" w:hAnsi="Calibri"/>
          <w:b/>
          <w:color w:val="2E74B5"/>
          <w:sz w:val="32"/>
        </w:rPr>
        <w:t>Executive summary</w:t>
      </w:r>
    </w:p>
    <w:p>
      <w:pPr>
        <w:spacing w:before="0" w:after="160" w:line="264" w:lineRule="auto"/>
      </w:pPr>
      <w:r>
        <w:rPr>
          <w:rFonts w:ascii="Calibri" w:hAnsi="Calibri"/>
          <w:color w:val="000000"/>
          <w:sz w:val="22"/>
        </w:rPr>
        <w:t>TheAdvisor is a South African-built .NET platform for governed evaluation of systematic trading workflows. It combines market-data quality controls, pre-trade risk authorisation, MT5 bridge integration, auditability, backtesting, monitoring, and model-governance workflows. The immediate opportunity is a controlled institutional pilot that creates independent evidence before any capital or execution authority is considered.</w:t>
      </w:r>
    </w:p>
    <w:p>
      <w:pPr>
        <w:pStyle w:val="Heading2"/>
      </w:pPr>
      <w:r>
        <w:rPr>
          <w:rFonts w:ascii="Calibri" w:hAnsi="Calibri"/>
          <w:b/>
          <w:color w:val="2E74B5"/>
          <w:sz w:val="26"/>
        </w:rPr>
        <w:t>Why this matters</w:t>
      </w:r>
    </w:p>
    <w:p>
      <w:pPr>
        <w:pStyle w:val="ListBullet"/>
        <w:spacing w:after="80" w:line="280" w:lineRule="auto"/>
        <w:ind w:left="720" w:hanging="360"/>
      </w:pPr>
      <w:r>
        <w:rPr>
          <w:rFonts w:ascii="Calibri" w:hAnsi="Calibri"/>
          <w:color w:val="000000"/>
          <w:sz w:val="22"/>
        </w:rPr>
        <w:t>Systematic strategies need more than signals: institutions must evidence risk limits, decision traceability, model controls, execution quality, and reconciliation.</w:t>
      </w:r>
    </w:p>
    <w:p>
      <w:pPr>
        <w:pStyle w:val="ListBullet"/>
        <w:spacing w:after="80" w:line="280" w:lineRule="auto"/>
        <w:ind w:left="720" w:hanging="360"/>
      </w:pPr>
      <w:r>
        <w:rPr>
          <w:rFonts w:ascii="Calibri" w:hAnsi="Calibri"/>
          <w:color w:val="000000"/>
          <w:sz w:val="22"/>
        </w:rPr>
        <w:t>The platform is designed to begin in Shadow mode, which enables realistic decision logging without placing orders.</w:t>
      </w:r>
    </w:p>
    <w:p>
      <w:pPr>
        <w:pStyle w:val="ListBullet"/>
        <w:spacing w:after="80" w:line="280" w:lineRule="auto"/>
        <w:ind w:left="720" w:hanging="360"/>
      </w:pPr>
      <w:r>
        <w:rPr>
          <w:rFonts w:ascii="Calibri" w:hAnsi="Calibri"/>
          <w:color w:val="000000"/>
          <w:sz w:val="22"/>
        </w:rPr>
        <w:t>A pilot can give an institution a structured way to assess technology fit while retaining control of its environment, data, and account permissions.</w:t>
      </w:r>
    </w:p>
    <w:p>
      <w:pPr>
        <w:pStyle w:val="Heading2"/>
      </w:pPr>
      <w:r>
        <w:rPr>
          <w:rFonts w:ascii="Calibri" w:hAnsi="Calibri"/>
          <w:b/>
          <w:color w:val="2E74B5"/>
          <w:sz w:val="26"/>
        </w:rPr>
        <w:t>Platform capabilities</w:t>
      </w:r>
    </w:p>
    <w:tbl>
      <w:tblPr>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tcMar>
              <w:top w:w="80" w:type="dxa"/>
              <w:start w:w="120" w:type="dxa"/>
              <w:bottom w:w="80" w:type="dxa"/>
              <w:end w:w="120" w:type="dxa"/>
            </w:tcMar>
            <w:vAlign w:val="center"/>
            <w:shd w:fill="F4F6F9"/>
          </w:tcPr>
          <w:p>
            <w:pPr>
              <w:spacing w:after="0"/>
            </w:pPr>
            <w:r>
              <w:rPr>
                <w:rFonts w:ascii="Calibri" w:hAnsi="Calibri"/>
                <w:b/>
                <w:color w:val="0B2545"/>
                <w:sz w:val="19"/>
              </w:rPr>
              <w:t>Capability</w:t>
            </w:r>
          </w:p>
        </w:tc>
        <w:tc>
          <w:tcPr>
            <w:tcW w:type="dxa" w:w="6360"/>
            <w:tcMar>
              <w:top w:w="80" w:type="dxa"/>
              <w:start w:w="120" w:type="dxa"/>
              <w:bottom w:w="80" w:type="dxa"/>
              <w:end w:w="120" w:type="dxa"/>
            </w:tcMar>
            <w:vAlign w:val="center"/>
            <w:shd w:fill="F4F6F9"/>
          </w:tcPr>
          <w:p>
            <w:pPr>
              <w:spacing w:after="0"/>
            </w:pPr>
            <w:r>
              <w:rPr>
                <w:rFonts w:ascii="Calibri" w:hAnsi="Calibri"/>
                <w:b/>
                <w:color w:val="0B2545"/>
                <w:sz w:val="19"/>
              </w:rPr>
              <w:t>Institutional relevance</w:t>
            </w:r>
          </w:p>
        </w:tc>
      </w:tr>
      <w:tr>
        <w:tc>
          <w:tcPr>
            <w:tcW w:type="dxa" w:w="3000"/>
          </w:tcPr>
          <w:p>
            <w:pPr>
              <w:spacing w:after="0"/>
            </w:pPr>
            <w:r>
              <w:rPr>
                <w:rFonts w:ascii="Calibri" w:hAnsi="Calibri"/>
                <w:b/>
                <w:color w:val="000000"/>
                <w:sz w:val="19"/>
              </w:rPr>
              <w:t>Risk authorisation</w:t>
            </w:r>
          </w:p>
        </w:tc>
        <w:tc>
          <w:tcPr>
            <w:tcW w:type="dxa" w:w="6360"/>
          </w:tcPr>
          <w:p>
            <w:pPr>
              <w:spacing w:after="0"/>
            </w:pPr>
            <w:r>
              <w:rPr>
                <w:rFonts w:ascii="Calibri" w:hAnsi="Calibri"/>
                <w:b w:val="0"/>
                <w:color w:val="000000"/>
                <w:sz w:val="19"/>
              </w:rPr>
              <w:t>Pre-trade limits, risk sizing, exposure checks, stop validation, fail-closed trading defaults.</w:t>
            </w:r>
          </w:p>
        </w:tc>
      </w:tr>
      <w:tr>
        <w:tc>
          <w:tcPr>
            <w:tcW w:type="dxa" w:w="3000"/>
          </w:tcPr>
          <w:p>
            <w:pPr>
              <w:spacing w:after="0"/>
            </w:pPr>
            <w:r>
              <w:rPr>
                <w:rFonts w:ascii="Calibri" w:hAnsi="Calibri"/>
                <w:b/>
                <w:color w:val="000000"/>
                <w:sz w:val="19"/>
              </w:rPr>
              <w:t>Execution integration</w:t>
            </w:r>
          </w:p>
        </w:tc>
        <w:tc>
          <w:tcPr>
            <w:tcW w:type="dxa" w:w="6360"/>
          </w:tcPr>
          <w:p>
            <w:pPr>
              <w:spacing w:after="0"/>
            </w:pPr>
            <w:r>
              <w:rPr>
                <w:rFonts w:ascii="Calibri" w:hAnsi="Calibri"/>
                <w:b w:val="0"/>
                <w:color w:val="000000"/>
                <w:sz w:val="19"/>
              </w:rPr>
              <w:t>MT5 EA bridge with authorised submission workflow, replay protection, order-state controls, and broker-facing telemetry.</w:t>
            </w:r>
          </w:p>
        </w:tc>
      </w:tr>
      <w:tr>
        <w:tc>
          <w:tcPr>
            <w:tcW w:type="dxa" w:w="3000"/>
          </w:tcPr>
          <w:p>
            <w:pPr>
              <w:spacing w:after="0"/>
            </w:pPr>
            <w:r>
              <w:rPr>
                <w:rFonts w:ascii="Calibri" w:hAnsi="Calibri"/>
                <w:b/>
                <w:color w:val="000000"/>
                <w:sz w:val="19"/>
              </w:rPr>
              <w:t>Evidence and auditability</w:t>
            </w:r>
          </w:p>
        </w:tc>
        <w:tc>
          <w:tcPr>
            <w:tcW w:type="dxa" w:w="6360"/>
          </w:tcPr>
          <w:p>
            <w:pPr>
              <w:spacing w:after="0"/>
            </w:pPr>
            <w:r>
              <w:rPr>
                <w:rFonts w:ascii="Calibri" w:hAnsi="Calibri"/>
                <w:b w:val="0"/>
                <w:color w:val="000000"/>
                <w:sz w:val="19"/>
              </w:rPr>
              <w:t>Decision traces, gate rejections, configured policies, operational logs, and documented runbooks.</w:t>
            </w:r>
          </w:p>
        </w:tc>
      </w:tr>
      <w:tr>
        <w:tc>
          <w:tcPr>
            <w:tcW w:type="dxa" w:w="3000"/>
          </w:tcPr>
          <w:p>
            <w:pPr>
              <w:spacing w:after="0"/>
            </w:pPr>
            <w:r>
              <w:rPr>
                <w:rFonts w:ascii="Calibri" w:hAnsi="Calibri"/>
                <w:b/>
                <w:color w:val="000000"/>
                <w:sz w:val="19"/>
              </w:rPr>
              <w:t>Model and research controls</w:t>
            </w:r>
          </w:p>
        </w:tc>
        <w:tc>
          <w:tcPr>
            <w:tcW w:type="dxa" w:w="6360"/>
          </w:tcPr>
          <w:p>
            <w:pPr>
              <w:spacing w:after="0"/>
            </w:pPr>
            <w:r>
              <w:rPr>
                <w:rFonts w:ascii="Calibri" w:hAnsi="Calibri"/>
                <w:b w:val="0"/>
                <w:color w:val="000000"/>
                <w:sz w:val="19"/>
              </w:rPr>
              <w:t>Backtesting, walk-forward and learning components, approval/rollback workflow, and staged evidence separation.</w:t>
            </w:r>
          </w:p>
        </w:tc>
      </w:tr>
    </w:tbl>
    <w:p>
      <w:pPr>
        <w:pStyle w:val="Heading2"/>
      </w:pPr>
      <w:r>
        <w:rPr>
          <w:rFonts w:ascii="Calibri" w:hAnsi="Calibri"/>
          <w:b/>
          <w:color w:val="2E74B5"/>
          <w:sz w:val="26"/>
        </w:rPr>
        <w:t>Proposed pilot</w:t>
      </w:r>
    </w:p>
    <w:tbl>
      <w:tblPr>
        <w:tblW w:type="dxa" w:w="9360"/>
        <w:jc w:val="left"/>
        <w:tblLayout w:type="fixed"/>
        <w:tblLook w:firstColumn="1" w:firstRow="1" w:lastColumn="0" w:lastRow="0" w:noHBand="0" w:noVBand="1" w:val="04A0"/>
        <w:tblInd w:w="120" w:type="dxa"/>
      </w:tblPr>
      <w:tblGrid>
        <w:gridCol w:w="1800"/>
        <w:gridCol w:w="1800"/>
        <w:gridCol w:w="5760"/>
      </w:tblGrid>
      <w:tr>
        <w:trPr>
          <w:tblHeader w:val="true"/>
        </w:trPr>
        <w:tc>
          <w:tcPr>
            <w:tcW w:type="dxa" w:w="1800"/>
            <w:tcMar>
              <w:top w:w="80" w:type="dxa"/>
              <w:start w:w="120" w:type="dxa"/>
              <w:bottom w:w="80" w:type="dxa"/>
              <w:end w:w="120" w:type="dxa"/>
            </w:tcMar>
            <w:vAlign w:val="center"/>
            <w:shd w:fill="E8EEF5"/>
          </w:tcPr>
          <w:p>
            <w:pPr>
              <w:spacing w:after="0"/>
            </w:pPr>
            <w:r>
              <w:rPr>
                <w:rFonts w:ascii="Calibri" w:hAnsi="Calibri"/>
                <w:b/>
                <w:color w:val="0B2545"/>
                <w:sz w:val="18"/>
              </w:rPr>
              <w:t>Phase</w:t>
            </w:r>
          </w:p>
        </w:tc>
        <w:tc>
          <w:tcPr>
            <w:tcW w:type="dxa" w:w="1800"/>
            <w:tcMar>
              <w:top w:w="80" w:type="dxa"/>
              <w:start w:w="120" w:type="dxa"/>
              <w:bottom w:w="80" w:type="dxa"/>
              <w:end w:w="120" w:type="dxa"/>
            </w:tcMar>
            <w:vAlign w:val="center"/>
            <w:shd w:fill="E8EEF5"/>
          </w:tcPr>
          <w:p>
            <w:pPr>
              <w:spacing w:after="0"/>
            </w:pPr>
            <w:r>
              <w:rPr>
                <w:rFonts w:ascii="Calibri" w:hAnsi="Calibri"/>
                <w:b/>
                <w:color w:val="0B2545"/>
                <w:sz w:val="18"/>
              </w:rPr>
              <w:t>Indicative period</w:t>
            </w:r>
          </w:p>
        </w:tc>
        <w:tc>
          <w:tcPr>
            <w:tcW w:type="dxa" w:w="5760"/>
            <w:tcMar>
              <w:top w:w="80" w:type="dxa"/>
              <w:start w:w="120" w:type="dxa"/>
              <w:bottom w:w="80" w:type="dxa"/>
              <w:end w:w="120" w:type="dxa"/>
            </w:tcMar>
            <w:vAlign w:val="center"/>
            <w:shd w:fill="E8EEF5"/>
          </w:tcPr>
          <w:p>
            <w:pPr>
              <w:spacing w:after="0"/>
            </w:pPr>
            <w:r>
              <w:rPr>
                <w:rFonts w:ascii="Calibri" w:hAnsi="Calibri"/>
                <w:b/>
                <w:color w:val="0B2545"/>
                <w:sz w:val="18"/>
              </w:rPr>
              <w:t>Outcome</w:t>
            </w:r>
          </w:p>
        </w:tc>
      </w:tr>
      <w:tr>
        <w:tc>
          <w:tcPr>
            <w:tcW w:type="dxa" w:w="1800"/>
          </w:tcPr>
          <w:p>
            <w:pPr>
              <w:spacing w:after="0"/>
            </w:pPr>
            <w:r>
              <w:rPr>
                <w:rFonts w:ascii="Calibri" w:hAnsi="Calibri"/>
                <w:b/>
                <w:color w:val="000000"/>
                <w:sz w:val="17"/>
              </w:rPr>
              <w:t>1. Technical review</w:t>
            </w:r>
          </w:p>
        </w:tc>
        <w:tc>
          <w:tcPr>
            <w:tcW w:type="dxa" w:w="1800"/>
          </w:tcPr>
          <w:p>
            <w:pPr>
              <w:spacing w:after="0"/>
            </w:pPr>
            <w:r>
              <w:rPr>
                <w:rFonts w:ascii="Calibri" w:hAnsi="Calibri"/>
                <w:b w:val="0"/>
                <w:color w:val="000000"/>
                <w:sz w:val="17"/>
              </w:rPr>
              <w:t>2 weeks</w:t>
            </w:r>
          </w:p>
        </w:tc>
        <w:tc>
          <w:tcPr>
            <w:tcW w:type="dxa" w:w="5760"/>
          </w:tcPr>
          <w:p>
            <w:pPr>
              <w:spacing w:after="0"/>
            </w:pPr>
            <w:r>
              <w:rPr>
                <w:rFonts w:ascii="Calibri" w:hAnsi="Calibri"/>
                <w:b w:val="0"/>
                <w:color w:val="000000"/>
                <w:sz w:val="17"/>
              </w:rPr>
              <w:t>Architecture, security, data, broker/EA permission, and acceptance-criteria review.</w:t>
            </w:r>
          </w:p>
        </w:tc>
      </w:tr>
      <w:tr>
        <w:tc>
          <w:tcPr>
            <w:tcW w:type="dxa" w:w="1800"/>
          </w:tcPr>
          <w:p>
            <w:pPr>
              <w:spacing w:after="0"/>
            </w:pPr>
            <w:r>
              <w:rPr>
                <w:rFonts w:ascii="Calibri" w:hAnsi="Calibri"/>
                <w:b/>
                <w:color w:val="000000"/>
                <w:sz w:val="17"/>
              </w:rPr>
              <w:t>2. Shadow operation</w:t>
            </w:r>
          </w:p>
        </w:tc>
        <w:tc>
          <w:tcPr>
            <w:tcW w:type="dxa" w:w="1800"/>
          </w:tcPr>
          <w:p>
            <w:pPr>
              <w:spacing w:after="0"/>
            </w:pPr>
            <w:r>
              <w:rPr>
                <w:rFonts w:ascii="Calibri" w:hAnsi="Calibri"/>
                <w:b w:val="0"/>
                <w:color w:val="000000"/>
                <w:sz w:val="17"/>
              </w:rPr>
              <w:t>30 days</w:t>
            </w:r>
          </w:p>
        </w:tc>
        <w:tc>
          <w:tcPr>
            <w:tcW w:type="dxa" w:w="5760"/>
          </w:tcPr>
          <w:p>
            <w:pPr>
              <w:spacing w:after="0"/>
            </w:pPr>
            <w:r>
              <w:rPr>
                <w:rFonts w:ascii="Calibri" w:hAnsi="Calibri"/>
                <w:b w:val="0"/>
                <w:color w:val="000000"/>
                <w:sz w:val="17"/>
              </w:rPr>
              <w:t>Decision and risk-gate evidence without executable orders.</w:t>
            </w:r>
          </w:p>
        </w:tc>
      </w:tr>
      <w:tr>
        <w:tc>
          <w:tcPr>
            <w:tcW w:type="dxa" w:w="1800"/>
          </w:tcPr>
          <w:p>
            <w:pPr>
              <w:spacing w:after="0"/>
            </w:pPr>
            <w:r>
              <w:rPr>
                <w:rFonts w:ascii="Calibri" w:hAnsi="Calibri"/>
                <w:b/>
                <w:color w:val="000000"/>
                <w:sz w:val="17"/>
              </w:rPr>
              <w:t>3. Demo execution</w:t>
            </w:r>
          </w:p>
        </w:tc>
        <w:tc>
          <w:tcPr>
            <w:tcW w:type="dxa" w:w="1800"/>
          </w:tcPr>
          <w:p>
            <w:pPr>
              <w:spacing w:after="0"/>
            </w:pPr>
            <w:r>
              <w:rPr>
                <w:rFonts w:ascii="Calibri" w:hAnsi="Calibri"/>
                <w:b w:val="0"/>
                <w:color w:val="000000"/>
                <w:sz w:val="17"/>
              </w:rPr>
              <w:t>30-60 days</w:t>
            </w:r>
          </w:p>
        </w:tc>
        <w:tc>
          <w:tcPr>
            <w:tcW w:type="dxa" w:w="5760"/>
          </w:tcPr>
          <w:p>
            <w:pPr>
              <w:spacing w:after="0"/>
            </w:pPr>
            <w:r>
              <w:rPr>
                <w:rFonts w:ascii="Calibri" w:hAnsi="Calibri"/>
                <w:b w:val="0"/>
                <w:color w:val="000000"/>
                <w:sz w:val="17"/>
              </w:rPr>
              <w:t>Institution-controlled demo account to measure reconciliation, slippage, rejects, uptime, and controls.</w:t>
            </w:r>
          </w:p>
        </w:tc>
      </w:tr>
      <w:tr>
        <w:tc>
          <w:tcPr>
            <w:tcW w:type="dxa" w:w="1800"/>
          </w:tcPr>
          <w:p>
            <w:pPr>
              <w:spacing w:after="0"/>
            </w:pPr>
            <w:r>
              <w:rPr>
                <w:rFonts w:ascii="Calibri" w:hAnsi="Calibri"/>
                <w:b/>
                <w:color w:val="000000"/>
                <w:sz w:val="17"/>
              </w:rPr>
              <w:t>4. Decision gate</w:t>
            </w:r>
          </w:p>
        </w:tc>
        <w:tc>
          <w:tcPr>
            <w:tcW w:type="dxa" w:w="1800"/>
          </w:tcPr>
          <w:p>
            <w:pPr>
              <w:spacing w:after="0"/>
            </w:pPr>
            <w:r>
              <w:rPr>
                <w:rFonts w:ascii="Calibri" w:hAnsi="Calibri"/>
                <w:b w:val="0"/>
                <w:color w:val="000000"/>
                <w:sz w:val="17"/>
              </w:rPr>
              <w:t>End of pilot</w:t>
            </w:r>
          </w:p>
        </w:tc>
        <w:tc>
          <w:tcPr>
            <w:tcW w:type="dxa" w:w="5760"/>
          </w:tcPr>
          <w:p>
            <w:pPr>
              <w:spacing w:after="0"/>
            </w:pPr>
            <w:r>
              <w:rPr>
                <w:rFonts w:ascii="Calibri" w:hAnsi="Calibri"/>
                <w:b w:val="0"/>
                <w:color w:val="000000"/>
                <w:sz w:val="17"/>
              </w:rPr>
              <w:t>Agree licence, co-development, further validation, or no-go based on documented evidence.</w:t>
            </w:r>
          </w:p>
        </w:tc>
      </w:tr>
    </w:tbl>
    <w:p>
      <w:r>
        <w:br w:type="page"/>
      </w:r>
    </w:p>
    <w:p>
      <w:pPr>
        <w:pStyle w:val="Heading1"/>
      </w:pPr>
      <w:r>
        <w:rPr>
          <w:rFonts w:ascii="Calibri" w:hAnsi="Calibri"/>
          <w:b/>
          <w:color w:val="2E74B5"/>
          <w:sz w:val="32"/>
        </w:rPr>
        <w:t>Pilot governance and safeguards</w:t>
      </w:r>
    </w:p>
    <w:p>
      <w:pPr>
        <w:pStyle w:val="ListBullet"/>
        <w:spacing w:after="80" w:line="280" w:lineRule="auto"/>
        <w:ind w:left="720" w:hanging="360"/>
      </w:pPr>
      <w:r>
        <w:rPr>
          <w:rFonts w:ascii="Calibri" w:hAnsi="Calibri"/>
          <w:color w:val="000000"/>
          <w:sz w:val="22"/>
        </w:rPr>
        <w:t>Institution-controlled environment: the pilot partner retains account, custody, execution permissions, and data-access control.</w:t>
      </w:r>
    </w:p>
    <w:p>
      <w:pPr>
        <w:pStyle w:val="ListBullet"/>
        <w:spacing w:after="80" w:line="280" w:lineRule="auto"/>
        <w:ind w:left="720" w:hanging="360"/>
      </w:pPr>
      <w:r>
        <w:rPr>
          <w:rFonts w:ascii="Calibri" w:hAnsi="Calibri"/>
          <w:color w:val="000000"/>
          <w:sz w:val="22"/>
        </w:rPr>
        <w:t>Shadow-first validation: no executable authority is required during the initial evidence-gathering phase.</w:t>
      </w:r>
    </w:p>
    <w:p>
      <w:pPr>
        <w:pStyle w:val="ListBullet"/>
        <w:spacing w:after="80" w:line="280" w:lineRule="auto"/>
        <w:ind w:left="720" w:hanging="360"/>
      </w:pPr>
      <w:r>
        <w:rPr>
          <w:rFonts w:ascii="Calibri" w:hAnsi="Calibri"/>
          <w:color w:val="000000"/>
          <w:sz w:val="22"/>
        </w:rPr>
        <w:t>Defined gates: measurable technical and operational acceptance criteria are agreed before proceeding between phases.</w:t>
      </w:r>
    </w:p>
    <w:p>
      <w:pPr>
        <w:pStyle w:val="ListBullet"/>
        <w:spacing w:after="80" w:line="280" w:lineRule="auto"/>
        <w:ind w:left="720" w:hanging="360"/>
      </w:pPr>
      <w:r>
        <w:rPr>
          <w:rFonts w:ascii="Calibri" w:hAnsi="Calibri"/>
          <w:color w:val="000000"/>
          <w:sz w:val="22"/>
        </w:rPr>
        <w:t>Transparent limitations: results are separated by backtest, shadow, demo, and any future authorised live stage; they are not presented as investment-performance claims.</w:t>
      </w:r>
    </w:p>
    <w:p>
      <w:pPr>
        <w:pStyle w:val="Heading2"/>
      </w:pPr>
      <w:r>
        <w:rPr>
          <w:rFonts w:ascii="Calibri" w:hAnsi="Calibri"/>
          <w:b/>
          <w:color w:val="2E74B5"/>
          <w:sz w:val="26"/>
        </w:rPr>
        <w:t>Evidence produced during the pilot</w:t>
      </w:r>
    </w:p>
    <w:tbl>
      <w:tblPr>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tcMar>
              <w:top w:w="80" w:type="dxa"/>
              <w:start w:w="120" w:type="dxa"/>
              <w:bottom w:w="80" w:type="dxa"/>
              <w:end w:w="120" w:type="dxa"/>
            </w:tcMar>
            <w:vAlign w:val="center"/>
            <w:shd w:fill="F4F6F9"/>
          </w:tcPr>
          <w:p>
            <w:pPr>
              <w:spacing w:after="0"/>
            </w:pPr>
            <w:r>
              <w:rPr>
                <w:rFonts w:ascii="Calibri" w:hAnsi="Calibri"/>
                <w:b/>
                <w:color w:val="0B2545"/>
                <w:sz w:val="19"/>
              </w:rPr>
              <w:t>Evidence area</w:t>
            </w:r>
          </w:p>
        </w:tc>
        <w:tc>
          <w:tcPr>
            <w:tcW w:type="dxa" w:w="6360"/>
            <w:tcMar>
              <w:top w:w="80" w:type="dxa"/>
              <w:start w:w="120" w:type="dxa"/>
              <w:bottom w:w="80" w:type="dxa"/>
              <w:end w:w="120" w:type="dxa"/>
            </w:tcMar>
            <w:vAlign w:val="center"/>
            <w:shd w:fill="F4F6F9"/>
          </w:tcPr>
          <w:p>
            <w:pPr>
              <w:spacing w:after="0"/>
            </w:pPr>
            <w:r>
              <w:rPr>
                <w:rFonts w:ascii="Calibri" w:hAnsi="Calibri"/>
                <w:b/>
                <w:color w:val="0B2545"/>
                <w:sz w:val="19"/>
              </w:rPr>
              <w:t>Examples of reviewable output</w:t>
            </w:r>
          </w:p>
        </w:tc>
      </w:tr>
      <w:tr>
        <w:tc>
          <w:tcPr>
            <w:tcW w:type="dxa" w:w="3000"/>
          </w:tcPr>
          <w:p>
            <w:pPr>
              <w:spacing w:after="0"/>
            </w:pPr>
            <w:r>
              <w:rPr>
                <w:rFonts w:ascii="Calibri" w:hAnsi="Calibri"/>
                <w:b/>
                <w:color w:val="000000"/>
                <w:sz w:val="19"/>
              </w:rPr>
              <w:t>Decision quality</w:t>
            </w:r>
          </w:p>
        </w:tc>
        <w:tc>
          <w:tcPr>
            <w:tcW w:type="dxa" w:w="6360"/>
          </w:tcPr>
          <w:p>
            <w:pPr>
              <w:spacing w:after="0"/>
            </w:pPr>
            <w:r>
              <w:rPr>
                <w:rFonts w:ascii="Calibri" w:hAnsi="Calibri"/>
                <w:b w:val="0"/>
                <w:color w:val="000000"/>
                <w:sz w:val="19"/>
              </w:rPr>
              <w:t>Signal volume, gate-rejection reasons, data freshness, configuration versions, and decision traces.</w:t>
            </w:r>
          </w:p>
        </w:tc>
      </w:tr>
      <w:tr>
        <w:tc>
          <w:tcPr>
            <w:tcW w:type="dxa" w:w="3000"/>
          </w:tcPr>
          <w:p>
            <w:pPr>
              <w:spacing w:after="0"/>
            </w:pPr>
            <w:r>
              <w:rPr>
                <w:rFonts w:ascii="Calibri" w:hAnsi="Calibri"/>
                <w:b/>
                <w:color w:val="000000"/>
                <w:sz w:val="19"/>
              </w:rPr>
              <w:t>Execution and reconciliation</w:t>
            </w:r>
          </w:p>
        </w:tc>
        <w:tc>
          <w:tcPr>
            <w:tcW w:type="dxa" w:w="6360"/>
          </w:tcPr>
          <w:p>
            <w:pPr>
              <w:spacing w:after="0"/>
            </w:pPr>
            <w:r>
              <w:rPr>
                <w:rFonts w:ascii="Calibri" w:hAnsi="Calibri"/>
                <w:b w:val="0"/>
                <w:color w:val="000000"/>
                <w:sz w:val="19"/>
              </w:rPr>
              <w:t>Order lifecycle observations, authorised-submission matching, broker response records, unknown-submission handling, and discrepancy tracking.</w:t>
            </w:r>
          </w:p>
        </w:tc>
      </w:tr>
      <w:tr>
        <w:tc>
          <w:tcPr>
            <w:tcW w:type="dxa" w:w="3000"/>
          </w:tcPr>
          <w:p>
            <w:pPr>
              <w:spacing w:after="0"/>
            </w:pPr>
            <w:r>
              <w:rPr>
                <w:rFonts w:ascii="Calibri" w:hAnsi="Calibri"/>
                <w:b/>
                <w:color w:val="000000"/>
                <w:sz w:val="19"/>
              </w:rPr>
              <w:t>Risk and operations</w:t>
            </w:r>
          </w:p>
        </w:tc>
        <w:tc>
          <w:tcPr>
            <w:tcW w:type="dxa" w:w="6360"/>
          </w:tcPr>
          <w:p>
            <w:pPr>
              <w:spacing w:after="0"/>
            </w:pPr>
            <w:r>
              <w:rPr>
                <w:rFonts w:ascii="Calibri" w:hAnsi="Calibri"/>
                <w:b w:val="0"/>
                <w:color w:val="000000"/>
                <w:sz w:val="19"/>
              </w:rPr>
              <w:t>Risk-limit interventions, kill/freeze events, alert history, recovery evidence, and environment-health observations.</w:t>
            </w:r>
          </w:p>
        </w:tc>
      </w:tr>
      <w:tr>
        <w:tc>
          <w:tcPr>
            <w:tcW w:type="dxa" w:w="3000"/>
          </w:tcPr>
          <w:p>
            <w:pPr>
              <w:spacing w:after="0"/>
            </w:pPr>
            <w:r>
              <w:rPr>
                <w:rFonts w:ascii="Calibri" w:hAnsi="Calibri"/>
                <w:b/>
                <w:color w:val="000000"/>
                <w:sz w:val="19"/>
              </w:rPr>
              <w:t>Research and model governance</w:t>
            </w:r>
          </w:p>
        </w:tc>
        <w:tc>
          <w:tcPr>
            <w:tcW w:type="dxa" w:w="6360"/>
          </w:tcPr>
          <w:p>
            <w:pPr>
              <w:spacing w:after="0"/>
            </w:pPr>
            <w:r>
              <w:rPr>
                <w:rFonts w:ascii="Calibri" w:hAnsi="Calibri"/>
                <w:b w:val="0"/>
                <w:color w:val="000000"/>
                <w:sz w:val="19"/>
              </w:rPr>
              <w:t>Reproducible evidence artifacts, approval separation, model/version references, and rollback readiness.</w:t>
            </w:r>
          </w:p>
        </w:tc>
      </w:tr>
    </w:tbl>
    <w:p>
      <w:pPr>
        <w:pStyle w:val="Heading2"/>
      </w:pPr>
      <w:r>
        <w:rPr>
          <w:rFonts w:ascii="Calibri" w:hAnsi="Calibri"/>
          <w:b/>
          <w:color w:val="2E74B5"/>
          <w:sz w:val="26"/>
        </w:rPr>
        <w:t>What we are asking for</w:t>
      </w:r>
    </w:p>
    <w:p>
      <w:pPr>
        <w:pStyle w:val="ListBullet"/>
        <w:spacing w:after="80" w:line="280" w:lineRule="auto"/>
        <w:ind w:left="720" w:hanging="360"/>
      </w:pPr>
      <w:r>
        <w:rPr>
          <w:rFonts w:ascii="Calibri" w:hAnsi="Calibri"/>
          <w:color w:val="000000"/>
          <w:sz w:val="22"/>
        </w:rPr>
        <w:t>A 20-minute discovery discussion with the institution's investment, trading-risk, technology, innovation, or compliance lead.</w:t>
      </w:r>
    </w:p>
    <w:p>
      <w:pPr>
        <w:pStyle w:val="ListBullet"/>
        <w:spacing w:after="80" w:line="280" w:lineRule="auto"/>
        <w:ind w:left="720" w:hanging="360"/>
      </w:pPr>
      <w:r>
        <w:rPr>
          <w:rFonts w:ascii="Calibri" w:hAnsi="Calibri"/>
          <w:color w:val="000000"/>
          <w:sz w:val="22"/>
        </w:rPr>
        <w:t>A controlled demo/sandbox or evaluation environment with written clarity on MT5/EA, data, and reporting permissions.</w:t>
      </w:r>
    </w:p>
    <w:p>
      <w:pPr>
        <w:pStyle w:val="ListBullet"/>
        <w:spacing w:after="80" w:line="280" w:lineRule="auto"/>
        <w:ind w:left="720" w:hanging="360"/>
      </w:pPr>
      <w:r>
        <w:rPr>
          <w:rFonts w:ascii="Calibri" w:hAnsi="Calibri"/>
          <w:color w:val="000000"/>
          <w:sz w:val="22"/>
        </w:rPr>
        <w:t>A jointly agreed pilot charter defining scope, data handling, success measures, stop conditions, and review cadence.</w:t>
      </w:r>
    </w:p>
    <w:p>
      <w:pPr>
        <w:pStyle w:val="Heading2"/>
      </w:pPr>
      <w:r>
        <w:rPr>
          <w:rFonts w:ascii="Calibri" w:hAnsi="Calibri"/>
          <w:b/>
          <w:color w:val="2E74B5"/>
          <w:sz w:val="26"/>
        </w:rPr>
        <w:t>What we are not asking for</w:t>
      </w:r>
    </w:p>
    <w:p>
      <w:pPr>
        <w:spacing w:before="0" w:after="160" w:line="264" w:lineRule="auto"/>
      </w:pPr>
      <w:r>
        <w:rPr>
          <w:rFonts w:ascii="Calibri" w:hAnsi="Calibri"/>
          <w:color w:val="000000"/>
          <w:sz w:val="22"/>
        </w:rPr>
        <w:t>This is not a public investment solicitation, a request for custody of client funds, a request to trade third-party funds outside the institution's controls, or a promise of returns. Any future use involving financial services, discretionary authority, or client money would require the relevant institutional approvals and applicable regulatory review.</w:t>
      </w:r>
    </w:p>
    <w:p>
      <w:pPr>
        <w:pStyle w:val="Heading2"/>
      </w:pPr>
      <w:r>
        <w:rPr>
          <w:rFonts w:ascii="Calibri" w:hAnsi="Calibri"/>
          <w:b/>
          <w:color w:val="2E74B5"/>
          <w:sz w:val="26"/>
        </w:rPr>
        <w:t>Current position and next step</w:t>
      </w:r>
    </w:p>
    <w:p>
      <w:pPr>
        <w:spacing w:before="0" w:after="120" w:line="264" w:lineRule="auto"/>
      </w:pPr>
      <w:r>
        <w:rPr>
          <w:rFonts w:ascii="Calibri" w:hAnsi="Calibri"/>
          <w:color w:val="000000"/>
          <w:sz w:val="22"/>
        </w:rPr>
        <w:t>TheAdvisor is a substantial engineering asset with current internal validation, but it does not claim independently verified revenue, customers, live trading performance, or regulatory approval. The proposed pilot is specifically designed to close the evidence gap safely and transparently.</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40"/>
            </w:pPr>
            <w:r>
              <w:rPr>
                <w:rFonts w:ascii="Calibri" w:hAnsi="Calibri"/>
                <w:b/>
                <w:color w:val="0B2545"/>
                <w:sz w:val="21"/>
              </w:rPr>
              <w:t xml:space="preserve">Requested next step: </w:t>
            </w:r>
            <w:r>
              <w:rPr>
                <w:rFonts w:ascii="Calibri" w:hAnsi="Calibri"/>
                <w:color w:val="0B2545"/>
                <w:sz w:val="21"/>
              </w:rPr>
              <w:t>Please direct this overview to the appropriate technology, quant, trading-risk, innovation, or compliance contact for a preliminary pilot discussion.</w:t>
            </w:r>
          </w:p>
        </w:tc>
      </w:tr>
    </w:tbl>
    <w:p>
      <w:pPr>
        <w:pStyle w:val="Heading2"/>
      </w:pPr>
      <w:r>
        <w:rPr>
          <w:rFonts w:ascii="Calibri" w:hAnsi="Calibri"/>
          <w:b/>
          <w:color w:val="2E74B5"/>
          <w:sz w:val="26"/>
        </w:rPr>
        <w:t>Contact</w:t>
      </w:r>
    </w:p>
    <w:p>
      <w:pPr>
        <w:spacing w:before="0" w:after="40" w:line="264" w:lineRule="auto"/>
      </w:pPr>
      <w:r>
        <w:rPr>
          <w:rFonts w:ascii="Calibri" w:hAnsi="Calibri"/>
          <w:b/>
          <w:color w:val="0B2545"/>
          <w:sz w:val="22"/>
        </w:rPr>
        <w:t xml:space="preserve">Founder: </w:t>
      </w:r>
      <w:r>
        <w:rPr>
          <w:rFonts w:ascii="Calibri" w:hAnsi="Calibri"/>
          <w:color w:val="000000"/>
          <w:sz w:val="22"/>
        </w:rPr>
        <w:t>[Your full name]</w:t>
      </w:r>
    </w:p>
    <w:p>
      <w:pPr>
        <w:spacing w:before="0" w:after="40" w:line="264" w:lineRule="auto"/>
      </w:pPr>
      <w:r>
        <w:rPr>
          <w:rFonts w:ascii="Calibri" w:hAnsi="Calibri"/>
          <w:b/>
          <w:color w:val="0B2545"/>
          <w:sz w:val="22"/>
        </w:rPr>
        <w:t xml:space="preserve">Email: </w:t>
      </w:r>
      <w:r>
        <w:rPr>
          <w:rFonts w:ascii="Calibri" w:hAnsi="Calibri"/>
          <w:color w:val="000000"/>
          <w:sz w:val="22"/>
        </w:rPr>
        <w:t>[Your email address]</w:t>
      </w:r>
    </w:p>
    <w:p>
      <w:pPr>
        <w:spacing w:before="0" w:after="40" w:line="264" w:lineRule="auto"/>
      </w:pPr>
      <w:r>
        <w:rPr>
          <w:rFonts w:ascii="Calibri" w:hAnsi="Calibri"/>
          <w:b/>
          <w:color w:val="0B2545"/>
          <w:sz w:val="22"/>
        </w:rPr>
        <w:t xml:space="preserve">Mobile: </w:t>
      </w:r>
      <w:r>
        <w:rPr>
          <w:rFonts w:ascii="Calibri" w:hAnsi="Calibri"/>
          <w:color w:val="000000"/>
          <w:sz w:val="22"/>
        </w:rPr>
        <w:t>[Your phone number]</w:t>
      </w:r>
    </w:p>
    <w:p>
      <w:pPr>
        <w:spacing w:before="0" w:after="40" w:line="264" w:lineRule="auto"/>
      </w:pPr>
      <w:r>
        <w:rPr>
          <w:rFonts w:ascii="Calibri" w:hAnsi="Calibri"/>
          <w:b/>
          <w:color w:val="0B2545"/>
          <w:sz w:val="22"/>
        </w:rPr>
        <w:t xml:space="preserve">Product: </w:t>
      </w:r>
      <w:r>
        <w:rPr>
          <w:rFonts w:ascii="Calibri" w:hAnsi="Calibri"/>
          <w:color w:val="000000"/>
          <w:sz w:val="22"/>
        </w:rPr>
        <w:t>TheAdvisor | Institutional Pilot Overview</w:t>
      </w:r>
    </w:p>
    <w:p>
      <w:pPr>
        <w:spacing w:before="200" w:after="0" w:line="240" w:lineRule="auto"/>
      </w:pPr>
      <w:r>
        <w:rPr>
          <w:rFonts w:ascii="Calibri" w:hAnsi="Calibri"/>
          <w:i/>
          <w:color w:val="9B1C1C"/>
          <w:sz w:val="17"/>
        </w:rPr>
        <w:t>Discussion document only. Not investment advice, an offer, a solicitation, or a representation of future performance.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7"/>
      </w:rPr>
      <w:t>Confidential discussion draft | 16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8" w:space="6" w:color="D7DBE2"/>
      </w:pBdr>
    </w:pPr>
    <w:r>
      <w:rPr>
        <w:rFonts w:ascii="Calibri" w:hAnsi="Calibri"/>
        <w:b/>
        <w:color w:val="5B6573"/>
        <w:sz w:val="17"/>
      </w:rPr>
      <w:t>THEADVISOR | INSTITUTIONAL PILOT OVERVIEW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TheAdvisor Institutional Pilot Overview</dc:title>
  <dc:subject>Controlled institutional pilot overview</dc:subject>
  <dc:creator>TheAdvisor</dc:creator>
  <cp:keywords/>
  <dc:description/>
  <cp:lastModifiedBy/>
  <cp:revision>1</cp:revision>
  <dcterms:created xsi:type="dcterms:W3CDTF">2013-12-23T23:15:00Z</dcterms:created>
  <dcterms:modified xsi:type="dcterms:W3CDTF">2013-12-23T23:15:00Z</dcterms:modified>
  <cp:category/>
</cp:coreProperties>
</file>