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Chloe Leroux</w:t>
      </w:r>
    </w:p>
    <w:p>
      <w:r>
        <w:rPr>
          <w:b w:val="on"/>
        </w:rPr>
        <w:t>CNE :</w:t>
        <w:tab/>
        <w:tab/>
      </w:r>
      <w:r>
        <w:t>D015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Yasmina EL MORABIT</w:t>
      </w:r>
    </w:p>
    <w:p>
      <w:r>
        <w:rPr>
          <w:b w:val="on"/>
        </w:rPr>
        <w:t xml:space="preserve">  Rapporteur 1 :</w:t>
        <w:tab/>
        <w:tab/>
      </w:r>
      <w:r>
        <w:t>Dari EL YAZID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Yasmina EL MORABIT</w:t>
        <w:tab/>
        <w:tab/>
        <w:tab/>
      </w:r>
      <w:r>
        <w:t>Pr. Dari EL YAZID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