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Pauline Bertrand</w:t>
      </w:r>
    </w:p>
    <w:p>
      <w:r>
        <w:rPr>
          <w:b w:val="on"/>
        </w:rPr>
        <w:t>CNE :</w:t>
        <w:tab/>
        <w:tab/>
      </w:r>
      <w:r>
        <w:t>D017</w:t>
      </w:r>
    </w:p>
    <w:p>
      <w:r>
        <w:rPr>
          <w:b w:val="on"/>
        </w:rPr>
        <w:t>Filière :</w:t>
        <w:tab/>
        <w:tab/>
      </w:r>
      <w:r>
        <w:t>DATA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Tarik BOUDAA</w:t>
      </w:r>
    </w:p>
    <w:p>
      <w:r>
        <w:rPr>
          <w:b w:val="on"/>
        </w:rPr>
        <w:t xml:space="preserve">  Rapporteur 1 :</w:t>
        <w:tab/>
        <w:tab/>
      </w:r>
      <w:r>
        <w:t>Fadwa BOUHAFER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Tarik BOUDAA</w:t>
        <w:tab/>
        <w:tab/>
        <w:tab/>
      </w:r>
      <w:r>
        <w:t>Pr. Fadwa BOUHAFER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2026-05-04T03:56:35Z</dcterms:created>
  <dc:creator>Apache POI</dc:creator>
</cp:coreProperties>
</file>