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Sarah Vincent</w:t>
      </w:r>
    </w:p>
    <w:p>
      <w:r>
        <w:rPr>
          <w:b w:val="on"/>
        </w:rPr>
        <w:t>CNE :</w:t>
        <w:tab/>
        <w:tab/>
      </w:r>
      <w:r>
        <w:t>D019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Nabil KANNOUF</w:t>
      </w:r>
    </w:p>
    <w:p>
      <w:r>
        <w:rPr>
          <w:b w:val="on"/>
        </w:rPr>
        <w:t xml:space="preserve">  Rapporteur 1 :</w:t>
        <w:tab/>
        <w:tab/>
      </w:r>
      <w:r>
        <w:t>Ahmed LAHJOUJIELIDRISSI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Nabil KANNOUF</w:t>
        <w:tab/>
        <w:tab/>
        <w:tab/>
      </w:r>
      <w:r>
        <w:t>Pr. Ahmed LAHJOUJIELIDRISSI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