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Lucas Bernard</w:t>
      </w:r>
    </w:p>
    <w:p>
      <w:r>
        <w:rPr>
          <w:b w:val="on"/>
        </w:rPr>
        <w:t>CNE :</w:t>
        <w:tab/>
        <w:tab/>
      </w:r>
      <w:r>
        <w:t>I002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El wardani DADI</w:t>
      </w:r>
    </w:p>
    <w:p>
      <w:r>
        <w:rPr>
          <w:b w:val="on"/>
        </w:rPr>
        <w:t xml:space="preserve">  Rapporteur 1 :</w:t>
        <w:tab/>
        <w:tab/>
      </w:r>
      <w:r>
        <w:t>Anass ELHADDADI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El wardani DADI</w:t>
        <w:tab/>
        <w:tab/>
        <w:tab/>
      </w:r>
      <w:r>
        <w:t>Pr. Anass ELHADDADI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