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Pierre Richard</w:t>
      </w:r>
    </w:p>
    <w:p>
      <w:r>
        <w:rPr>
          <w:b w:val="on"/>
        </w:rPr>
        <w:t>CNE :</w:t>
        <w:tab/>
        <w:tab/>
      </w:r>
      <w:r>
        <w:t>I006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Hayat ROUTAIB</w:t>
      </w:r>
    </w:p>
    <w:p>
      <w:r>
        <w:rPr>
          <w:b w:val="on"/>
        </w:rPr>
        <w:t xml:space="preserve">  Rapporteur 1 :</w:t>
        <w:tab/>
        <w:tab/>
      </w:r>
      <w:r>
        <w:t>Sara OUALDCHAIB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Hayat ROUTAIB</w:t>
        <w:tab/>
        <w:tab/>
        <w:tab/>
      </w:r>
      <w:r>
        <w:t>Pr. Sara OUALDCHAIB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2026-05-04T03:56:36Z</dcterms:created>
  <dc:creator>Apache POI</dc:creator>
</cp:coreProperties>
</file>