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Elodie Morel</w:t>
      </w:r>
    </w:p>
    <w:p>
      <w:r>
        <w:rPr>
          <w:b w:val="on"/>
        </w:rPr>
        <w:t>CNE :</w:t>
        <w:tab/>
        <w:tab/>
      </w:r>
      <w:r>
        <w:t>T021</w:t>
      </w:r>
    </w:p>
    <w:p>
      <w:r>
        <w:rPr>
          <w:b w:val="on"/>
        </w:rPr>
        <w:t>Filière :</w:t>
        <w:tab/>
        <w:tab/>
      </w:r>
      <w:r>
        <w:t>TDIA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Ibtihal MOUHIB</w:t>
      </w:r>
    </w:p>
    <w:p>
      <w:r>
        <w:rPr>
          <w:b w:val="on"/>
        </w:rPr>
        <w:t xml:space="preserve">  Rapporteur 1 :</w:t>
        <w:tab/>
        <w:tab/>
      </w:r>
      <w:r>
        <w:t>Anouar RAGRAGUI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Ibtihal MOUHIB</w:t>
        <w:tab/>
        <w:tab/>
        <w:tab/>
      </w:r>
      <w:r>
        <w:t>Pr. Anouar RAGRAGUI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