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Manon Andre</w:t>
      </w:r>
    </w:p>
    <w:p>
      <w:r>
        <w:rPr>
          <w:b w:val="on"/>
        </w:rPr>
        <w:t>CNE :</w:t>
        <w:tab/>
        <w:tab/>
      </w:r>
      <w:r>
        <w:t>T023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Achraf BOUMHIDI</w:t>
      </w:r>
    </w:p>
    <w:p>
      <w:r>
        <w:rPr>
          <w:b w:val="on"/>
        </w:rPr>
        <w:t xml:space="preserve">  Rapporteur 1 :</w:t>
        <w:tab/>
        <w:tab/>
      </w:r>
      <w:r>
        <w:t>Mohamed CHERRADI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Achraf BOUMHIDI</w:t>
        <w:tab/>
        <w:tab/>
        <w:tab/>
      </w:r>
      <w:r>
        <w:t>Pr. Mohamed CHERRADI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