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Morgane Guerin</w:t>
      </w:r>
    </w:p>
    <w:p>
      <w:r>
        <w:rPr>
          <w:b w:val="on"/>
        </w:rPr>
        <w:t>CNE :</w:t>
        <w:tab/>
        <w:tab/>
      </w:r>
      <w:r>
        <w:t>T027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Sara OUALDCHAIB</w:t>
      </w:r>
    </w:p>
    <w:p>
      <w:r>
        <w:rPr>
          <w:b w:val="on"/>
        </w:rPr>
        <w:t xml:space="preserve">  Rapporteur 1 :</w:t>
        <w:tab/>
        <w:tab/>
      </w:r>
      <w:r>
        <w:t>Fatima RAFII ZAKANI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Sara OUALDCHAIB</w:t>
        <w:tab/>
        <w:tab/>
        <w:tab/>
      </w:r>
      <w:r>
        <w:t>Pr. Fatima RAFII ZAKANI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