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Aurelie Perrin</w:t>
      </w:r>
    </w:p>
    <w:p>
      <w:r>
        <w:rPr>
          <w:b w:val="on"/>
        </w:rPr>
        <w:t>CNE :</w:t>
        <w:tab/>
        <w:tab/>
      </w:r>
      <w:r>
        <w:t>T029</w:t>
      </w:r>
    </w:p>
    <w:p>
      <w:r>
        <w:rPr>
          <w:b w:val="on"/>
        </w:rPr>
        <w:t>Filière :</w:t>
        <w:tab/>
        <w:tab/>
      </w:r>
      <w:r>
        <w:t>TDIA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Imad BADI</w:t>
      </w:r>
    </w:p>
    <w:p>
      <w:r>
        <w:rPr>
          <w:b w:val="on"/>
        </w:rPr>
        <w:t xml:space="preserve">  Rapporteur 1 :</w:t>
        <w:tab/>
        <w:tab/>
      </w:r>
      <w:r>
        <w:t>Abdelkhalak BAHRI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Imad BADI</w:t>
        <w:tab/>
        <w:tab/>
        <w:tab/>
      </w:r>
      <w:r>
        <w:t>Pr. Abdelkhalak BAHRI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