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9B5D9" w14:textId="72732FE2" w:rsidR="00FF26FE" w:rsidRDefault="00FF26FE" w:rsidP="00FF26FE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</w:pPr>
      <w:r w:rsidRPr="00FF26FE"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>adversarial network</w:t>
      </w:r>
      <w:r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 xml:space="preserve"> encoder embedding – rearrange the cluster information</w:t>
      </w:r>
    </w:p>
    <w:p w14:paraId="4800F62D" w14:textId="5C613F4D" w:rsidR="00B9674A" w:rsidRDefault="00B9674A" w:rsidP="00FF26FE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</w:pPr>
    </w:p>
    <w:p w14:paraId="19C6605D" w14:textId="5689A380" w:rsidR="00B9674A" w:rsidRPr="00B9674A" w:rsidRDefault="00B9674A" w:rsidP="00FF26FE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</w:pPr>
      <w:r>
        <w:rPr>
          <w:rFonts w:ascii="Georgia" w:eastAsia="宋体" w:hAnsi="Georgia" w:cs="宋体" w:hint="eastAsia"/>
          <w:color w:val="000000"/>
          <w:kern w:val="36"/>
          <w:sz w:val="43"/>
          <w:szCs w:val="43"/>
          <w:lang w:val="en"/>
        </w:rPr>
        <w:t>ref</w:t>
      </w:r>
      <w:r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 xml:space="preserve"> </w:t>
      </w:r>
      <w:hyperlink r:id="rId4" w:history="1">
        <w:r>
          <w:rPr>
            <w:rStyle w:val="Hyperlink"/>
          </w:rPr>
          <w:t>http://papers.nips.cc/paper/6699-learning-to-pivot-with-adversarial-networks</w:t>
        </w:r>
      </w:hyperlink>
      <w:bookmarkStart w:id="0" w:name="_GoBack"/>
      <w:bookmarkEnd w:id="0"/>
    </w:p>
    <w:p w14:paraId="5BFD1B89" w14:textId="77777777" w:rsidR="00FF26FE" w:rsidRDefault="00FF26FE"/>
    <w:p w14:paraId="2908632E" w14:textId="77777777" w:rsidR="00FF26FE" w:rsidRDefault="00FF26FE"/>
    <w:p w14:paraId="0857182F" w14:textId="181642AB" w:rsidR="00A350F7" w:rsidRDefault="00FF26FE">
      <w:r>
        <w:rPr>
          <w:noProof/>
        </w:rPr>
        <w:drawing>
          <wp:inline distT="0" distB="0" distL="0" distR="0" wp14:anchorId="05AE13F6" wp14:editId="16A569C9">
            <wp:extent cx="5731510" cy="428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0F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4B"/>
    <w:rsid w:val="00471E4B"/>
    <w:rsid w:val="004811C3"/>
    <w:rsid w:val="00A350F7"/>
    <w:rsid w:val="00B9674A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0CC6"/>
  <w15:chartTrackingRefBased/>
  <w15:docId w15:val="{ED6D36A1-0EB6-4CBC-9B18-AEF75F97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F26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FE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96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apers.nips.cc/paper/6699-learning-to-pivot-with-adversarial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Hu</dc:creator>
  <cp:keywords/>
  <dc:description/>
  <cp:lastModifiedBy>Ximin Hu</cp:lastModifiedBy>
  <cp:revision>3</cp:revision>
  <dcterms:created xsi:type="dcterms:W3CDTF">2020-04-06T23:18:00Z</dcterms:created>
  <dcterms:modified xsi:type="dcterms:W3CDTF">2020-04-06T23:27:00Z</dcterms:modified>
</cp:coreProperties>
</file>