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HomeOps</w:t>
      </w:r>
    </w:p>
    <w:p>
      <w:pPr>
        <w:pStyle w:val="Subtitle"/>
      </w:pPr>
      <w:r>
        <w:t>Fiche de périmètre MVP</w:t>
      </w:r>
    </w:p>
    <w:p>
      <w:pPr>
        <w:pStyle w:val="Heading1"/>
        <w:spacing w:before="240" w:after="140"/>
      </w:pPr>
      <w:r>
        <w:t>Objectif et cadre</w:t>
      </w:r>
    </w:p>
    <w:p>
      <w:r>
        <w:t>HomeOps est une application web auto-hébergée destinée aux détenteurs de homelab. Elle permet d’inventorier les services, de surveiller leur disponibilité, de diagnostiquer les incidents et de démarrer, arrêter ou redémarrer les conteneurs autorisés. Le MVP inclut également un suivi de la consommation électrique à partir d’une prise compatible.</w:t>
      </w:r>
    </w:p>
    <w:p>
      <w:r>
        <w:t>Chaque détenteur héberge sa propre instance et en devient l’unique administrateur. Le projet est développé individuellement, avec des situations de management et de relation client simulées pour la certification. Les premiers essais sont réalisés sur mon lab, puis sur mon homelab personnel.</w:t>
      </w:r>
    </w:p>
    <w:p>
      <w:pPr>
        <w:pStyle w:val="ListBullet"/>
        <w:keepLines/>
      </w:pPr>
      <w:r>
        <w:rPr>
          <w:b/>
        </w:rPr>
        <w:t xml:space="preserve">Limites — </w:t>
      </w:r>
      <w:r>
        <w:t>Un homelab, jusqu’à 20 services surveillés, un seul hôte Docker pilotable et une seule prise de mesure par instance.</w:t>
      </w:r>
    </w:p>
    <w:p>
      <w:pPr>
        <w:pStyle w:val="ListBullet"/>
        <w:keepLines/>
      </w:pPr>
      <w:r>
        <w:rPr>
          <w:b/>
        </w:rPr>
        <w:t xml:space="preserve">Accès — </w:t>
      </w:r>
      <w:r>
        <w:t>Administration sur PC et mobile via VPN, authentification et HTTPS. Le kiosque est un dashboard permanent en lecture seule sur l’écran du homelab.</w:t>
      </w:r>
    </w:p>
    <w:p>
      <w:pPr>
        <w:pStyle w:val="ListBullet"/>
        <w:keepLines/>
      </w:pPr>
      <w:r>
        <w:rPr>
          <w:b/>
        </w:rPr>
        <w:t xml:space="preserve">Indépendance — </w:t>
      </w:r>
      <w:r>
        <w:t>Chaque instance possède sa base, sa configuration et ses accès. Le développeur ne dispose d’aucun accès automatique aux installations des autres utilisateurs.</w:t>
      </w:r>
    </w:p>
    <w:p>
      <w:pPr>
        <w:pStyle w:val="ListBullet"/>
        <w:keepLines/>
      </w:pPr>
      <w:r>
        <w:rPr>
          <w:b/>
        </w:rPr>
        <w:t xml:space="preserve">Environnement initial — </w:t>
      </w:r>
      <w:r>
        <w:t>Lab Docker Compose reproductible avec de vrais services réseau et des pannes maîtrisées ; API de mesure énergétique simulée jusqu’à réception de la prise.</w:t>
      </w:r>
    </w:p>
    <w:p>
      <w:pPr>
        <w:pStyle w:val="Heading1"/>
        <w:spacing w:before="240" w:after="140"/>
      </w:pPr>
      <w:r>
        <w:t>Actions humaines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7710"/>
      </w:tblGrid>
      <w:tr>
        <w:trPr>
          <w:cantSplit/>
          <w:tblHeader/>
        </w:trPr>
        <w:tc>
          <w:tcPr>
            <w:tcW w:type="dxa" w:w="1928"/>
            <w:vAlign w:val="center"/>
            <w:shd w:fill="303940"/>
            <w:tcMar>
              <w:top w:w="90" w:type="dxa"/>
              <w:bottom w:w="90" w:type="dxa"/>
              <w:left w:w="110" w:type="dxa"/>
              <w:right w:w="110" w:type="dxa"/>
            </w:tcMar>
          </w:tcPr>
          <w:p>
            <w:pPr>
              <w:spacing w:after="0" w:line="250" w:lineRule="auto"/>
            </w:pPr>
            <w:r>
              <w:rPr>
                <w:b/>
                <w:color w:val="FFFFFF"/>
                <w:sz w:val="21"/>
              </w:rPr>
              <w:t>Thème</w:t>
            </w:r>
          </w:p>
        </w:tc>
        <w:tc>
          <w:tcPr>
            <w:tcW w:type="dxa" w:w="7710"/>
            <w:vAlign w:val="center"/>
            <w:shd w:fill="303940"/>
            <w:tcMar>
              <w:top w:w="90" w:type="dxa"/>
              <w:bottom w:w="90" w:type="dxa"/>
              <w:left w:w="110" w:type="dxa"/>
              <w:right w:w="110" w:type="dxa"/>
            </w:tcMar>
          </w:tcPr>
          <w:p>
            <w:pPr>
              <w:spacing w:after="0" w:line="250" w:lineRule="auto"/>
            </w:pPr>
            <w:r>
              <w:rPr>
                <w:b/>
                <w:color w:val="FFFFFF"/>
                <w:sz w:val="21"/>
              </w:rPr>
              <w:t>Actions de l’administrateur</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Compte</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Initialiser l’instance avec le secret de déploiement, créer le compte administrateur, se connecter, se déconnecter et modifier son mot de passe.</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Services</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Ajouter, modifier ou supprimer un service ; configurer ses sondes et ses notes ; suspendre ou reprendre sa surveillance ; associer facultativement un conteneur autorisé, sans découverte automatique.</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Consultation</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Consulter le dashboard, les informations techniques et l’historique ; lancer un contrôle immédiat ; ouvrir la vue kiosque.</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Incidents et maintenance</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Acquitter une prise en charge, ajouter une note, activer une maintenance temporaire ou y mettre fin.</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Intervention</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Confirmer le démarrage, l’arrêt ou le redémarrage d’un conteneur autorisé et consulter le résultat.</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Alertes</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Configurer l’adresse de réception et envoyer un courriel de test.</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Énergie</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Configurer la prise et tester sa connexion ; renseigner le prix du kWh ; consulter la puissance, la consommation et le coût estimé sur une période.</w:t>
            </w:r>
          </w:p>
        </w:tc>
      </w:tr>
    </w:tbl>
    <w:p>
      <w:pPr>
        <w:pStyle w:val="Heading1"/>
        <w:spacing w:before="240" w:after="140"/>
      </w:pPr>
      <w:r>
        <w:t>Informations et fonctionnement automatique</w:t>
      </w:r>
    </w:p>
    <w:p>
      <w:r>
        <w:t>L’application présente la disponibilité des services, la configuration et le dernier résultat des sondes, les erreurs, les temps de réponse, l’expiration des certificats et l’état Docker lorsqu’il est accessible. Résultats, incidents, notes et interventions sont horodatés et consultables dans l’historique.</w:t>
      </w:r>
    </w:p>
    <w:p>
      <w:pPr>
        <w:pStyle w:val="ListBullet"/>
        <w:keepLines/>
      </w:pPr>
      <w:r>
        <w:rPr>
          <w:b/>
        </w:rPr>
        <w:t xml:space="preserve">Surveillance — </w:t>
      </w:r>
      <w:r>
        <w:t>Le worker exécute les contrôles HTTP/HTTPS, TCP et d’expiration TLS, puis relève l’état des conteneurs associés.</w:t>
      </w:r>
    </w:p>
    <w:p>
      <w:pPr>
        <w:pStyle w:val="ListBullet"/>
        <w:keepLines/>
      </w:pPr>
      <w:r>
        <w:rPr>
          <w:b/>
        </w:rPr>
        <w:t xml:space="preserve">Détection — </w:t>
      </w:r>
      <w:r>
        <w:t>Les échecs persistants ouvrent un incident ; le rétablissement confirmé le clôture. Des courriels signalent les pannes, rétablissements et échéances TLS.</w:t>
      </w:r>
    </w:p>
    <w:p>
      <w:pPr>
        <w:pStyle w:val="ListBullet"/>
        <w:keepLines/>
      </w:pPr>
      <w:r>
        <w:rPr>
          <w:b/>
        </w:rPr>
        <w:t xml:space="preserve">Exécution — </w:t>
      </w:r>
      <w:r>
        <w:t>Les commandes confirmées sont exécutées et tracées. Les contrôles continuent selon le mode de surveillance choisi.</w:t>
      </w:r>
    </w:p>
    <w:p>
      <w:pPr>
        <w:pStyle w:val="ListBullet"/>
        <w:keepLines/>
      </w:pPr>
      <w:r>
        <w:rPr>
          <w:b/>
        </w:rPr>
        <w:t xml:space="preserve">Actualisation — </w:t>
      </w:r>
      <w:r>
        <w:t>Les maintenances se terminent à l’échéance. L’interface signale les données périmées et les pertes de connexion ; les résultats anciens sont purgés.</w:t>
      </w:r>
    </w:p>
    <w:p>
      <w:pPr>
        <w:pStyle w:val="Heading1"/>
        <w:spacing w:before="240" w:after="140"/>
      </w:pPr>
      <w:r>
        <w:t>Suivi énergétique</w:t>
      </w:r>
    </w:p>
    <w:p>
      <w:r>
        <w:t>Le suivi est facultatif : HomeOps reste utilisable sans prise. La référence retenue pour la première intégration est la Shelly Plug PM Gen3, dédiée à la mesure sans relais marche/arrêt. Le worker interroge son API HTTP locale et lit la réponse JSON toutes les 60 secondes, sans cloud ni plateforme domotique intermédiaire.</w:t>
      </w:r>
    </w:p>
    <w:p>
      <w:pPr>
        <w:pStyle w:val="ListBullet"/>
        <w:keepLines/>
      </w:pPr>
      <w:r>
        <w:rPr>
          <w:b/>
        </w:rPr>
        <w:t xml:space="preserve">Mesures — </w:t>
      </w:r>
      <w:r>
        <w:t>Puissance instantanée en W et énergie cumulée en Wh. HomeOps calcule les kWh consommés sur une période et un coût estimé à partir d’un tarif unique saisi en €/kWh.</w:t>
      </w:r>
    </w:p>
    <w:p>
      <w:pPr>
        <w:pStyle w:val="ListBullet"/>
        <w:keepLines/>
      </w:pPr>
      <w:r>
        <w:rPr>
          <w:b/>
        </w:rPr>
        <w:t xml:space="preserve">Affichage — </w:t>
      </w:r>
      <w:r>
        <w:t>Carte Énergie dans le dashboard : puissance actuelle, consommation du jour, coût estimé et courbe sur 24 h, 7 j ou 30 j. Une section Énergie dans Réglages accueille la configuration ; aucun nouvel onglet principal.</w:t>
      </w:r>
    </w:p>
    <w:p>
      <w:pPr>
        <w:pStyle w:val="ListBullet"/>
        <w:keepLines/>
      </w:pPr>
      <w:r>
        <w:rPr>
          <w:b/>
        </w:rPr>
        <w:t xml:space="preserve">Périmètre mesuré — </w:t>
      </w:r>
      <w:r>
        <w:t>La mesure concerne les appareils alimentés par la prise, dans les limites électriques du matériel. Elle ne fournit pas la consommation de chaque service ou conteneur.</w:t>
      </w:r>
    </w:p>
    <w:p>
      <w:pPr>
        <w:pStyle w:val="ListBullet"/>
        <w:keepLines/>
      </w:pPr>
      <w:r>
        <w:rPr>
          <w:b/>
        </w:rPr>
        <w:t xml:space="preserve">Validation — </w:t>
      </w:r>
      <w:r>
        <w:t>Le lab reproduit le contrat de l’API et les cas d’indisponibilité ou de remise à zéro. Les données simulées sont identifiées ; une recette sur la prise réelle reste obligatoire.</w:t>
      </w:r>
    </w:p>
    <w:p>
      <w:pPr>
        <w:pStyle w:val="Heading1"/>
        <w:spacing w:before="240" w:after="140"/>
      </w:pPr>
      <w:r>
        <w:t>Règles métier de surveillance</w:t>
      </w:r>
    </w:p>
    <w:p>
      <w:pPr>
        <w:pStyle w:val="ListBullet"/>
        <w:keepLines/>
      </w:pPr>
      <w:r>
        <w:rPr>
          <w:b/>
        </w:rPr>
        <w:t xml:space="preserve">RM01 — </w:t>
      </w:r>
      <w:r>
        <w:t>Un service possède un nom, une adresse, éventuellement une description et des notes de dépannage. Il peut disposer de plusieurs sondes, chacune avec sa cible.</w:t>
      </w:r>
    </w:p>
    <w:p>
      <w:pPr>
        <w:pStyle w:val="ListBullet"/>
        <w:keepLines/>
      </w:pPr>
      <w:r>
        <w:rPr>
          <w:b/>
        </w:rPr>
        <w:t xml:space="preserve">RM02 — </w:t>
      </w:r>
      <w:r>
        <w:t>Chaque sonde possède un type, une fréquence et un délai maximal. Une sonde HTTP vérifie un code de réponse attendu.</w:t>
      </w:r>
    </w:p>
    <w:p>
      <w:pPr>
        <w:pStyle w:val="ListBullet"/>
        <w:keepLines/>
      </w:pPr>
      <w:r>
        <w:rPr>
          <w:b/>
        </w:rPr>
        <w:t xml:space="preserve">RM03 — </w:t>
      </w:r>
      <w:r>
        <w:t>Pour les sondes de disponibilité, 3 échecs consécutifs ouvrent un incident et 2 réussites consécutives le clôturent par défaut. Ces seuils sont configurables.</w:t>
      </w:r>
    </w:p>
    <w:p>
      <w:pPr>
        <w:pStyle w:val="ListBullet"/>
        <w:keepLines/>
      </w:pPr>
      <w:r>
        <w:rPr>
          <w:b/>
        </w:rPr>
        <w:t xml:space="preserve">RM04 — </w:t>
      </w:r>
      <w:r>
        <w:t>Une sonde ne possède qu’un incident actif à la fois. Acquitter cet incident signifie « pris en charge », pas « résolu ».</w:t>
      </w:r>
    </w:p>
    <w:p>
      <w:pPr>
        <w:pStyle w:val="ListBullet"/>
        <w:keepLines/>
      </w:pPr>
      <w:r>
        <w:rPr>
          <w:b/>
        </w:rPr>
        <w:t xml:space="preserve">RM05 — </w:t>
      </w:r>
      <w:r>
        <w:t>Le contrôle immédiat est enregistré et participe aux mêmes règles de détection. Il reste possible lorsque la surveillance périodique est suspendue, mais sans ouvrir ni clôturer d’incident dans ce cas.</w:t>
      </w:r>
    </w:p>
    <w:p>
      <w:pPr>
        <w:pStyle w:val="ListBullet"/>
        <w:keepLines/>
      </w:pPr>
      <w:r>
        <w:rPr>
          <w:b/>
        </w:rPr>
        <w:t xml:space="preserve">RM06 — </w:t>
      </w:r>
      <w:r>
        <w:t>Une maintenance conserve les contrôles et l’historique, mais suspend les nouveaux incidents et les notifications. Les incidents existants restent visibles et peuvent être clôturés si le rétablissement est confirmé. À la fin, les compteurs de détection repartent à zéro.</w:t>
      </w:r>
    </w:p>
    <w:p>
      <w:pPr>
        <w:pStyle w:val="ListBullet"/>
        <w:keepLines/>
      </w:pPr>
      <w:r>
        <w:rPr>
          <w:b/>
        </w:rPr>
        <w:t xml:space="preserve">RM07 — </w:t>
      </w:r>
      <w:r>
        <w:t>Suspendre la surveillance arrête les contrôles périodiques sans clôturer les incidents. Sa reprise réinitialise les compteurs de détection.</w:t>
      </w:r>
    </w:p>
    <w:p>
      <w:pPr>
        <w:pStyle w:val="ListBullet"/>
        <w:keepLines/>
      </w:pPr>
      <w:r>
        <w:rPr>
          <w:b/>
        </w:rPr>
        <w:t xml:space="preserve">RM08 — </w:t>
      </w:r>
      <w:r>
        <w:t>Hors maintenance, une notification est envoyée à l’ouverture et à la clôture de l’incident. Les échecs successifs ne produisent pas de notifications répétées.</w:t>
      </w:r>
    </w:p>
    <w:p>
      <w:pPr>
        <w:pStyle w:val="ListBullet"/>
        <w:keepLines/>
      </w:pPr>
      <w:r>
        <w:rPr>
          <w:b/>
        </w:rPr>
        <w:t xml:space="preserve">RM09 — </w:t>
      </w:r>
      <w:r>
        <w:t>Une alerte TLS est envoyée lorsque la durée restante passe sous le seuil configuré, ou dès le premier contrôle si elle est déjà inférieure. Elle n’est pas répétée à chaque contrôle ; un renouvellement réarme l’alerte.</w:t>
      </w:r>
    </w:p>
    <w:p>
      <w:pPr>
        <w:pStyle w:val="ListBullet"/>
        <w:keepLines/>
      </w:pPr>
      <w:r>
        <w:rPr>
          <w:b/>
        </w:rPr>
        <w:t xml:space="preserve">RM10 — </w:t>
      </w:r>
      <w:r>
        <w:t>Une panne confirmée sur une sonde de disponibilité suffit à déclarer le service indisponible. Sans panne confirmée, l’absence de résultats récents empêche de le présenter comme entièrement disponible. Les avertissements TLS sont affichés séparément.</w:t>
      </w:r>
    </w:p>
    <w:p>
      <w:pPr>
        <w:pStyle w:val="ListBullet"/>
        <w:keepLines/>
      </w:pPr>
      <w:r>
        <w:rPr>
          <w:b/>
        </w:rPr>
        <w:t xml:space="preserve">RM11 — </w:t>
      </w:r>
      <w:r>
        <w:t>L’état Docker et la disponibilité applicative sont distincts : un conteneur démarré ne garantit pas que son application fonctionne. Une information Docker inaccessible est indiquée comme inconnue, et non comme « conteneur arrêté ».</w:t>
      </w:r>
    </w:p>
    <w:p>
      <w:pPr>
        <w:pStyle w:val="ListBullet"/>
        <w:keepLines/>
      </w:pPr>
      <w:r>
        <w:rPr>
          <w:b/>
        </w:rPr>
        <w:t xml:space="preserve">RM12 — </w:t>
      </w:r>
      <w:r>
        <w:t>Chaque information de surveillance est horodatée. Elle est considérée comme périmée au-delà de deux intervalles d’actualisation plus le délai maximal du contrôle.</w:t>
      </w:r>
    </w:p>
    <w:p>
      <w:pPr>
        <w:pStyle w:val="Heading1"/>
        <w:spacing w:before="240" w:after="140"/>
      </w:pPr>
      <w:r>
        <w:t>Règles métier de pilotage et de sécurité</w:t>
      </w:r>
    </w:p>
    <w:p>
      <w:pPr>
        <w:pStyle w:val="ListBullet"/>
        <w:keepLines/>
      </w:pPr>
      <w:r>
        <w:rPr>
          <w:b/>
        </w:rPr>
        <w:t xml:space="preserve">RM13 — </w:t>
      </w:r>
      <w:r>
        <w:t>Un service peut être associé à un conteneur pour le pilotage. Les services sans association Docker restent surveillables. Seuls les conteneurs explicitement autorisés peuvent être commandés ; les composants nécessaires à HomeOps sont exclus.</w:t>
      </w:r>
    </w:p>
    <w:p>
      <w:pPr>
        <w:pStyle w:val="ListBullet"/>
        <w:keepLines/>
      </w:pPr>
      <w:r>
        <w:rPr>
          <w:b/>
        </w:rPr>
        <w:t xml:space="preserve">RM14 — </w:t>
      </w:r>
      <w:r>
        <w:t>Chaque démarrage, arrêt ou redémarrage nécessite une confirmation mentionnant la cible. Les autorisations sont vérifiées côté serveur. Une seule opération peut être en cours par conteneur.</w:t>
      </w:r>
    </w:p>
    <w:p>
      <w:pPr>
        <w:pStyle w:val="ListBullet"/>
        <w:keepLines/>
      </w:pPr>
      <w:r>
        <w:rPr>
          <w:b/>
        </w:rPr>
        <w:t xml:space="preserve">RM15 — </w:t>
      </w:r>
      <w:r>
        <w:t>Avant un arrêt volontaire, l’administrateur choisit une maintenance temporaire ou une suspension de surveillance. Cette protection est appliquée avant la commande. En cas d’échec ou de résultat incertain, elle reste visible et peut être levée manuellement.</w:t>
      </w:r>
    </w:p>
    <w:p>
      <w:pPr>
        <w:pStyle w:val="ListBullet"/>
        <w:keepLines/>
      </w:pPr>
      <w:r>
        <w:rPr>
          <w:b/>
        </w:rPr>
        <w:t xml:space="preserve">RM16 — </w:t>
      </w:r>
      <w:r>
        <w:t>Démarrer un conteneur ne lève pas implicitement une maintenance ou une suspension : l’administrateur reprend explicitement la surveillance ou termine la maintenance.</w:t>
      </w:r>
    </w:p>
    <w:p>
      <w:pPr>
        <w:pStyle w:val="ListBullet"/>
        <w:keepLines/>
      </w:pPr>
      <w:r>
        <w:rPr>
          <w:b/>
        </w:rPr>
        <w:t xml:space="preserve">RM17 — </w:t>
      </w:r>
      <w:r>
        <w:t>Une intervention conserve l’action, la date, la cible, l’initiateur et le résultat : en cours, réussi, échoué ou indéterminé. Aucun nouvel essai automatique n’est lancé si le résultat est incertain.</w:t>
      </w:r>
    </w:p>
    <w:p>
      <w:pPr>
        <w:pStyle w:val="ListBullet"/>
        <w:keepLines/>
      </w:pPr>
      <w:r>
        <w:rPr>
          <w:b/>
        </w:rPr>
        <w:t xml:space="preserve">RM18 — </w:t>
      </w:r>
      <w:r>
        <w:t>Le succès d’une commande ne clôture pas un incident. Les sondes doivent confirmer le rétablissement. Si l’hôte ou le connecteur est injoignable, l’impossibilité d’intervenir est signalée.</w:t>
      </w:r>
    </w:p>
    <w:p>
      <w:pPr>
        <w:pStyle w:val="ListBullet"/>
        <w:keepLines/>
      </w:pPr>
      <w:r>
        <w:rPr>
          <w:b/>
        </w:rPr>
        <w:t xml:space="preserve">RM19 — </w:t>
      </w:r>
      <w:r>
        <w:t>Les résultats détaillés sont conservés 30 jours par défaut. Incidents, notes et interventions sont conservés tant que le service existe.</w:t>
      </w:r>
    </w:p>
    <w:p>
      <w:pPr>
        <w:pStyle w:val="ListBullet"/>
        <w:keepLines/>
      </w:pPr>
      <w:r>
        <w:rPr>
          <w:b/>
        </w:rPr>
        <w:t xml:space="preserve">RM20 — </w:t>
      </w:r>
      <w:r>
        <w:t>Supprimer un service supprime ses sondes et son historique après confirmation. Cela ne supprime ni n’arrête le conteneur associé.</w:t>
      </w:r>
    </w:p>
    <w:p>
      <w:pPr>
        <w:pStyle w:val="ListBullet"/>
        <w:keepLines/>
      </w:pPr>
      <w:r>
        <w:rPr>
          <w:b/>
        </w:rPr>
        <w:t xml:space="preserve">RM21 — </w:t>
      </w:r>
      <w:r>
        <w:t>Seul l’administrateur modifie les données ou déclenche une action. L’accès kiosque est restreint côté serveur et n’affiche aucun secret.</w:t>
      </w:r>
    </w:p>
    <w:p>
      <w:pPr>
        <w:pStyle w:val="ListBullet"/>
        <w:keepLines/>
      </w:pPr>
      <w:r>
        <w:rPr>
          <w:b/>
        </w:rPr>
        <w:t xml:space="preserve">RM22 — </w:t>
      </w:r>
      <w:r>
        <w:t>Chaque instance possède un seul compte administrateur dans le MVP. Sa création s’effectue lors d’une initialisation protégée par un secret fourni au déploiement. Une fois le compte créé, ce parcours est désactivé. Aucun identifiant ni mot de passe par défaut n’est codé en dur.</w:t>
      </w:r>
    </w:p>
    <w:p>
      <w:pPr>
        <w:pStyle w:val="Heading1"/>
        <w:spacing w:before="240" w:after="140"/>
      </w:pPr>
      <w:r>
        <w:t>Règles métier du suivi énergétique</w:t>
      </w:r>
    </w:p>
    <w:p>
      <w:pPr>
        <w:pStyle w:val="ListBullet"/>
        <w:keepLines/>
      </w:pPr>
      <w:r>
        <w:rPr>
          <w:b/>
        </w:rPr>
        <w:t xml:space="preserve">RM23 — </w:t>
      </w:r>
      <w:r>
        <w:t>Une seule prise compatible peut être configurée par instance. HomeOps en lit les mesures ; aucune commande de coupure électrique n’est proposée. L’adresse et les éventuels identifiants sont externalisés et ne sont jamais exposés au kiosque.</w:t>
      </w:r>
    </w:p>
    <w:p>
      <w:pPr>
        <w:pStyle w:val="ListBullet"/>
        <w:keepLines/>
      </w:pPr>
      <w:r>
        <w:rPr>
          <w:b/>
        </w:rPr>
        <w:t xml:space="preserve">RM24 — </w:t>
      </w:r>
      <w:r>
        <w:t>Les consommations sont calculées par différence entre compteurs cumulés, puis converties en kWh. Une remise à zéro ou un remplacement ouvre une nouvelle référence de calcul, sans produire de consommation négative. Les périodes incomplètes sont signalées.</w:t>
      </w:r>
    </w:p>
    <w:p>
      <w:pPr>
        <w:pStyle w:val="ListBullet"/>
        <w:keepLines/>
      </w:pPr>
      <w:r>
        <w:rPr>
          <w:b/>
        </w:rPr>
        <w:t xml:space="preserve">RM25 — </w:t>
      </w:r>
      <w:r>
        <w:t>Chaque relevé est horodaté. En cas d’absence de donnée récente, la valeur est indiquée comme indisponible ou périmée selon RM12, jamais remplacée par zéro. Une panne de collecte ne modifie pas la disponibilité des services surveillés.</w:t>
      </w:r>
    </w:p>
    <w:p>
      <w:pPr>
        <w:pStyle w:val="ListBullet"/>
        <w:keepLines/>
      </w:pPr>
      <w:r>
        <w:rPr>
          <w:b/>
        </w:rPr>
        <w:t xml:space="preserve">RM26 — </w:t>
      </w:r>
      <w:r>
        <w:t>Les relevés énergétiques sont conservés 30 jours par défaut. Le coût est une estimation hors abonnement, calculée avec le tarif actuellement renseigné ; changer ce tarif recalcule l’estimation affichée. Aucun calcul carbone ni tarif heures pleines ou creuses dans le MVP.</w:t>
      </w:r>
    </w:p>
    <w:p>
      <w:pPr>
        <w:pStyle w:val="Heading1"/>
        <w:spacing w:before="240" w:after="140"/>
      </w:pPr>
      <w:r>
        <w:t>Écrans prévus</w:t>
      </w:r>
    </w:p>
    <w:p>
      <w:r>
        <w:t>L’interface est responsive ; les mêmes actions administratives sont disponibles sur PC et mobile. La PWA permet l’installation sur les appareils compatibles. Les notifications du MVP sont envoyées par courriel.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7710"/>
      </w:tblGrid>
      <w:tr>
        <w:trPr>
          <w:cantSplit/>
          <w:tblHeader/>
        </w:trPr>
        <w:tc>
          <w:tcPr>
            <w:tcW w:type="dxa" w:w="1928"/>
            <w:vAlign w:val="center"/>
            <w:shd w:fill="303940"/>
            <w:tcMar>
              <w:top w:w="90" w:type="dxa"/>
              <w:bottom w:w="90" w:type="dxa"/>
              <w:left w:w="110" w:type="dxa"/>
              <w:right w:w="110" w:type="dxa"/>
            </w:tcMar>
          </w:tcPr>
          <w:p>
            <w:pPr>
              <w:spacing w:after="0" w:line="250" w:lineRule="auto"/>
            </w:pPr>
            <w:r>
              <w:rPr>
                <w:b/>
                <w:color w:val="FFFFFF"/>
                <w:sz w:val="21"/>
              </w:rPr>
              <w:t>Écran</w:t>
            </w:r>
          </w:p>
        </w:tc>
        <w:tc>
          <w:tcPr>
            <w:tcW w:type="dxa" w:w="7710"/>
            <w:vAlign w:val="center"/>
            <w:shd w:fill="303940"/>
            <w:tcMar>
              <w:top w:w="90" w:type="dxa"/>
              <w:bottom w:w="90" w:type="dxa"/>
              <w:left w:w="110" w:type="dxa"/>
              <w:right w:w="110" w:type="dxa"/>
            </w:tcMar>
          </w:tcPr>
          <w:p>
            <w:pPr>
              <w:spacing w:after="0" w:line="250" w:lineRule="auto"/>
            </w:pPr>
            <w:r>
              <w:rPr>
                <w:b/>
                <w:color w:val="FFFFFF"/>
                <w:sz w:val="21"/>
              </w:rPr>
              <w:t>Contenu</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Initialisation et connexion</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Vérification du secret, création du compte lors de la première installation, puis identification. Le parcours d’initialisation est fermé après création du compte.</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Tableau de bord</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Services, disponibilité, incidents actifs, avertissements et carte Énergie. Le détail énergétique s’ouvre depuis cette carte.</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Services</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Inventaire et fiche détaillée : configuration, sondes, notes, état Docker, contrôle immédiat, commandes, maintenance et historique.</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Incidents</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Liste, chronologie, prise en charge, notes et accès aux interventions.</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Réglages et profil</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Courriel d’alerte, paramètres généraux, état du connecteur Docker et configuration Énergie ; accès à la gestion du compte, au changement de mot de passe et à la déconnexion.</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Kiosque</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Dashboard lisible à distance et en lecture seule ; synthèse énergétique si une prise est configurée.</w:t>
            </w:r>
          </w:p>
        </w:tc>
      </w:tr>
    </w:tbl>
    <w:p>
      <w:pPr>
        <w:pStyle w:val="Heading1"/>
        <w:spacing w:before="240" w:after="140"/>
      </w:pPr>
      <w:r>
        <w:t>Lab et passage au homelab</w:t>
      </w:r>
    </w:p>
    <w:p>
      <w:r>
        <w:t>Le lab permet de développer sans attendre le matériel. Les sondes effectuent de vraies requêtes HTTP, TCP et HTTPS ; des conteneurs autorisés permettent de tester les interventions. Seule la source énergétique est simulée avant sa validation matérielle.</w:t>
      </w:r>
    </w:p>
    <w:p>
      <w:pPr>
        <w:pStyle w:val="ListBullet"/>
        <w:keepLines/>
      </w:pPr>
      <w:r>
        <w:rPr>
          <w:b/>
        </w:rPr>
        <w:t xml:space="preserve">Reproductibilité — </w:t>
      </w:r>
      <w:r>
        <w:t>Conserver les mêmes versions des images HomeOps et la même procédure de déploiement ; adapter uniquement la configuration, sans secret, adresse ou chemin du lab codé en dur.</w:t>
      </w:r>
    </w:p>
    <w:p>
      <w:pPr>
        <w:pStyle w:val="ListBullet"/>
        <w:keepLines/>
      </w:pPr>
      <w:r>
        <w:rPr>
          <w:b/>
        </w:rPr>
        <w:t xml:space="preserve">Isolation — </w:t>
      </w:r>
      <w:r>
        <w:t>Séparer données, secrets et cibles ; le lab ne peut pas commander les conteneurs du homelab réel.</w:t>
      </w:r>
    </w:p>
    <w:p>
      <w:pPr>
        <w:pStyle w:val="ListBullet"/>
        <w:keepLines/>
      </w:pPr>
      <w:r>
        <w:rPr>
          <w:b/>
        </w:rPr>
        <w:t xml:space="preserve">Recette réseau — </w:t>
      </w:r>
      <w:r>
        <w:t>Tester une cible extérieure au réseau Docker, DNS, filtrage, HTTPS et consultation mobile via VPN.</w:t>
      </w:r>
    </w:p>
    <w:p>
      <w:pPr>
        <w:pStyle w:val="ListBullet"/>
        <w:keepLines/>
      </w:pPr>
      <w:r>
        <w:rPr>
          <w:b/>
        </w:rPr>
        <w:t xml:space="preserve">Bascule — </w:t>
      </w:r>
      <w:r>
        <w:t>Valider sur le homelab les sondes, alertes, autorisations, commandes, collecte énergétique, persistance et restauration avant exploitation.</w:t>
      </w:r>
    </w:p>
    <w:p>
      <w:pPr>
        <w:pStyle w:val="Heading1"/>
        <w:spacing w:before="240" w:after="140"/>
      </w:pPr>
      <w:r>
        <w:t>Socle technique et exploitation</w:t>
      </w:r>
    </w:p>
    <w:p>
      <w:r>
        <w:t>C# et ASP.NET Core MVC avec vues Razor, HTML/CSS responsive et JavaScript léger ; PostgreSQL et Entity Framework Core pour les données ; worker .NET indépendant pour les sondes et les relevés énergétiques. Le déploiement repose sur Docker Compose, HTTPS et un VPN pour l’accès distant.</w:t>
      </w:r>
    </w:p>
    <w:p>
      <w:r>
        <w:t>Un connecteur Docker isolé consulte les états et exécute uniquement les trois actions autorisées sur les cibles configurées. L’application web n’accède pas directement au socket Docker. La collecte énergétique utilise un adaptateur dédié, interchangeable avec le simulateur du lab.</w:t>
      </w:r>
    </w:p>
    <w:p>
      <w:r>
        <w:t>Tests, accessibilité, sécurité, CI/CD, documentation, sauvegarde et restauration testée font partie du projet. HomeOps supervise son application, sa base et son worker ; un heartbeat est suivi par un dispositif extérieur au domaine de panne du homelab.</w:t>
      </w:r>
    </w:p>
    <w:p>
      <w:pPr>
        <w:pStyle w:val="Heading1"/>
        <w:spacing w:before="240" w:after="140"/>
      </w:pPr>
      <w:r>
        <w:t>Hors MVP</w:t>
      </w:r>
    </w:p>
    <w:p>
      <w:r>
        <w:t>Découverte automatique Docker, plusieurs hôtes pilotables, adaptateurs Proxmox/Prometheus, CVE, plusieurs comptes par instance, gestion centralisée des installations, notifications push, calendrier avancé, journaux complets des conteneurs, terminal distant, mises à jour ou suppressions de conteneurs, redémarrage de l’hôte et réparations automatiques.</w:t>
      </w:r>
    </w:p>
    <w:p>
      <w:r>
        <w:t>Pour l’énergie : plusieurs prises ou marques, attribution par conteneur, empreinte carbone, tarification complexe et coupure électrique distante.</w:t>
      </w:r>
    </w:p>
    <w:p>
      <w:pPr>
        <w:pStyle w:val="Heading1"/>
        <w:spacing w:before="240" w:after="140"/>
      </w:pPr>
      <w:r>
        <w:t>Critères de réussite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7710"/>
      </w:tblGrid>
      <w:tr>
        <w:trPr>
          <w:cantSplit/>
          <w:tblHeader/>
        </w:trPr>
        <w:tc>
          <w:tcPr>
            <w:tcW w:type="dxa" w:w="1928"/>
            <w:vAlign w:val="center"/>
            <w:shd w:fill="303940"/>
            <w:tcMar>
              <w:top w:w="90" w:type="dxa"/>
              <w:bottom w:w="90" w:type="dxa"/>
              <w:left w:w="110" w:type="dxa"/>
              <w:right w:w="110" w:type="dxa"/>
            </w:tcMar>
          </w:tcPr>
          <w:p>
            <w:pPr>
              <w:spacing w:after="0" w:line="250" w:lineRule="auto"/>
            </w:pPr>
            <w:r>
              <w:rPr>
                <w:b/>
                <w:color w:val="FFFFFF"/>
                <w:sz w:val="21"/>
              </w:rPr>
              <w:t>Scénario</w:t>
            </w:r>
          </w:p>
        </w:tc>
        <w:tc>
          <w:tcPr>
            <w:tcW w:type="dxa" w:w="7710"/>
            <w:vAlign w:val="center"/>
            <w:shd w:fill="303940"/>
            <w:tcMar>
              <w:top w:w="90" w:type="dxa"/>
              <w:bottom w:w="90" w:type="dxa"/>
              <w:left w:w="110" w:type="dxa"/>
              <w:right w:w="110" w:type="dxa"/>
            </w:tcMar>
          </w:tcPr>
          <w:p>
            <w:pPr>
              <w:spacing w:after="0" w:line="250" w:lineRule="auto"/>
            </w:pPr>
            <w:r>
              <w:rPr>
                <w:b/>
                <w:color w:val="FFFFFF"/>
                <w:sz w:val="21"/>
              </w:rPr>
              <w:t>Résultat attendu</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Surveiller et diagnostiquer</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Ajouter un service, obtenir des résultats réels, provoquer une panne, recevoir une alerte et acquitter l’incident depuis le mobile.</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Intervenir</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Redémarrer un conteneur autorisé et constater le rétablissement confirmé par les sondes ; tester également un arrêt sous maintenance ou suspension, puis un démarrage et la reprise explicite de surveillance.</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Tracer et restreindre</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Retrouver résultats, notes et interventions ; vérifier que le kiosque ne permet aucune modification.</w:t>
            </w:r>
          </w:p>
        </w:tc>
      </w:tr>
      <w:tr>
        <w:trPr>
          <w:cantSplit/>
        </w:trPr>
        <w:tc>
          <w:tcPr>
            <w:tcW w:type="dxa" w:w="1928"/>
            <w:vAlign w:val="center"/>
            <w:shd w:fill="FFFFFF"/>
            <w:tcMar>
              <w:top w:w="90" w:type="dxa"/>
              <w:bottom w:w="90" w:type="dxa"/>
              <w:left w:w="110" w:type="dxa"/>
              <w:right w:w="110" w:type="dxa"/>
            </w:tcMar>
          </w:tcPr>
          <w:p>
            <w:pPr>
              <w:spacing w:after="0" w:line="250" w:lineRule="auto"/>
            </w:pPr>
            <w:r>
              <w:rPr>
                <w:b/>
                <w:color w:val="000000"/>
                <w:sz w:val="21"/>
              </w:rPr>
              <w:t>Mesurer</w:t>
            </w:r>
          </w:p>
        </w:tc>
        <w:tc>
          <w:tcPr>
            <w:tcW w:type="dxa" w:w="7710"/>
            <w:vAlign w:val="center"/>
            <w:shd w:fill="FFFFFF"/>
            <w:tcMar>
              <w:top w:w="90" w:type="dxa"/>
              <w:bottom w:w="90" w:type="dxa"/>
              <w:left w:w="110" w:type="dxa"/>
              <w:right w:w="110" w:type="dxa"/>
            </w:tcMar>
          </w:tcPr>
          <w:p>
            <w:pPr>
              <w:spacing w:after="0" w:line="250" w:lineRule="auto"/>
            </w:pPr>
            <w:r>
              <w:rPr>
                <w:b w:val="0"/>
                <w:color w:val="000000"/>
                <w:sz w:val="21"/>
              </w:rPr>
              <w:t>Configurer la prise, afficher W, kWh et coût estimé ; vérifier une perte de connexion et une remise à zéro du compteur. Rejouer la collecte sur le matériel réel.</w:t>
            </w:r>
          </w:p>
        </w:tc>
      </w:tr>
      <w:tr>
        <w:trPr>
          <w:cantSplit/>
        </w:trPr>
        <w:tc>
          <w:tcPr>
            <w:tcW w:type="dxa" w:w="1928"/>
            <w:vAlign w:val="center"/>
            <w:shd w:fill="F3F5F6"/>
            <w:tcMar>
              <w:top w:w="90" w:type="dxa"/>
              <w:bottom w:w="90" w:type="dxa"/>
              <w:left w:w="110" w:type="dxa"/>
              <w:right w:w="110" w:type="dxa"/>
            </w:tcMar>
          </w:tcPr>
          <w:p>
            <w:pPr>
              <w:spacing w:after="0" w:line="250" w:lineRule="auto"/>
            </w:pPr>
            <w:r>
              <w:rPr>
                <w:b/>
                <w:color w:val="000000"/>
                <w:sz w:val="21"/>
              </w:rPr>
              <w:t>Installer et migrer</w:t>
            </w:r>
          </w:p>
        </w:tc>
        <w:tc>
          <w:tcPr>
            <w:tcW w:type="dxa" w:w="7710"/>
            <w:vAlign w:val="center"/>
            <w:shd w:fill="F3F5F6"/>
            <w:tcMar>
              <w:top w:w="90" w:type="dxa"/>
              <w:bottom w:w="90" w:type="dxa"/>
              <w:left w:w="110" w:type="dxa"/>
              <w:right w:w="110" w:type="dxa"/>
            </w:tcMar>
          </w:tcPr>
          <w:p>
            <w:pPr>
              <w:spacing w:after="0" w:line="250" w:lineRule="auto"/>
            </w:pPr>
            <w:r>
              <w:rPr>
                <w:b w:val="0"/>
                <w:color w:val="000000"/>
                <w:sz w:val="21"/>
              </w:rPr>
              <w:t>Déployer une instance vierge, créer l’administrateur et configurer ses services sans modifier le code ; vérifier la fermeture de l’initialisation et rejouer la recette sur le homelab avec les mêmes images.</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HomeOps • Périmètre MVP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3"/>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line="254"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line="254"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54" w:lineRule="auto" w:before="22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54"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4" w:lineRule="auto"/>
      <w:contextualSpacing/>
    </w:pPr>
    <w:rPr>
      <w:rFonts w:ascii="Calibri" w:hAnsi="Calibri"/>
      <w:color w:val="000000"/>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HomeOps Fiche de périmètre MVP</dc:title>
  <dc:subject>Périmètre fonctionnel avec suivi énergétique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