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0032BC1C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785D45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22FFCDE1" w:rsidR="00BC2081" w:rsidRDefault="00BC2081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9E5BFF6" w14:textId="77777777" w:rsidR="00014E16" w:rsidRDefault="00BC2081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14E16"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РЕСПУБЛИКИ БЕЛАРУСЬ</w:t>
      </w:r>
    </w:p>
    <w:p w14:paraId="3E020B39" w14:textId="77777777" w:rsidR="00014E16" w:rsidRPr="00DE2DDC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54ECA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025C875C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32C17E28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411A50B" w14:textId="77777777" w:rsidR="00014E16" w:rsidRPr="00BE3731" w:rsidRDefault="00014E16" w:rsidP="00014E16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73F55FAC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7645108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4E856A03" w14:textId="77777777" w:rsidR="00014E16" w:rsidRPr="00BE3731" w:rsidRDefault="00014E16" w:rsidP="00014E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F40C137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224149CD" w14:textId="77777777" w:rsidR="00014E16" w:rsidRPr="00272470" w:rsidRDefault="00014E16" w:rsidP="00014E16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3DB909D3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7EBAC102" w14:textId="77777777" w:rsidR="00014E16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D8B765E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72470">
        <w:rPr>
          <w:rFonts w:ascii="Times New Roman" w:hAnsi="Times New Roman" w:cs="Times New Roman"/>
          <w:sz w:val="24"/>
          <w:szCs w:val="24"/>
        </w:rPr>
        <w:t>__________________20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4A48CBBD" w14:textId="77777777" w:rsidR="00014E16" w:rsidRPr="00946753" w:rsidRDefault="00014E16" w:rsidP="00014E16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5BCF876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D94A8CD" w14:textId="77777777" w:rsidR="00014E16" w:rsidRPr="00272470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6B1C8375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FEC082E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5D029D1C" w14:textId="77777777" w:rsidR="00014E16" w:rsidRPr="00272470" w:rsidRDefault="00014E16" w:rsidP="00014E16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Pr="002450F9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521130" w14:textId="77777777" w:rsidR="00014E16" w:rsidRPr="00946753" w:rsidRDefault="00014E16" w:rsidP="00014E16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Ленкевич Павел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6A4C5C" w14:textId="77777777" w:rsidR="00014E16" w:rsidRPr="00946753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7C002ACD" w14:textId="77777777" w:rsidR="00014E16" w:rsidRPr="00DF657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DF657C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770252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F657C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DF657C">
        <w:rPr>
          <w:rFonts w:ascii="Times New Roman" w:hAnsi="Times New Roman" w:cs="Times New Roman"/>
          <w:sz w:val="28"/>
          <w:szCs w:val="28"/>
        </w:rPr>
        <w:t xml:space="preserve"> ___ декабря 2024 г.</w:t>
      </w:r>
    </w:p>
    <w:p w14:paraId="49A0C36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3775286D" w14:textId="77777777" w:rsidR="00014E16" w:rsidRDefault="00014E16" w:rsidP="00014E1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>14882:2020(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++ 20) в среде разработки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6.0.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Операционная система, под которой 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происходит разработка 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10 (64-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>). Типы данных: целочисленный (2 байта), строковый. Представление литералов: целые, представление – восьмеричное и десятичное; строковые и/или символьные – произвольно.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553FF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 сложение, вычитание, умножение, деление нацело, остаток от деления.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Pr="00AC57F2">
        <w:rPr>
          <w:rFonts w:ascii="Times New Roman" w:hAnsi="Times New Roman"/>
          <w:sz w:val="28"/>
          <w:szCs w:val="28"/>
          <w:u w:val="single"/>
        </w:rPr>
        <w:t xml:space="preserve">, </w:t>
      </w:r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r w:rsidRPr="00AC57F2">
        <w:rPr>
          <w:rFonts w:ascii="Times New Roman" w:hAnsi="Times New Roman"/>
          <w:sz w:val="28"/>
          <w:szCs w:val="28"/>
          <w:u w:val="single"/>
        </w:rPr>
        <w:t xml:space="preserve">. 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 </w:t>
      </w:r>
      <w:r w:rsidRPr="00316457">
        <w:rPr>
          <w:rFonts w:ascii="Times New Roman" w:hAnsi="Times New Roman" w:cs="Times New Roman"/>
          <w:sz w:val="28"/>
          <w:szCs w:val="28"/>
          <w:u w:val="single"/>
        </w:rPr>
        <w:t>копирование строк; вычисление длины строки.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>
        <w:rPr>
          <w:rFonts w:ascii="Times New Roman" w:hAnsi="Times New Roman"/>
          <w:sz w:val="28"/>
          <w:szCs w:val="28"/>
          <w:u w:val="single"/>
        </w:rPr>
        <w:t>оператор цикла.</w:t>
      </w:r>
    </w:p>
    <w:p w14:paraId="249CA78E" w14:textId="77777777" w:rsidR="00014E16" w:rsidRPr="00CA73D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B0C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28E92FF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A9E5CD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E1C6E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98B6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9F49BC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DC9254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E699F9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ADD03B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1A3B0E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5856D5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0825EA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A3312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A0EF38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6199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0FFB43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112711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D8603B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F07865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014E16" w:rsidRPr="0098251A" w14:paraId="6F18BEA5" w14:textId="77777777" w:rsidTr="00BA074A">
        <w:trPr>
          <w:trHeight w:val="302"/>
        </w:trPr>
        <w:tc>
          <w:tcPr>
            <w:tcW w:w="5358" w:type="dxa"/>
          </w:tcPr>
          <w:p w14:paraId="6147A709" w14:textId="77777777" w:rsidR="00014E16" w:rsidRPr="00946753" w:rsidRDefault="00014E16" w:rsidP="00BA074A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14DFF723" w14:textId="77777777" w:rsidR="00014E16" w:rsidRPr="00946753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014E16" w:rsidRPr="00946753" w14:paraId="54D1C4AC" w14:textId="77777777" w:rsidTr="00BA074A">
        <w:trPr>
          <w:trHeight w:val="302"/>
        </w:trPr>
        <w:tc>
          <w:tcPr>
            <w:tcW w:w="5358" w:type="dxa"/>
          </w:tcPr>
          <w:p w14:paraId="2356C457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52B715F2" w14:textId="77777777" w:rsidR="00014E16" w:rsidRPr="00522305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24EC7D64" w14:textId="77777777" w:rsidTr="00BA074A">
        <w:trPr>
          <w:trHeight w:val="542"/>
        </w:trPr>
        <w:tc>
          <w:tcPr>
            <w:tcW w:w="5358" w:type="dxa"/>
          </w:tcPr>
          <w:p w14:paraId="0E72D992" w14:textId="77777777" w:rsidR="00014E16" w:rsidRPr="00946753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vAlign w:val="center"/>
          </w:tcPr>
          <w:p w14:paraId="67117CC5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40F7C54C" w14:textId="77777777" w:rsidTr="00BA074A">
        <w:trPr>
          <w:trHeight w:val="299"/>
        </w:trPr>
        <w:tc>
          <w:tcPr>
            <w:tcW w:w="5358" w:type="dxa"/>
          </w:tcPr>
          <w:p w14:paraId="1F93276B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6B5BEF4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6EAA2A9E" w14:textId="77777777" w:rsidTr="00BA074A">
        <w:trPr>
          <w:trHeight w:val="301"/>
        </w:trPr>
        <w:tc>
          <w:tcPr>
            <w:tcW w:w="5358" w:type="dxa"/>
          </w:tcPr>
          <w:p w14:paraId="7C58BF29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73AA7DD4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7BBE22B8" w14:textId="77777777" w:rsidTr="00BA074A">
        <w:trPr>
          <w:trHeight w:val="567"/>
        </w:trPr>
        <w:tc>
          <w:tcPr>
            <w:tcW w:w="5358" w:type="dxa"/>
          </w:tcPr>
          <w:p w14:paraId="1131F24D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4429340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</w:tbl>
    <w:p w14:paraId="4846EACC" w14:textId="77777777" w:rsidR="00014E16" w:rsidRDefault="00014E16" w:rsidP="00014E16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63AA7AFC" w14:textId="77777777" w:rsidR="00014E16" w:rsidRPr="00DD6B34" w:rsidRDefault="00014E16" w:rsidP="00014E16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014E16" w:rsidRPr="00DD6B34" w14:paraId="6E8DACB0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E3CFE73" w14:textId="77777777" w:rsidR="00014E16" w:rsidRPr="00DD6B34" w:rsidRDefault="00014E16" w:rsidP="00BA07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FA40A5" w14:textId="77777777" w:rsidR="00014E16" w:rsidRPr="00DD6B34" w:rsidRDefault="00014E16" w:rsidP="00BA074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F8EBCA1" w14:textId="77777777" w:rsidR="00014E16" w:rsidRPr="00DD6B34" w:rsidRDefault="00014E16" w:rsidP="00BA07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E7394B" w14:textId="77777777" w:rsidR="00014E16" w:rsidRPr="00DD6B34" w:rsidRDefault="00014E16" w:rsidP="00BA074A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014E16" w:rsidRPr="00DD6B34" w14:paraId="2962DBC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4C26CFDA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800B80A" w14:textId="77777777" w:rsidR="00014E16" w:rsidRPr="00DB74C1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LPA-202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EA102F2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FAB0F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3E71A16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50962D0B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C4AF15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2195120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4A0D2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967A4C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3E0891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7F75188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5FF87BA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706C2B0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2C142F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2829C4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570E4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70D8DEF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E0AE35E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6DF431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B3227C9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E2D3D1B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88E350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9485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7159B65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E1E06B2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0F3DB1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628E816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A5C4897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0076C549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9B4767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3113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4D88E3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2D42AB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E2E1C7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77B3418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C8A6DD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5A580DD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D8683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06E901" w14:textId="77777777" w:rsidR="00014E16" w:rsidRDefault="00014E16" w:rsidP="00014E16">
      <w:pPr>
        <w:rPr>
          <w:rFonts w:ascii="Times New Roman" w:hAnsi="Times New Roman" w:cs="Times New Roman"/>
          <w:sz w:val="28"/>
          <w:szCs w:val="28"/>
        </w:rPr>
      </w:pPr>
    </w:p>
    <w:p w14:paraId="5625BB28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</w:rPr>
        <w:t>18.09.2024</w:t>
      </w:r>
    </w:p>
    <w:p w14:paraId="0089C7AD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Волчек Д. И.</w:t>
      </w:r>
    </w:p>
    <w:p w14:paraId="40BDD8AB" w14:textId="77777777" w:rsidR="00014E16" w:rsidRPr="00DD6B34" w:rsidRDefault="00014E16" w:rsidP="00014E16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4E2DE107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Ленкевич П. А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1EA4BB" w14:textId="77777777" w:rsidR="00014E16" w:rsidRPr="0041667E" w:rsidRDefault="00014E16" w:rsidP="00014E16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14CE5F9B" w14:textId="77777777" w:rsidR="00536AF1" w:rsidRPr="00536AF1" w:rsidRDefault="00530778" w:rsidP="00536AF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bookmarkStart w:id="2" w:name="_Toc101646755"/>
      <w:r w:rsidR="00536AF1"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536AF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536AF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 Постановка задачи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 Обзор аналогичных решений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 Техническое задание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536AF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 Выбор средств реализации программного продукта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 Вывод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745509B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1A3EA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 Проектирование страниц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7E2013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2.1. Выбор способа верстки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2.2. Выбор стилевого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2.3. Выбор шрифтового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536AF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2.4. Разработка логотипа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536AF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2.5. Разработка пользовательских элементов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36AF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2.6. Разработка спецэффектов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536AF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2.7.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536AF1" w:rsidRPr="00536AF1" w14:paraId="340857F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F8106A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 Реализация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3E85B6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536AF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3.1. Структура HTML-документа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36AF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3.2. Добавление таблиц стилей SCSS и 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3.3. Использование стандартов XML (SVG)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3.4. Управление элементами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DOM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</w:tr>
      <w:tr w:rsidR="00536AF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3.5.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</w:tr>
      <w:tr w:rsidR="00536AF1" w:rsidRPr="00536AF1" w14:paraId="1435014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6A877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 Тестирование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FDCC9C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4.1. Адаптивный дизайн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4.2. Кроссбраузерность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536AF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4.3. Руководство пользователя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536AF1" w:rsidRPr="00536AF1" w14:paraId="00FD595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8480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4.4.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449B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536AF1" w:rsidRPr="00536AF1" w14:paraId="3070FFF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258056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5D3911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536AF1" w:rsidRPr="00536AF1" w14:paraId="2B4F341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A17C31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Список использованных литературных источников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CA399C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36AF1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 Прототипы веб-страниц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536AF1" w:rsidRPr="00536AF1" w14:paraId="5A71AC98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77177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Б Макет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1CB97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536AF1" w:rsidRPr="00536AF1" w14:paraId="536B3D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5F73A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В Листинг НТ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94E6E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536AF1" w:rsidRPr="00536AF1" w14:paraId="79DA5ED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41D953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Г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DF137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56</w:t>
            </w:r>
          </w:p>
        </w:tc>
      </w:tr>
      <w:tr w:rsidR="00536AF1" w:rsidRPr="00536AF1" w14:paraId="19E60AAC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9754BE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Д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-файлов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3ECAE4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536AF1" w:rsidRPr="00536AF1" w14:paraId="2D54D48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934232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SVG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571A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94</w:t>
            </w:r>
          </w:p>
        </w:tc>
      </w:tr>
      <w:tr w:rsidR="00536AF1" w:rsidRPr="00536AF1" w14:paraId="64AF96C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A6A0AD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Ж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JavaScript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12FDFF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97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3378C5"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</w:p>
    <w:p w14:paraId="4B45B84D" w14:textId="442EA012" w:rsidR="000033F5" w:rsidRPr="00ED36D0" w:rsidRDefault="00FD0142" w:rsidP="00ED36D0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5A97C75B" w14:textId="77777777" w:rsidR="000033F5" w:rsidRDefault="000033F5" w:rsidP="00ED36D0">
      <w:pPr>
        <w:spacing w:after="0"/>
        <w:jc w:val="both"/>
      </w:pPr>
    </w:p>
    <w:p w14:paraId="0C491E90" w14:textId="7C95059F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28233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выполнения 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программирования.</w:t>
      </w:r>
    </w:p>
    <w:p w14:paraId="5CBB91DA" w14:textId="490AEB76" w:rsidR="00FF1EAA" w:rsidRDefault="003D67A5" w:rsidP="00DB15B2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Название   языка, для которого разрабатывается компилятор, </w:t>
      </w:r>
      <w:r w:rsidR="0087083D" w:rsidRPr="0087083D">
        <w:rPr>
          <w:rFonts w:ascii="Times New Roman" w:hAnsi="Times New Roman" w:cs="Times New Roman"/>
          <w:sz w:val="28"/>
          <w:szCs w:val="28"/>
        </w:rPr>
        <w:t>— LPA</w:t>
      </w:r>
      <w:r w:rsidR="00EB5F88" w:rsidRPr="00EB5F88">
        <w:rPr>
          <w:rFonts w:ascii="Times New Roman" w:hAnsi="Times New Roman" w:cs="Times New Roman"/>
          <w:sz w:val="28"/>
          <w:szCs w:val="28"/>
        </w:rPr>
        <w:t>-2024</w:t>
      </w:r>
      <w:r w:rsidR="00FF1EAA" w:rsidRPr="00FF1EAA">
        <w:rPr>
          <w:rFonts w:ascii="Times New Roman" w:hAnsi="Times New Roman" w:cs="Times New Roman"/>
          <w:sz w:val="28"/>
          <w:szCs w:val="28"/>
        </w:rPr>
        <w:t>.</w:t>
      </w:r>
      <w:r w:rsidR="00FF1EAA">
        <w:rPr>
          <w:rFonts w:ascii="Times New Roman" w:hAnsi="Times New Roman" w:cs="Times New Roman"/>
          <w:sz w:val="28"/>
          <w:szCs w:val="28"/>
        </w:rPr>
        <w:t xml:space="preserve"> Компиляция </w:t>
      </w:r>
      <w:r w:rsidR="008F451C">
        <w:rPr>
          <w:rFonts w:ascii="Times New Roman" w:hAnsi="Times New Roman" w:cs="Times New Roman"/>
          <w:sz w:val="28"/>
          <w:szCs w:val="28"/>
        </w:rPr>
        <w:t>будет производиться</w:t>
      </w:r>
      <w:r w:rsidR="00FF1EAA">
        <w:rPr>
          <w:rFonts w:ascii="Times New Roman" w:hAnsi="Times New Roman" w:cs="Times New Roman"/>
          <w:sz w:val="28"/>
          <w:szCs w:val="28"/>
        </w:rPr>
        <w:t xml:space="preserve"> в язык ассемблера.</w:t>
      </w:r>
    </w:p>
    <w:p w14:paraId="0230D5AC" w14:textId="606DCBC5" w:rsidR="007535D6" w:rsidRDefault="008F451C" w:rsidP="00DB15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F959111" w14:textId="7FBE98B8" w:rsidR="00453627" w:rsidRDefault="00DB15B2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</w:t>
      </w:r>
      <w:r w:rsidR="00E02A06">
        <w:rPr>
          <w:rFonts w:ascii="Times New Roman" w:eastAsia="Calibri" w:hAnsi="Times New Roman" w:cs="Times New Roman"/>
          <w:sz w:val="28"/>
          <w:szCs w:val="28"/>
        </w:rPr>
        <w:t>лексического анализатора</w:t>
      </w:r>
      <w:r w:rsidR="00E02A06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2D0FC4">
      <w:pPr>
        <w:spacing w:after="16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2F50FC55" w:rsidR="0017298B" w:rsidRDefault="00EB55AD" w:rsidP="008A096B">
      <w:pPr>
        <w:pStyle w:val="1"/>
        <w:numPr>
          <w:ilvl w:val="0"/>
          <w:numId w:val="9"/>
        </w:numPr>
        <w:spacing w:before="0" w:after="240"/>
        <w:ind w:left="1060" w:hanging="3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29C3C38E" w:rsidR="00A27C26" w:rsidRDefault="00723751" w:rsidP="0010001F">
      <w:pPr>
        <w:pStyle w:val="2"/>
        <w:numPr>
          <w:ilvl w:val="1"/>
          <w:numId w:val="9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77777777" w:rsidR="00744366" w:rsidRPr="00902923" w:rsidRDefault="00744366" w:rsidP="009029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923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902923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902923">
        <w:rPr>
          <w:rFonts w:ascii="Times New Roman" w:hAnsi="Times New Roman" w:cs="Times New Roman"/>
          <w:sz w:val="28"/>
          <w:szCs w:val="28"/>
        </w:rPr>
        <w:t>-2024 является компилируемым, строго типизированный, универсальным, не объектно-ориентированным языком.</w:t>
      </w:r>
    </w:p>
    <w:p w14:paraId="63CF23D8" w14:textId="02D48708" w:rsidR="00BC1D1B" w:rsidRDefault="009B18E4" w:rsidP="00BB55D5">
      <w:pPr>
        <w:pStyle w:val="2"/>
        <w:numPr>
          <w:ilvl w:val="1"/>
          <w:numId w:val="9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03BD172E" w:rsidR="002C697A" w:rsidRDefault="00D23CBC" w:rsidP="00016EFE">
      <w:pPr>
        <w:pStyle w:val="2"/>
        <w:numPr>
          <w:ilvl w:val="1"/>
          <w:numId w:val="9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D903A1F" w:rsidR="008E297A" w:rsidRPr="0071717B" w:rsidRDefault="004975FE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717B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 w:rsidRPr="0071717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1717B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 w:rsidRPr="0071717B">
              <w:rPr>
                <w:rFonts w:ascii="Times New Roman" w:hAnsi="Times New Roman" w:cs="Times New Roman"/>
                <w:sz w:val="28"/>
                <w:szCs w:val="28"/>
              </w:rPr>
              <w:t>’,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 w:rsidRPr="0071717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533E3242" w:rsidR="00EF068A" w:rsidRDefault="00A5769C" w:rsidP="00942C32">
      <w:pPr>
        <w:pStyle w:val="2"/>
        <w:numPr>
          <w:ilvl w:val="1"/>
          <w:numId w:val="9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74589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B73D834" w:rsidR="000419E2" w:rsidRDefault="00C07706" w:rsidP="0038676A">
      <w:pPr>
        <w:pStyle w:val="2"/>
        <w:numPr>
          <w:ilvl w:val="1"/>
          <w:numId w:val="9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29D8385F" w14:textId="2E836D10" w:rsidR="0038676A" w:rsidRDefault="00192B80" w:rsidP="00E3013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DC71BE">
        <w:rPr>
          <w:rFonts w:ascii="Times New Roman" w:hAnsi="Times New Roman" w:cs="Times New Roman"/>
          <w:sz w:val="28"/>
          <w:szCs w:val="28"/>
        </w:rPr>
        <w:t>2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байта)</w:t>
      </w:r>
      <w:r w:rsidR="00E16B65">
        <w:rPr>
          <w:rFonts w:ascii="Times New Roman" w:hAnsi="Times New Roman" w:cs="Times New Roman"/>
          <w:sz w:val="28"/>
          <w:szCs w:val="28"/>
        </w:rPr>
        <w:t xml:space="preserve"> и строковый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6D267FD1" w14:textId="77777777" w:rsidR="006F5DE8" w:rsidRPr="00DE2D87" w:rsidRDefault="007954AD" w:rsidP="007954AD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6D1E6C61" w14:textId="61EDDAD7" w:rsidR="006F5DE8" w:rsidRPr="00231FC3" w:rsidRDefault="00231FC3" w:rsidP="00231FC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78914AAA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</w:p>
        </w:tc>
      </w:tr>
      <w:tr w:rsidR="006F5DE8" w14:paraId="14106327" w14:textId="77777777" w:rsidTr="00AF2D04">
        <w:tc>
          <w:tcPr>
            <w:tcW w:w="1838" w:type="dxa"/>
          </w:tcPr>
          <w:p w14:paraId="68C0EBE8" w14:textId="77777777" w:rsidR="006F5DE8" w:rsidRDefault="006F5DE8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6" w:type="dxa"/>
          </w:tcPr>
          <w:p w14:paraId="4C272056" w14:textId="77777777" w:rsidR="006F5DE8" w:rsidRDefault="006F5DE8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D1A63C" w14:textId="77FE2D8D" w:rsidR="0030332F" w:rsidRPr="00DE2D87" w:rsidRDefault="0030332F" w:rsidP="007954AD">
      <w:pPr>
        <w:spacing w:before="280" w:after="0"/>
        <w:rPr>
          <w:rFonts w:ascii="Times New Roman" w:hAnsi="Times New Roman" w:cs="Times New Roman"/>
          <w:sz w:val="28"/>
          <w:szCs w:val="28"/>
        </w:rPr>
      </w:pPr>
    </w:p>
    <w:sectPr w:rsidR="0030332F" w:rsidRPr="00DE2D87" w:rsidSect="000033F5">
      <w:pgSz w:w="11906" w:h="16838"/>
      <w:pgMar w:top="1134" w:right="851" w:bottom="1134" w:left="1701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9A499" w14:textId="77777777" w:rsidR="00315EB5" w:rsidRDefault="00315EB5" w:rsidP="00075739">
      <w:pPr>
        <w:spacing w:after="0" w:line="240" w:lineRule="auto"/>
      </w:pPr>
      <w:r>
        <w:separator/>
      </w:r>
    </w:p>
  </w:endnote>
  <w:endnote w:type="continuationSeparator" w:id="0">
    <w:p w14:paraId="70775539" w14:textId="77777777" w:rsidR="00315EB5" w:rsidRDefault="00315EB5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6AD70" w14:textId="77777777" w:rsidR="00315EB5" w:rsidRDefault="00315EB5" w:rsidP="00075739">
      <w:pPr>
        <w:spacing w:after="0" w:line="240" w:lineRule="auto"/>
      </w:pPr>
      <w:r>
        <w:separator/>
      </w:r>
    </w:p>
  </w:footnote>
  <w:footnote w:type="continuationSeparator" w:id="0">
    <w:p w14:paraId="790FCA24" w14:textId="77777777" w:rsidR="00315EB5" w:rsidRDefault="00315EB5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3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8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674334165">
    <w:abstractNumId w:val="5"/>
  </w:num>
  <w:num w:numId="2" w16cid:durableId="883249609">
    <w:abstractNumId w:val="3"/>
  </w:num>
  <w:num w:numId="3" w16cid:durableId="1925648758">
    <w:abstractNumId w:val="0"/>
  </w:num>
  <w:num w:numId="4" w16cid:durableId="1289703185">
    <w:abstractNumId w:val="8"/>
  </w:num>
  <w:num w:numId="5" w16cid:durableId="1264805957">
    <w:abstractNumId w:val="6"/>
  </w:num>
  <w:num w:numId="6" w16cid:durableId="1577276953">
    <w:abstractNumId w:val="4"/>
  </w:num>
  <w:num w:numId="7" w16cid:durableId="2142067261">
    <w:abstractNumId w:val="1"/>
  </w:num>
  <w:num w:numId="8" w16cid:durableId="838420370">
    <w:abstractNumId w:val="2"/>
  </w:num>
  <w:num w:numId="9" w16cid:durableId="1988194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3F5"/>
    <w:rsid w:val="00011F99"/>
    <w:rsid w:val="00014E16"/>
    <w:rsid w:val="00016EFE"/>
    <w:rsid w:val="000172C1"/>
    <w:rsid w:val="00025CAC"/>
    <w:rsid w:val="000419E2"/>
    <w:rsid w:val="0004630D"/>
    <w:rsid w:val="00051FBE"/>
    <w:rsid w:val="00054163"/>
    <w:rsid w:val="000548BC"/>
    <w:rsid w:val="00075739"/>
    <w:rsid w:val="00084871"/>
    <w:rsid w:val="0008653C"/>
    <w:rsid w:val="000868FA"/>
    <w:rsid w:val="000920BF"/>
    <w:rsid w:val="00093B93"/>
    <w:rsid w:val="0009600F"/>
    <w:rsid w:val="000A51C9"/>
    <w:rsid w:val="000C6750"/>
    <w:rsid w:val="000D14E6"/>
    <w:rsid w:val="000D17A7"/>
    <w:rsid w:val="000E60F4"/>
    <w:rsid w:val="000F2C14"/>
    <w:rsid w:val="0010001F"/>
    <w:rsid w:val="00103C3A"/>
    <w:rsid w:val="00107169"/>
    <w:rsid w:val="00127C49"/>
    <w:rsid w:val="0013022A"/>
    <w:rsid w:val="00132A48"/>
    <w:rsid w:val="001377C0"/>
    <w:rsid w:val="001436AD"/>
    <w:rsid w:val="001537E5"/>
    <w:rsid w:val="0015657B"/>
    <w:rsid w:val="001601F4"/>
    <w:rsid w:val="0017298B"/>
    <w:rsid w:val="00180713"/>
    <w:rsid w:val="00180C64"/>
    <w:rsid w:val="00182E29"/>
    <w:rsid w:val="00192B80"/>
    <w:rsid w:val="00192ED1"/>
    <w:rsid w:val="001A1B7D"/>
    <w:rsid w:val="001B427F"/>
    <w:rsid w:val="001C5D19"/>
    <w:rsid w:val="001E1EBA"/>
    <w:rsid w:val="00201841"/>
    <w:rsid w:val="00231FC3"/>
    <w:rsid w:val="00252DDA"/>
    <w:rsid w:val="0028233B"/>
    <w:rsid w:val="00287078"/>
    <w:rsid w:val="002A1E8E"/>
    <w:rsid w:val="002A3192"/>
    <w:rsid w:val="002B7EA1"/>
    <w:rsid w:val="002C697A"/>
    <w:rsid w:val="002D0FC4"/>
    <w:rsid w:val="002D2E31"/>
    <w:rsid w:val="002D5B65"/>
    <w:rsid w:val="002E1521"/>
    <w:rsid w:val="002F2657"/>
    <w:rsid w:val="00300CE7"/>
    <w:rsid w:val="00303137"/>
    <w:rsid w:val="0030332F"/>
    <w:rsid w:val="00311B57"/>
    <w:rsid w:val="00315EB5"/>
    <w:rsid w:val="00336CC4"/>
    <w:rsid w:val="003378C5"/>
    <w:rsid w:val="00345478"/>
    <w:rsid w:val="00345972"/>
    <w:rsid w:val="00347C09"/>
    <w:rsid w:val="00357881"/>
    <w:rsid w:val="0038676A"/>
    <w:rsid w:val="003D6296"/>
    <w:rsid w:val="003D67A5"/>
    <w:rsid w:val="003E43DB"/>
    <w:rsid w:val="00401585"/>
    <w:rsid w:val="004038A5"/>
    <w:rsid w:val="004057A9"/>
    <w:rsid w:val="00407D8D"/>
    <w:rsid w:val="004132E0"/>
    <w:rsid w:val="004403B5"/>
    <w:rsid w:val="004463BF"/>
    <w:rsid w:val="004529D0"/>
    <w:rsid w:val="00453627"/>
    <w:rsid w:val="004555DC"/>
    <w:rsid w:val="00484324"/>
    <w:rsid w:val="00485E1A"/>
    <w:rsid w:val="004975FE"/>
    <w:rsid w:val="004A6B87"/>
    <w:rsid w:val="004C280E"/>
    <w:rsid w:val="004C2A28"/>
    <w:rsid w:val="004F15B3"/>
    <w:rsid w:val="004F212C"/>
    <w:rsid w:val="004F37A2"/>
    <w:rsid w:val="004F721A"/>
    <w:rsid w:val="00500353"/>
    <w:rsid w:val="00530778"/>
    <w:rsid w:val="00530EB2"/>
    <w:rsid w:val="005331E8"/>
    <w:rsid w:val="00536AF1"/>
    <w:rsid w:val="0054200B"/>
    <w:rsid w:val="005448F8"/>
    <w:rsid w:val="005643A7"/>
    <w:rsid w:val="005645B0"/>
    <w:rsid w:val="0057236D"/>
    <w:rsid w:val="00576C9C"/>
    <w:rsid w:val="00583332"/>
    <w:rsid w:val="0059252B"/>
    <w:rsid w:val="005A14F2"/>
    <w:rsid w:val="005D2CB3"/>
    <w:rsid w:val="005E2F34"/>
    <w:rsid w:val="005E6C39"/>
    <w:rsid w:val="005F381A"/>
    <w:rsid w:val="005F66CE"/>
    <w:rsid w:val="00607706"/>
    <w:rsid w:val="00637063"/>
    <w:rsid w:val="00642ECD"/>
    <w:rsid w:val="006671AC"/>
    <w:rsid w:val="0066733E"/>
    <w:rsid w:val="0066747E"/>
    <w:rsid w:val="00670426"/>
    <w:rsid w:val="006719BB"/>
    <w:rsid w:val="0067763F"/>
    <w:rsid w:val="0068483B"/>
    <w:rsid w:val="006908E0"/>
    <w:rsid w:val="006A09EF"/>
    <w:rsid w:val="006B5ED7"/>
    <w:rsid w:val="006B665A"/>
    <w:rsid w:val="006E1137"/>
    <w:rsid w:val="006E7E99"/>
    <w:rsid w:val="006F5DE8"/>
    <w:rsid w:val="007003DD"/>
    <w:rsid w:val="007028E0"/>
    <w:rsid w:val="00704D87"/>
    <w:rsid w:val="00705ED7"/>
    <w:rsid w:val="007163DE"/>
    <w:rsid w:val="0071717B"/>
    <w:rsid w:val="00723751"/>
    <w:rsid w:val="00743601"/>
    <w:rsid w:val="00744366"/>
    <w:rsid w:val="0074562F"/>
    <w:rsid w:val="00745895"/>
    <w:rsid w:val="007535D6"/>
    <w:rsid w:val="007834ED"/>
    <w:rsid w:val="00785D45"/>
    <w:rsid w:val="007954AD"/>
    <w:rsid w:val="007A0D47"/>
    <w:rsid w:val="007C016E"/>
    <w:rsid w:val="007E09F0"/>
    <w:rsid w:val="007E2CF2"/>
    <w:rsid w:val="00823D76"/>
    <w:rsid w:val="00850DD3"/>
    <w:rsid w:val="0085152F"/>
    <w:rsid w:val="00853874"/>
    <w:rsid w:val="0085532B"/>
    <w:rsid w:val="0087083D"/>
    <w:rsid w:val="00881229"/>
    <w:rsid w:val="008812D2"/>
    <w:rsid w:val="008A096B"/>
    <w:rsid w:val="008A7A2A"/>
    <w:rsid w:val="008B29E0"/>
    <w:rsid w:val="008C15D1"/>
    <w:rsid w:val="008C7382"/>
    <w:rsid w:val="008D3784"/>
    <w:rsid w:val="008E297A"/>
    <w:rsid w:val="008E6258"/>
    <w:rsid w:val="008E6E5C"/>
    <w:rsid w:val="008F1DD6"/>
    <w:rsid w:val="008F37E3"/>
    <w:rsid w:val="008F451C"/>
    <w:rsid w:val="00900F34"/>
    <w:rsid w:val="00902923"/>
    <w:rsid w:val="0092523A"/>
    <w:rsid w:val="00926FD8"/>
    <w:rsid w:val="00942C32"/>
    <w:rsid w:val="00947D2A"/>
    <w:rsid w:val="00950B0A"/>
    <w:rsid w:val="00957ABA"/>
    <w:rsid w:val="00976D9B"/>
    <w:rsid w:val="009824AD"/>
    <w:rsid w:val="009830C5"/>
    <w:rsid w:val="009A2D8E"/>
    <w:rsid w:val="009B12DF"/>
    <w:rsid w:val="009B18E4"/>
    <w:rsid w:val="009E0A0C"/>
    <w:rsid w:val="009E114A"/>
    <w:rsid w:val="00A22F52"/>
    <w:rsid w:val="00A262DE"/>
    <w:rsid w:val="00A27C26"/>
    <w:rsid w:val="00A5769C"/>
    <w:rsid w:val="00A60847"/>
    <w:rsid w:val="00A67024"/>
    <w:rsid w:val="00A76BD3"/>
    <w:rsid w:val="00A80984"/>
    <w:rsid w:val="00A869F6"/>
    <w:rsid w:val="00A939DA"/>
    <w:rsid w:val="00AA09B5"/>
    <w:rsid w:val="00AB48CB"/>
    <w:rsid w:val="00AD36FF"/>
    <w:rsid w:val="00AD3FCF"/>
    <w:rsid w:val="00AD701D"/>
    <w:rsid w:val="00AE0AB1"/>
    <w:rsid w:val="00AF0F0E"/>
    <w:rsid w:val="00AF1EAD"/>
    <w:rsid w:val="00AF2D04"/>
    <w:rsid w:val="00B04745"/>
    <w:rsid w:val="00B10E6E"/>
    <w:rsid w:val="00B21357"/>
    <w:rsid w:val="00B33D25"/>
    <w:rsid w:val="00B34D61"/>
    <w:rsid w:val="00B44226"/>
    <w:rsid w:val="00B54A71"/>
    <w:rsid w:val="00B76DA3"/>
    <w:rsid w:val="00B81D9F"/>
    <w:rsid w:val="00B91572"/>
    <w:rsid w:val="00B91CE8"/>
    <w:rsid w:val="00BB1321"/>
    <w:rsid w:val="00BB55D5"/>
    <w:rsid w:val="00BC1D1B"/>
    <w:rsid w:val="00BC2081"/>
    <w:rsid w:val="00BD2004"/>
    <w:rsid w:val="00BF65B6"/>
    <w:rsid w:val="00C07706"/>
    <w:rsid w:val="00C2305E"/>
    <w:rsid w:val="00C250F3"/>
    <w:rsid w:val="00C504E9"/>
    <w:rsid w:val="00C55593"/>
    <w:rsid w:val="00C61319"/>
    <w:rsid w:val="00C6149D"/>
    <w:rsid w:val="00C6174B"/>
    <w:rsid w:val="00C657D1"/>
    <w:rsid w:val="00C65FBD"/>
    <w:rsid w:val="00C74E7B"/>
    <w:rsid w:val="00C75C43"/>
    <w:rsid w:val="00C76557"/>
    <w:rsid w:val="00C8297F"/>
    <w:rsid w:val="00C93AD0"/>
    <w:rsid w:val="00CA73DC"/>
    <w:rsid w:val="00CB2E07"/>
    <w:rsid w:val="00CB3831"/>
    <w:rsid w:val="00CC2B59"/>
    <w:rsid w:val="00CC41B9"/>
    <w:rsid w:val="00CD7EE8"/>
    <w:rsid w:val="00CF0984"/>
    <w:rsid w:val="00CF1503"/>
    <w:rsid w:val="00CF171A"/>
    <w:rsid w:val="00D23CBC"/>
    <w:rsid w:val="00D31CDE"/>
    <w:rsid w:val="00D403E7"/>
    <w:rsid w:val="00D60797"/>
    <w:rsid w:val="00D72527"/>
    <w:rsid w:val="00D765D8"/>
    <w:rsid w:val="00D842E1"/>
    <w:rsid w:val="00D84814"/>
    <w:rsid w:val="00D8729D"/>
    <w:rsid w:val="00D92BE0"/>
    <w:rsid w:val="00D95515"/>
    <w:rsid w:val="00DA0896"/>
    <w:rsid w:val="00DB15B2"/>
    <w:rsid w:val="00DB1BF3"/>
    <w:rsid w:val="00DB341D"/>
    <w:rsid w:val="00DC38B7"/>
    <w:rsid w:val="00DC6DA4"/>
    <w:rsid w:val="00DC71BE"/>
    <w:rsid w:val="00DD1A2A"/>
    <w:rsid w:val="00DD3952"/>
    <w:rsid w:val="00DE2D87"/>
    <w:rsid w:val="00DF2788"/>
    <w:rsid w:val="00E02A06"/>
    <w:rsid w:val="00E16B65"/>
    <w:rsid w:val="00E201E0"/>
    <w:rsid w:val="00E23776"/>
    <w:rsid w:val="00E3013B"/>
    <w:rsid w:val="00E41E89"/>
    <w:rsid w:val="00E5510D"/>
    <w:rsid w:val="00E61EE7"/>
    <w:rsid w:val="00E82194"/>
    <w:rsid w:val="00E84BB9"/>
    <w:rsid w:val="00EA2B73"/>
    <w:rsid w:val="00EA4C20"/>
    <w:rsid w:val="00EB18AF"/>
    <w:rsid w:val="00EB3C31"/>
    <w:rsid w:val="00EB55AD"/>
    <w:rsid w:val="00EB5F88"/>
    <w:rsid w:val="00ED36D0"/>
    <w:rsid w:val="00EF068A"/>
    <w:rsid w:val="00EF2379"/>
    <w:rsid w:val="00EF786D"/>
    <w:rsid w:val="00F04FA0"/>
    <w:rsid w:val="00F16CF7"/>
    <w:rsid w:val="00F23426"/>
    <w:rsid w:val="00F3674C"/>
    <w:rsid w:val="00F43BF7"/>
    <w:rsid w:val="00F60BC7"/>
    <w:rsid w:val="00F978DE"/>
    <w:rsid w:val="00FA1A2B"/>
    <w:rsid w:val="00FD0142"/>
    <w:rsid w:val="00FD4AF7"/>
    <w:rsid w:val="00FF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</cp:lastModifiedBy>
  <cp:revision>346</cp:revision>
  <cp:lastPrinted>2024-09-17T19:43:00Z</cp:lastPrinted>
  <dcterms:created xsi:type="dcterms:W3CDTF">2022-10-30T17:15:00Z</dcterms:created>
  <dcterms:modified xsi:type="dcterms:W3CDTF">2024-10-28T14:19:00Z</dcterms:modified>
</cp:coreProperties>
</file>