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0F1B2D"/>
          <w:sz w:val="40"/>
          <w:szCs w:val="40"/>
        </w:rPr>
        <w:t xml:space="preserve">Churn Analysis — Summary Report</w:t>
      </w:r>
    </w:p>
    <w:p>
      <w:pPr>
        <w:pBdr>
          <w:bottom w:val="single" w:color="00A3E0" w:sz="6" w:space="1"/>
        </w:pBd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by: </w:t>
      </w:r>
      <w:r>
        <w:rPr>
          <w:rFonts w:ascii="Arial" w:cs="Arial" w:eastAsia="Arial" w:hAnsi="Arial"/>
          <w:b/>
          <w:bCs/>
          <w:color w:val="0F1B2D"/>
          <w:sz w:val="20"/>
          <w:szCs w:val="20"/>
        </w:rPr>
        <w:t xml:space="preserve">[Your Name]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|   Dataset: Telco Customer Churn   |   Tools: SQL, Power BI   |   2024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Purpose</w:t>
      </w:r>
    </w:p>
    <w:p>
      <w:pPr>
        <w:spacing w:before="40" w:after="4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To identify the main reasons customers are leaving and to recommend actions the business can take to reduce churn and recover lost revenue.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Key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Customers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7,032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Churned Customers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1,869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Overall Churn Rate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A3E0"/>
                <w:sz w:val="21"/>
                <w:szCs w:val="21"/>
              </w:rPr>
              <w:t xml:space="preserve">26.58%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Monthly Revenue Lost (MRR)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A3E0"/>
                <w:sz w:val="21"/>
                <w:szCs w:val="21"/>
              </w:rPr>
              <w:t xml:space="preserve">$139,130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Annual Revenue Lost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A3E0"/>
                <w:sz w:val="21"/>
                <w:szCs w:val="21"/>
              </w:rPr>
              <w:t xml:space="preserve">$1,669,560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Avg. CLV – Active Customers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$2,555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Avg. CLV – Churned Customers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$1,531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What the Data Shows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26.58% of customers have churned. Industry average for this type of business is 5–7%, so churn is significantly higher than expected.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Month-to-month contract customers churn at 42.71%. One-year is 11.28% and two-year is only 2.85%. Contract type is the biggest driver of churn.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47.68% of customers who have been with the company for 0–12 months have churned. Churn drops sharply after the first year.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Electronic check users churn at 45.29% compared to 15–17% for customers on automatic payments.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Churned customers have a lower average lifetime value ($1,531) compared to active customers ($2,555), meaning they also spent less during their time with the company.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Offer a discount (15–20%) to month-to-month customers who switch to an annual plan. Focus on customers in their first 3–9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Set up a simple onboarding process for new customers — a check-in at month 1, month 3, and month 6 to reduce early dropout.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Give a small monthly discount to customers who switch to automatic payments (bank transfer or credit card).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Create a high-risk customer list: month-to-month contract + electronic check + under 12 months tenure. Contact these customers before they leave.</w:t>
      </w:r>
    </w:p>
    <w:p>
      <w:pPr>
        <w:spacing w:before="60" w:after="6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F1B2D"/>
          <w:sz w:val="24"/>
          <w:szCs w:val="24"/>
        </w:rPr>
        <w:t xml:space="preserve">SQL Query Results</w:t>
      </w:r>
    </w:p>
    <w:p>
      <w:pPr>
        <w:spacing w:before="40" w:after="10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Results from MySQL Workbench queries run on the raw dataset.</w:t>
      </w:r>
    </w:p>
    <w:p>
      <w:pPr>
        <w:spacing w:before="40" w:after="4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Query 1 — Overall Churn Rate</w:t>
      </w:r>
    </w:p>
    <w:p>
      <w:pPr>
        <w:spacing w:after="120"/>
      </w:pPr>
      <w:r>
        <w:drawing>
          <wp:inline distT="0" distB="0" distL="0" distR="0">
            <wp:extent cx="38061214200" cy="505160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214200" cy="50516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Query 2 — Churn by Contract Type</w:t>
      </w:r>
    </w:p>
    <w:p>
      <w:pPr>
        <w:spacing w:after="120"/>
      </w:pPr>
      <w:r>
        <w:drawing>
          <wp:inline distT="0" distB="0" distL="0" distR="0">
            <wp:extent cx="42764430600" cy="879675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4430600" cy="879675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Query 3 — MRR Lost</w:t>
      </w:r>
    </w:p>
    <w:p>
      <w:pPr>
        <w:spacing w:after="120"/>
      </w:pPr>
      <w:r>
        <w:drawing>
          <wp:inline distT="0" distB="0" distL="0" distR="0">
            <wp:extent cx="29787037200" cy="627095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037200" cy="62709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Query 4 — Churn by Tenure Group</w:t>
      </w:r>
    </w:p>
    <w:p>
      <w:pPr>
        <w:spacing w:after="120"/>
      </w:pPr>
      <w:r>
        <w:drawing>
          <wp:inline distT="0" distB="0" distL="0" distR="0">
            <wp:extent cx="41370885000" cy="1262900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0885000" cy="126290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Query 5 — Churn by Payment Method</w:t>
      </w:r>
    </w:p>
    <w:p>
      <w:pPr>
        <w:spacing w:after="120"/>
      </w:pPr>
      <w:r>
        <w:drawing>
          <wp:inline distT="0" distB="0" distL="0" distR="0">
            <wp:extent cx="46857970800" cy="1045159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7970800" cy="10451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Query 6 — Average CLV</w:t>
      </w:r>
    </w:p>
    <w:p>
      <w:pPr>
        <w:spacing w:after="120"/>
      </w:pPr>
      <w:r>
        <w:drawing>
          <wp:inline distT="0" distB="0" distL="0" distR="0">
            <wp:extent cx="37625731200" cy="496450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5731200" cy="496450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8115492a45af98d39e9bb76fbd9844e5384a6a5.jpg"/><Relationship Id="rId7" Type="http://schemas.openxmlformats.org/officeDocument/2006/relationships/image" Target="media/082c491c0630ec9fa64260bbe09e4d434110d7f6.jpg"/><Relationship Id="rId8" Type="http://schemas.openxmlformats.org/officeDocument/2006/relationships/image" Target="media/7542af592069ed5b567bcdba47c6fdf8e887b4a8.jpg"/><Relationship Id="rId9" Type="http://schemas.openxmlformats.org/officeDocument/2006/relationships/image" Target="media/c7a62799e16b0e9ff8a50f7f2524a0e4644cefa6.jpg"/><Relationship Id="rId10" Type="http://schemas.openxmlformats.org/officeDocument/2006/relationships/image" Target="media/0796a185253c7926253d739b5cdc606f87163dec.jpg"/><Relationship Id="rId11" Type="http://schemas.openxmlformats.org/officeDocument/2006/relationships/image" Target="media/5b22420fdf65512cf97914d28c1e4cb16ee24b44.jp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2026-03-17T17:32:30.562Z</dcterms:created>
  <dcterms:modified xsi:type="dcterms:W3CDTF">2026-03-17T17:32:30.563Z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