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030A0"/>
          <w:sz w:val="24"/>
          <w:szCs w:val="24"/>
        </w:rPr>
        <w:t xml:space="preserve">PART A</w:t>
      </w:r>
    </w:p>
    <w:p>
      <w:pPr>
        <w:spacing w:after="60"/>
      </w:pPr>
      <w:r>
        <w:rPr>
          <w:b/>
          <w:bCs/>
          <w:color w:val="7030A0"/>
          <w:sz w:val="22"/>
          <w:szCs w:val="22"/>
        </w:rPr>
        <w:t xml:space="preserve">PROJECT PLAN</w:t>
      </w:r>
    </w:p>
    <w:p>
      <w:pPr>
        <w:spacing w:after="140"/>
      </w:pPr>
      <w:r>
        <w:rPr>
          <w:b/>
          <w:bCs/>
          <w:sz w:val="34"/>
          <w:szCs w:val="34"/>
        </w:rPr>
        <w:t xml:space="preserve">Explainable Banking Fraud, Money-Laundering &amp; Identity-Theft Detection Framework with Analyst-in-the-Loop Review</w:t>
      </w:r>
    </w:p>
    <w:p>
      <w:pPr>
        <w:spacing w:after="200"/>
      </w:pPr>
      <w:r>
        <w:rPr>
          <w:i/>
          <w:iCs/>
          <w:color w:val="555555"/>
          <w:sz w:val="21"/>
          <w:szCs w:val="21"/>
        </w:rPr>
        <w:t xml:space="preserve">Single-institution deployment  •  FastAPI + React  •  Publication-oriented system  •  Catalogue ref. SKI027</w:t>
      </w:r>
    </w:p>
    <w:p>
      <w:pPr>
        <w:pBdr>
          <w:bottom w:val="single" w:color="BFBFBF" w:sz="6" w:space="4"/>
        </w:pBdr>
        <w:spacing w:after="200" w:before="120"/>
      </w:pPr>
      <w:r>
        <w:t xml:space="preserve"/>
      </w:r>
    </w:p>
    <w:p>
      <w:pPr>
        <w:pStyle w:val="Heading1"/>
        <w:spacing w:after="160" w:before="360"/>
      </w:pPr>
      <w:r>
        <w:rPr>
          <w:b/>
          <w:bCs/>
          <w:color w:val="7030A0"/>
          <w:sz w:val="30"/>
          <w:szCs w:val="30"/>
        </w:rPr>
        <w:t xml:space="preserve">1. Research Brief</w:t>
      </w:r>
    </w:p>
    <w:p>
      <w:pPr>
        <w:spacing w:after="140" w:line="300"/>
      </w:pPr>
      <w:r>
        <w:rPr>
          <w:sz w:val="21"/>
          <w:szCs w:val="21"/>
        </w:rPr>
        <w:t xml:space="preserve">Gap being addressed: published fraud/AML (anti-money-laundering) detection papers report precision, recall, and AUC-PR on a fixed historical batch of transactions, but almost never evaluate the single factor that determines real-world adoption: whether a fraud analyst, under time pressure and alert-fatigue, actually investigates correctly faster or more accurately when given a model explanation versus a bare risk score. The vast majority of academic fraud-detection work optimizes the classifier and stops there, treating the analyst's triage workflow as out of scope.</w:t>
      </w:r>
    </w:p>
    <w:p>
      <w:pPr>
        <w:spacing w:after="140" w:line="300"/>
      </w:pPr>
      <w:r>
        <w:rPr>
          <w:sz w:val="21"/>
          <w:szCs w:val="21"/>
        </w:rPr>
        <w:t xml:space="preserve">Novelty claim: this project is not a new fraud classifier — gradient-boosted trees and autoencoder-based anomaly scoring on transaction data are both saturated, well-benchmarked spaces (IEEE-CIS and PaySim leaderboards are dominated by marginal AUC gains). The contribution is the system design plus a triage-efficiency evaluation: does pairing a fraud risk score with a structured, transaction-pattern explanation reduce an analyst's false-escalation rate and median time-to-decision during a simulated alert queue, compared with a score-only baseline? A secondary contribution is explicit handling of extreme class imbalance (fraud is typically &lt;1% of transactions) in a way that is reported transparently rather than papered over with resampling that inflates offline metrics.</w:t>
      </w:r>
    </w:p>
    <w:p>
      <w:pPr>
        <w:spacing w:after="140" w:line="300"/>
      </w:pPr>
      <w:r>
        <w:rPr>
          <w:sz w:val="21"/>
          <w:szCs w:val="21"/>
        </w:rPr>
        <w:t xml:space="preserve">Positioning: an assistive, human-in-the-loop transaction-monitoring and case-triage tool, not an autonomous transaction-blocking system. This keeps regulatory complexity (SAR/STR filing obligations, false-positive liability) bounded, and should be stated explicitly in any documentation, demo, or publication — the system ranks and explains suspicious activity; a fraud/AML analyst makes the escalation or dismissal decision.</w:t>
      </w:r>
    </w:p>
    <w:p>
      <w:pPr>
        <w:pStyle w:val="Heading1"/>
        <w:spacing w:after="160" w:before="360"/>
      </w:pPr>
      <w:r>
        <w:rPr>
          <w:b/>
          <w:bCs/>
          <w:color w:val="7030A0"/>
          <w:sz w:val="30"/>
          <w:szCs w:val="30"/>
        </w:rPr>
        <w:t xml:space="preserve">2. Sprint 1 — Foundation &amp; Data Pipeline</w:t>
      </w:r>
    </w:p>
    <w:p>
      <w:pPr>
        <w:spacing w:after="140" w:line="300"/>
      </w:pPr>
      <w:r>
        <w:rPr>
          <w:i/>
          <w:iCs/>
          <w:color w:val="555555"/>
          <w:sz w:val="21"/>
          <w:szCs w:val="21"/>
        </w:rPr>
        <w:t xml:space="preserve">Duration: 2 weeks. Focus: reproducible transaction-data pipeline, class-imbalance-aware feature set, and a case-queue simulation harness — before any model tuning begins.</w:t>
      </w:r>
    </w:p>
    <w:p>
      <w:pPr>
        <w:pStyle w:val="Heading2"/>
        <w:spacing w:after="120" w:before="260"/>
      </w:pPr>
      <w:r>
        <w:rPr>
          <w:b/>
          <w:bCs/>
          <w:color w:val="7030A0"/>
          <w:sz w:val="25"/>
          <w:szCs w:val="25"/>
        </w:rPr>
        <w:t xml:space="preserve">2.1 Data Sources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50"/>
        <w:gridCol w:w="4300"/>
        <w:gridCol w:w="3200"/>
      </w:tblGrid>
      <w:tr>
        <w:trPr>
          <w:tblHeader/>
        </w:trPr>
        <w:tc>
          <w:tcPr>
            <w:tcW w:type="dxa" w:w="1850"/>
            <w:shd w:fill="1F3864" w:color="auto" w:val="clear"/>
            <w:tcMar>
              <w:top w:type="dxa" w:w="100"/>
              <w:left w:type="dxa" w:w="120"/>
              <w:bottom w:type="dxa" w:w="100"/>
              <w:right w:type="dxa" w:w="120"/>
            </w:tcMar>
            <w:vAlign w:val="center"/>
          </w:tcPr>
          <w:p>
            <w:pPr>
              <w:jc w:val="left"/>
            </w:pPr>
            <w:r>
              <w:rPr>
                <w:b/>
                <w:bCs/>
                <w:color w:val="FFFFFF"/>
                <w:sz w:val="20"/>
                <w:szCs w:val="20"/>
              </w:rPr>
              <w:t xml:space="preserve">Category</w:t>
            </w:r>
          </w:p>
        </w:tc>
        <w:tc>
          <w:tcPr>
            <w:tcW w:type="dxa" w:w="4300"/>
            <w:shd w:fill="1F3864" w:color="auto" w:val="clear"/>
            <w:tcMar>
              <w:top w:type="dxa" w:w="100"/>
              <w:left w:type="dxa" w:w="120"/>
              <w:bottom w:type="dxa" w:w="100"/>
              <w:right w:type="dxa" w:w="120"/>
            </w:tcMar>
            <w:vAlign w:val="center"/>
          </w:tcPr>
          <w:p>
            <w:pPr>
              <w:jc w:val="left"/>
            </w:pPr>
            <w:r>
              <w:rPr>
                <w:b/>
                <w:bCs/>
                <w:color w:val="FFFFFF"/>
                <w:sz w:val="20"/>
                <w:szCs w:val="20"/>
              </w:rPr>
              <w:t xml:space="preserve">Source</w:t>
            </w:r>
          </w:p>
        </w:tc>
        <w:tc>
          <w:tcPr>
            <w:tcW w:type="dxa" w:w="3200"/>
            <w:shd w:fill="1F3864" w:color="auto" w:val="clear"/>
            <w:tcMar>
              <w:top w:type="dxa" w:w="100"/>
              <w:left w:type="dxa" w:w="120"/>
              <w:bottom w:type="dxa" w:w="100"/>
              <w:right w:type="dxa" w:w="120"/>
            </w:tcMar>
            <w:vAlign w:val="center"/>
          </w:tcPr>
          <w:p>
            <w:pPr>
              <w:jc w:val="left"/>
            </w:pPr>
            <w:r>
              <w:rPr>
                <w:b/>
                <w:bCs/>
                <w:color w:val="FFFFFF"/>
                <w:sz w:val="20"/>
                <w:szCs w:val="20"/>
              </w:rPr>
              <w:t xml:space="preserve">Use</w:t>
            </w:r>
          </w:p>
        </w:tc>
      </w:tr>
      <w:tr>
        <w:tc>
          <w:tcPr>
            <w:tcW w:type="dxa" w:w="1850"/>
            <w:tcMar>
              <w:top w:type="dxa" w:w="100"/>
              <w:left w:type="dxa" w:w="120"/>
              <w:bottom w:type="dxa" w:w="100"/>
              <w:right w:type="dxa" w:w="120"/>
            </w:tcMar>
            <w:vAlign w:val="center"/>
          </w:tcPr>
          <w:p>
            <w:pPr>
              <w:jc w:val="left"/>
            </w:pPr>
            <w:r>
              <w:rPr>
                <w:b w:val="false"/>
                <w:bCs w:val="false"/>
                <w:color w:val="000000"/>
                <w:sz w:val="20"/>
                <w:szCs w:val="20"/>
              </w:rPr>
              <w:t xml:space="preserve">Primary dataset</w:t>
            </w:r>
          </w:p>
        </w:tc>
        <w:tc>
          <w:tcPr>
            <w:tcW w:type="dxa" w:w="4300"/>
            <w:tcMar>
              <w:top w:type="dxa" w:w="100"/>
              <w:left w:type="dxa" w:w="120"/>
              <w:bottom w:type="dxa" w:w="100"/>
              <w:right w:type="dxa" w:w="120"/>
            </w:tcMar>
            <w:vAlign w:val="center"/>
          </w:tcPr>
          <w:p>
            <w:pPr>
              <w:jc w:val="left"/>
            </w:pPr>
            <w:r>
              <w:rPr>
                <w:b w:val="false"/>
                <w:bCs w:val="false"/>
                <w:color w:val="000000"/>
                <w:sz w:val="20"/>
                <w:szCs w:val="20"/>
              </w:rPr>
              <w:t xml:space="preserve">IEEE-CIS Fraud Detection (Kaggle) — ~590k real anonymized e-commerce/card transactions with a binary isFraud label and both transaction and identity feature tables</w:t>
            </w:r>
          </w:p>
        </w:tc>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Train / validate the primary fraud-risk classifier; the two tables are joined on TransactionID</w:t>
            </w:r>
          </w:p>
        </w:tc>
      </w:tr>
      <w:tr>
        <w:tc>
          <w:tcPr>
            <w:tcW w:type="dxa" w:w="185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Secondary dataset</w:t>
            </w:r>
          </w:p>
        </w:tc>
        <w:tc>
          <w:tcPr>
            <w:tcW w:type="dxa" w:w="43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PaySim (Kaggle, synthetic mobile-money transactions, ~6.3M rows modeled on a real African mobile-money operator) or the Credit Card Fraud (ULB/Kaggle, PCA-anonymized card transactions)</w:t>
            </w:r>
          </w:p>
        </w:tc>
        <w:tc>
          <w:tcPr>
            <w:tcW w:type="dxa" w:w="32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Cross-dataset generalization test and a money-laundering-pattern analogue — PaySim specifically includes TRANSFER/CASH-OUT chains useful for layering-pattern detection, strengthening the AML angle beyond single-transaction card fraud</w:t>
            </w:r>
          </w:p>
        </w:tc>
      </w:tr>
      <w:tr>
        <w:tc>
          <w:tcPr>
            <w:tcW w:type="dxa" w:w="1850"/>
            <w:tcMar>
              <w:top w:type="dxa" w:w="100"/>
              <w:left w:type="dxa" w:w="120"/>
              <w:bottom w:type="dxa" w:w="100"/>
              <w:right w:type="dxa" w:w="120"/>
            </w:tcMar>
            <w:vAlign w:val="center"/>
          </w:tcPr>
          <w:p>
            <w:pPr>
              <w:jc w:val="left"/>
            </w:pPr>
            <w:r>
              <w:rPr>
                <w:b w:val="false"/>
                <w:bCs w:val="false"/>
                <w:color w:val="000000"/>
                <w:sz w:val="20"/>
                <w:szCs w:val="20"/>
              </w:rPr>
              <w:t xml:space="preserve">Sequential/case-pattern source</w:t>
            </w:r>
          </w:p>
        </w:tc>
        <w:tc>
          <w:tcPr>
            <w:tcW w:type="dxa" w:w="4300"/>
            <w:tcMar>
              <w:top w:type="dxa" w:w="100"/>
              <w:left w:type="dxa" w:w="120"/>
              <w:bottom w:type="dxa" w:w="100"/>
              <w:right w:type="dxa" w:w="120"/>
            </w:tcMar>
            <w:vAlign w:val="center"/>
          </w:tcPr>
          <w:p>
            <w:pPr>
              <w:jc w:val="left"/>
            </w:pPr>
            <w:r>
              <w:rPr>
                <w:b w:val="false"/>
                <w:bCs w:val="false"/>
                <w:color w:val="000000"/>
                <w:sz w:val="20"/>
                <w:szCs w:val="20"/>
              </w:rPr>
              <w:t xml:space="preserve">PaySim's step field (simulated hourly time unit) and nameOrig/nameDest account identifiers</w:t>
            </w:r>
          </w:p>
        </w:tc>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Used to reconstruct short transaction chains per account for the money-laundering layering feature set and for the analyst case-queue simulation — no synthetic case data needed since the chain structure already exists in the dataset</w:t>
            </w:r>
          </w:p>
        </w:tc>
      </w:tr>
      <w:tr>
        <w:tc>
          <w:tcPr>
            <w:tcW w:type="dxa" w:w="185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Synthetic analyst/case metadata</w:t>
            </w:r>
          </w:p>
        </w:tc>
        <w:tc>
          <w:tcPr>
            <w:tcW w:type="dxa" w:w="43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Faker (Python library)</w:t>
            </w:r>
          </w:p>
        </w:tc>
        <w:tc>
          <w:tcPr>
            <w:tcW w:type="dxa" w:w="32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Wraps real transaction rows with synthetic customer name / masked account ID for the demo UI and case file — never real PII; the underlying transaction features remain the genuine (anonymized) dataset values</w:t>
            </w:r>
          </w:p>
        </w:tc>
      </w:tr>
      <w:tr>
        <w:tc>
          <w:tcPr>
            <w:tcW w:type="dxa" w:w="1850"/>
            <w:tcMar>
              <w:top w:type="dxa" w:w="100"/>
              <w:left w:type="dxa" w:w="120"/>
              <w:bottom w:type="dxa" w:w="100"/>
              <w:right w:type="dxa" w:w="120"/>
            </w:tcMar>
            <w:vAlign w:val="center"/>
          </w:tcPr>
          <w:p>
            <w:pPr>
              <w:jc w:val="left"/>
            </w:pPr>
            <w:r>
              <w:rPr>
                <w:b w:val="false"/>
                <w:bCs w:val="false"/>
                <w:color w:val="000000"/>
                <w:sz w:val="20"/>
                <w:szCs w:val="20"/>
              </w:rPr>
              <w:t xml:space="preserve">Live API / web scraping</w:t>
            </w:r>
          </w:p>
        </w:tc>
        <w:tc>
          <w:tcPr>
            <w:tcW w:type="dxa" w:w="4300"/>
            <w:tcMar>
              <w:top w:type="dxa" w:w="100"/>
              <w:left w:type="dxa" w:w="120"/>
              <w:bottom w:type="dxa" w:w="100"/>
              <w:right w:type="dxa" w:w="120"/>
            </w:tcMar>
            <w:vAlign w:val="center"/>
          </w:tcPr>
          <w:p>
            <w:pPr>
              <w:jc w:val="left"/>
            </w:pPr>
            <w:r>
              <w:rPr>
                <w:b w:val="false"/>
                <w:bCs w:val="false"/>
                <w:color w:val="000000"/>
                <w:sz w:val="20"/>
                <w:szCs w:val="20"/>
              </w:rPr>
              <w:t xml:space="preserve">Not used</w:t>
            </w:r>
          </w:p>
        </w:tc>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This project does not need real-time payment-network data; adding a live card-network API or scraping source here would add compliance and cost risk with no payoff for a research prototype</w:t>
            </w:r>
          </w:p>
        </w:tc>
      </w:tr>
    </w:tbl>
    <w:p>
      <w:pPr>
        <w:spacing w:after="160"/>
      </w:pPr>
      <w:r>
        <w:t xml:space="preserve"/>
      </w:r>
    </w:p>
    <w:p>
      <w:pPr>
        <w:pStyle w:val="Heading2"/>
        <w:spacing w:after="120" w:before="260"/>
      </w:pPr>
      <w:r>
        <w:rPr>
          <w:b/>
          <w:bCs/>
          <w:color w:val="7030A0"/>
          <w:sz w:val="25"/>
          <w:szCs w:val="25"/>
        </w:rPr>
        <w:t xml:space="preserve">2.2 Data Inputs and Feature Specification</w:t>
      </w:r>
    </w:p>
    <w:p>
      <w:pPr>
        <w:spacing w:after="140" w:line="300"/>
      </w:pPr>
      <w:r>
        <w:rPr>
          <w:sz w:val="21"/>
          <w:szCs w:val="21"/>
        </w:rPr>
        <w:t xml:space="preserve">Precise definition of what feeds the model, to keep Sprint 2 training fully reproducible from this point forward:</w:t>
      </w:r>
    </w:p>
    <w:p>
      <w:pPr>
        <w:pStyle w:val="Heading3"/>
        <w:spacing w:after="100" w:before="200"/>
      </w:pPr>
      <w:r>
        <w:rPr>
          <w:b/>
          <w:bCs/>
          <w:sz w:val="22"/>
          <w:szCs w:val="22"/>
        </w:rPr>
        <w:t xml:space="preserve">Raw input format</w:t>
      </w:r>
    </w:p>
    <w:p>
      <w:pPr>
        <w:pStyle w:val="ListParagraph"/>
        <w:numPr>
          <w:ilvl w:val="0"/>
          <w:numId w:val="2"/>
        </w:numPr>
        <w:spacing w:after="90" w:line="290"/>
      </w:pPr>
      <w:r>
        <w:rPr>
          <w:sz w:val="21"/>
          <w:szCs w:val="21"/>
        </w:rPr>
        <w:t xml:space="preserve">Source files delivered as CSV (IEEE-CIS: train_transaction.csv + train_identity.csv, joined on TransactionID; PaySim: single CSV).</w:t>
      </w:r>
    </w:p>
    <w:p>
      <w:pPr>
        <w:pStyle w:val="ListParagraph"/>
        <w:numPr>
          <w:ilvl w:val="0"/>
          <w:numId w:val="2"/>
        </w:numPr>
        <w:spacing w:after="90" w:line="290"/>
      </w:pPr>
      <w:r>
        <w:rPr>
          <w:sz w:val="21"/>
          <w:szCs w:val="21"/>
        </w:rPr>
        <w:t xml:space="preserve">Unit of observation: one row per transaction.</w:t>
      </w:r>
    </w:p>
    <w:p>
      <w:pPr>
        <w:pStyle w:val="ListParagraph"/>
        <w:numPr>
          <w:ilvl w:val="0"/>
          <w:numId w:val="2"/>
        </w:numPr>
        <w:spacing w:after="90" w:line="290"/>
      </w:pPr>
      <w:r>
        <w:rPr>
          <w:sz w:val="21"/>
          <w:szCs w:val="21"/>
        </w:rPr>
        <w:t xml:space="preserve">Target label: isFraud (IEEE-CIS, binary, provided) or isFraud (PaySim, binary, provided) — both datasets ship ground-truth labels, removing the need for weak-label heuristics.</w:t>
      </w:r>
    </w:p>
    <w:p>
      <w:pPr>
        <w:pStyle w:val="Heading3"/>
        <w:spacing w:after="100" w:before="200"/>
      </w:pPr>
      <w:r>
        <w:rPr>
          <w:b/>
          <w:bCs/>
          <w:sz w:val="22"/>
          <w:szCs w:val="22"/>
        </w:rPr>
        <w:t xml:space="preserve">Feature groups retained (post-pruning to avoid leakage and near-duplicate fields)</w:t>
      </w:r>
    </w:p>
    <w:p>
      <w:pPr>
        <w:pStyle w:val="ListParagraph"/>
        <w:numPr>
          <w:ilvl w:val="0"/>
          <w:numId w:val="2"/>
        </w:numPr>
        <w:spacing w:after="90" w:line="290"/>
      </w:pPr>
      <w:r>
        <w:rPr>
          <w:sz w:val="21"/>
          <w:szCs w:val="21"/>
        </w:rPr>
        <w:t xml:space="preserve">Transaction features: TransactionAmt, ProductCD, card type/category fields, transaction-time deltas (TransactionDT converted to hour-of-day and day-of-week cyclic features).</w:t>
      </w:r>
    </w:p>
    <w:p>
      <w:pPr>
        <w:pStyle w:val="ListParagraph"/>
        <w:numPr>
          <w:ilvl w:val="0"/>
          <w:numId w:val="2"/>
        </w:numPr>
        <w:spacing w:after="90" w:line="290"/>
      </w:pPr>
      <w:r>
        <w:rPr>
          <w:sz w:val="21"/>
          <w:szCs w:val="21"/>
        </w:rPr>
        <w:t xml:space="preserve">Account/device features (IEEE-CIS identity table): DeviceType, DeviceInfo (bucketed to top-N categories + "other"), id_ fields related to browser/OS fingerprint.</w:t>
      </w:r>
    </w:p>
    <w:p>
      <w:pPr>
        <w:pStyle w:val="ListParagraph"/>
        <w:numPr>
          <w:ilvl w:val="0"/>
          <w:numId w:val="2"/>
        </w:numPr>
        <w:spacing w:after="90" w:line="290"/>
      </w:pPr>
      <w:r>
        <w:rPr>
          <w:sz w:val="21"/>
          <w:szCs w:val="21"/>
        </w:rPr>
        <w:t xml:space="preserve">Behavioral/velocity features (engineered, not raw): count and sum of transactions per card/account in the trailing 1h/24h/7d windows — a standard and high-signal fraud feature family, computed as a rolling aggregation over the time-ordered data, never using future transactions (point-in-time correctness is enforced and documented).</w:t>
      </w:r>
    </w:p>
    <w:p>
      <w:pPr>
        <w:pStyle w:val="ListParagraph"/>
        <w:numPr>
          <w:ilvl w:val="0"/>
          <w:numId w:val="2"/>
        </w:numPr>
        <w:spacing w:after="90" w:line="290"/>
      </w:pPr>
      <w:r>
        <w:rPr>
          <w:sz w:val="21"/>
          <w:szCs w:val="21"/>
        </w:rPr>
        <w:t xml:space="preserve">AML layering features (PaySim): chain depth and total amount moved through a TRANSFER followed by CASH-OUT within a short step window for the same destination account — a simplified proxy for a classic layering pattern.</w:t>
      </w:r>
    </w:p>
    <w:p>
      <w:pPr>
        <w:pStyle w:val="ListParagraph"/>
        <w:numPr>
          <w:ilvl w:val="0"/>
          <w:numId w:val="2"/>
        </w:numPr>
        <w:spacing w:after="90" w:line="290"/>
      </w:pPr>
      <w:r>
        <w:rPr>
          <w:sz w:val="21"/>
          <w:szCs w:val="21"/>
        </w:rPr>
        <w:t xml:space="preserve">Explicitly excluded: any field that is only populated after a case is resolved or that encodes investigator action (not present in either source dataset by design, but documented as a standing exclusion rule for any future production data onboarding).</w:t>
      </w:r>
    </w:p>
    <w:p>
      <w:pPr>
        <w:pStyle w:val="Heading3"/>
        <w:spacing w:after="100" w:before="200"/>
      </w:pPr>
      <w:r>
        <w:rPr>
          <w:b/>
          <w:bCs/>
          <w:sz w:val="22"/>
          <w:szCs w:val="22"/>
        </w:rPr>
        <w:t xml:space="preserve">Preprocessing steps</w:t>
      </w:r>
    </w:p>
    <w:p>
      <w:pPr>
        <w:pStyle w:val="ListParagraph"/>
        <w:numPr>
          <w:ilvl w:val="0"/>
          <w:numId w:val="2"/>
        </w:numPr>
        <w:spacing w:after="90" w:line="290"/>
      </w:pPr>
      <w:r>
        <w:rPr>
          <w:sz w:val="21"/>
          <w:szCs w:val="21"/>
        </w:rPr>
        <w:t xml:space="preserve">Missing-value handling: median imputation for numeric fields with an added *_was_missing binary flag column; categorical missingness encoded as an explicit "unknown" category rather than dropped, since missingness itself is a known fraud signal (e.g., missing device fingerprint).</w:t>
      </w:r>
    </w:p>
    <w:p>
      <w:pPr>
        <w:pStyle w:val="ListParagraph"/>
        <w:numPr>
          <w:ilvl w:val="0"/>
          <w:numId w:val="2"/>
        </w:numPr>
        <w:spacing w:after="90" w:line="290"/>
      </w:pPr>
      <w:r>
        <w:rPr>
          <w:sz w:val="21"/>
          <w:szCs w:val="21"/>
        </w:rPr>
        <w:t xml:space="preserve">Categorical encoding: frequency/target-safe encoding for high-cardinality fields (card issuer, device info bucket); one-hot for low-cardinality fields (ProductCD, DeviceType).</w:t>
      </w:r>
    </w:p>
    <w:p>
      <w:pPr>
        <w:pStyle w:val="ListParagraph"/>
        <w:numPr>
          <w:ilvl w:val="0"/>
          <w:numId w:val="2"/>
        </w:numPr>
        <w:spacing w:after="90" w:line="290"/>
      </w:pPr>
      <w:r>
        <w:rPr>
          <w:sz w:val="21"/>
          <w:szCs w:val="21"/>
        </w:rPr>
        <w:t xml:space="preserve">Numeric scaling: not required for the primary tree-based model; a scaled copy is retained for the logistic-regression interpretability baseline, consistent with the companion loan-default project (Part B).</w:t>
      </w:r>
    </w:p>
    <w:p>
      <w:pPr>
        <w:pStyle w:val="ListParagraph"/>
        <w:numPr>
          <w:ilvl w:val="0"/>
          <w:numId w:val="2"/>
        </w:numPr>
        <w:spacing w:after="90" w:line="290"/>
      </w:pPr>
      <w:r>
        <w:rPr>
          <w:sz w:val="21"/>
          <w:szCs w:val="21"/>
        </w:rPr>
        <w:t xml:space="preserve">Class imbalance handling: fraud prevalence is roughly 2–4% (IEEE-CIS) and under 1% (PaySim) — addressed via class_weight balancing and a precision-recall-optimized decision threshold rather than naive SMOTE oversampling, since oversampling on anonymized/PCA-style features is known to fabricate unrealistic synthetic fraud patterns; this choice and its trade-offs are documented explicitly in the methods section, directly addressing a common and under-reported weakness in prior fraud-detection papers.</w:t>
      </w:r>
    </w:p>
    <w:p>
      <w:pPr>
        <w:pStyle w:val="Heading3"/>
        <w:spacing w:after="100" w:before="200"/>
      </w:pPr>
      <w:r>
        <w:rPr>
          <w:b/>
          <w:bCs/>
          <w:sz w:val="22"/>
          <w:szCs w:val="22"/>
        </w:rPr>
        <w:t xml:space="preserve">Feature engineering</w:t>
      </w:r>
    </w:p>
    <w:p>
      <w:pPr>
        <w:pStyle w:val="ListParagraph"/>
        <w:numPr>
          <w:ilvl w:val="0"/>
          <w:numId w:val="2"/>
        </w:numPr>
        <w:spacing w:after="90" w:line="290"/>
      </w:pPr>
      <w:r>
        <w:rPr>
          <w:sz w:val="21"/>
          <w:szCs w:val="21"/>
        </w:rPr>
        <w:t xml:space="preserve">amount_to_account_avg_ratio = TransactionAmt / rolling 30-day average transaction amount for that account — flags anomalous single transactions relative to personal baseline.</w:t>
      </w:r>
    </w:p>
    <w:p>
      <w:pPr>
        <w:pStyle w:val="ListParagraph"/>
        <w:numPr>
          <w:ilvl w:val="0"/>
          <w:numId w:val="2"/>
        </w:numPr>
        <w:spacing w:after="90" w:line="290"/>
      </w:pPr>
      <w:r>
        <w:rPr>
          <w:sz w:val="21"/>
          <w:szCs w:val="21"/>
        </w:rPr>
        <w:t xml:space="preserve">velocity_1h, velocity_24h = count of transactions by the same card/account in the trailing window.</w:t>
      </w:r>
    </w:p>
    <w:p>
      <w:pPr>
        <w:pStyle w:val="ListParagraph"/>
        <w:numPr>
          <w:ilvl w:val="0"/>
          <w:numId w:val="2"/>
        </w:numPr>
        <w:spacing w:after="90" w:line="290"/>
      </w:pPr>
      <w:r>
        <w:rPr>
          <w:sz w:val="21"/>
          <w:szCs w:val="21"/>
        </w:rPr>
        <w:t xml:space="preserve">new_device_flag = 1 if the device/browser fingerprint has not been seen before for this account in the historical window.</w:t>
      </w:r>
    </w:p>
    <w:p>
      <w:pPr>
        <w:pStyle w:val="Heading3"/>
        <w:spacing w:after="100" w:before="200"/>
      </w:pPr>
      <w:r>
        <w:rPr>
          <w:b/>
          <w:bCs/>
          <w:sz w:val="22"/>
          <w:szCs w:val="22"/>
        </w:rPr>
        <w:t xml:space="preserve">Data flow into training / inference</w:t>
      </w:r>
    </w:p>
    <w:p>
      <w:pPr>
        <w:pStyle w:val="ListParagraph"/>
        <w:numPr>
          <w:ilvl w:val="0"/>
          <w:numId w:val="2"/>
        </w:numPr>
        <w:spacing w:after="90" w:line="290"/>
      </w:pPr>
      <w:r>
        <w:rPr>
          <w:sz w:val="21"/>
          <w:szCs w:val="21"/>
        </w:rPr>
        <w:t xml:space="preserve">Raw CSV → joining + cleaning script (pandas) → Parquet feature store, partitioned by transaction time (this partitioning is what the Sprint 2 case-queue simulation reads from directly).</w:t>
      </w:r>
    </w:p>
    <w:p>
      <w:pPr>
        <w:pStyle w:val="ListParagraph"/>
        <w:numPr>
          <w:ilvl w:val="0"/>
          <w:numId w:val="2"/>
        </w:numPr>
        <w:spacing w:after="90" w:line="290"/>
      </w:pPr>
      <w:r>
        <w:rPr>
          <w:sz w:val="21"/>
          <w:szCs w:val="21"/>
        </w:rPr>
        <w:t xml:space="preserve">Feature store → deterministic train/validation/test split by time (train: earliest window; validation: middle window; held-out test set: latest window) — a time-based split, since velocity and layering features are only valid when computed causally and evaluated on a later, unseen period.</w:t>
      </w:r>
    </w:p>
    <w:p>
      <w:pPr>
        <w:pStyle w:val="ListParagraph"/>
        <w:numPr>
          <w:ilvl w:val="0"/>
          <w:numId w:val="2"/>
        </w:numPr>
        <w:spacing w:after="90" w:line="290"/>
      </w:pPr>
      <w:r>
        <w:rPr>
          <w:sz w:val="21"/>
          <w:szCs w:val="21"/>
        </w:rPr>
        <w:t xml:space="preserve">At inference time, the same cleaning/feature-engineering function (packaged as a single transform_features() module, not duplicated notebook code) is imported by both the training pipeline and the FastAPI inference service, guaranteeing train/serve consistency — identical design pattern to the companion loan-default project.</w:t>
      </w:r>
    </w:p>
    <w:p>
      <w:pPr>
        <w:pStyle w:val="Heading2"/>
        <w:spacing w:after="120" w:before="260"/>
      </w:pPr>
      <w:r>
        <w:rPr>
          <w:b/>
          <w:bCs/>
          <w:color w:val="7030A0"/>
          <w:sz w:val="25"/>
          <w:szCs w:val="25"/>
        </w:rPr>
        <w:t xml:space="preserve">2.3 Pipeline Tasks</w:t>
      </w:r>
    </w:p>
    <w:p>
      <w:pPr>
        <w:pStyle w:val="ListParagraph"/>
        <w:numPr>
          <w:ilvl w:val="0"/>
          <w:numId w:val="2"/>
        </w:numPr>
        <w:spacing w:after="90" w:line="290"/>
      </w:pPr>
      <w:r>
        <w:rPr>
          <w:sz w:val="21"/>
          <w:szCs w:val="21"/>
        </w:rPr>
        <w:t xml:space="preserve">Initialize repository structure: /data, /notebooks, /backend, /frontend, /docs, /monitoring</w:t>
      </w:r>
    </w:p>
    <w:p>
      <w:pPr>
        <w:pStyle w:val="ListParagraph"/>
        <w:numPr>
          <w:ilvl w:val="0"/>
          <w:numId w:val="2"/>
        </w:numPr>
        <w:spacing w:after="90" w:line="290"/>
      </w:pPr>
      <w:r>
        <w:rPr>
          <w:sz w:val="21"/>
          <w:szCs w:val="21"/>
        </w:rPr>
        <w:t xml:space="preserve">Pin dependencies in requirements.txt; write a Dockerfile for reproducibility</w:t>
      </w:r>
    </w:p>
    <w:p>
      <w:pPr>
        <w:pStyle w:val="ListParagraph"/>
        <w:numPr>
          <w:ilvl w:val="0"/>
          <w:numId w:val="2"/>
        </w:numPr>
        <w:spacing w:after="90" w:line="290"/>
      </w:pPr>
      <w:r>
        <w:rPr>
          <w:sz w:val="21"/>
          <w:szCs w:val="21"/>
        </w:rPr>
        <w:t xml:space="preserve">Exploratory data analysis notebook covering class balance, transaction-amount distribution, and categorical cardinality — IEEE-CIS's device/card fields have very high cardinality and long-tail categories, and this should be documented since it directly affects encoding choice and reported metrics</w:t>
      </w:r>
    </w:p>
    <w:p>
      <w:pPr>
        <w:pStyle w:val="ListParagraph"/>
        <w:numPr>
          <w:ilvl w:val="0"/>
          <w:numId w:val="2"/>
        </w:numPr>
        <w:spacing w:after="90" w:line="290"/>
      </w:pPr>
      <w:r>
        <w:rPr>
          <w:sz w:val="21"/>
          <w:szCs w:val="21"/>
        </w:rPr>
        <w:t xml:space="preserve">Build a data dictionary: feature_name, dtype, source_table, null_rate, transformation_applied, leakage_risk_flag</w:t>
      </w:r>
    </w:p>
    <w:p>
      <w:pPr>
        <w:pStyle w:val="ListParagraph"/>
        <w:numPr>
          <w:ilvl w:val="0"/>
          <w:numId w:val="2"/>
        </w:numPr>
        <w:spacing w:after="90" w:line="290"/>
      </w:pPr>
      <w:r>
        <w:rPr>
          <w:sz w:val="21"/>
          <w:szCs w:val="21"/>
        </w:rPr>
        <w:t xml:space="preserve">Document provenance for each source: dataset version, download date, license terms (Kaggle competition-data terms for IEEE-CIS; PaySim's open license)</w:t>
      </w:r>
    </w:p>
    <w:p>
      <w:pPr>
        <w:pStyle w:val="ListParagraph"/>
        <w:numPr>
          <w:ilvl w:val="0"/>
          <w:numId w:val="2"/>
        </w:numPr>
        <w:spacing w:after="90" w:line="290"/>
      </w:pPr>
      <w:r>
        <w:rPr>
          <w:sz w:val="21"/>
          <w:szCs w:val="21"/>
        </w:rPr>
        <w:t xml:space="preserve">Build the case-queue simulation harness now, not in Sprint 2: a utility that can slice the Parquet store into a time-ordered "alert queue" of the top-N highest-risk transactions per hour, mimicking how an analyst actually encounters cases — this harness is reused across all three sprints</w:t>
      </w:r>
    </w:p>
    <w:p>
      <w:pPr>
        <w:pStyle w:val="Heading1"/>
        <w:spacing w:after="160" w:before="360"/>
      </w:pPr>
      <w:r>
        <w:rPr>
          <w:b/>
          <w:bCs/>
          <w:color w:val="7030A0"/>
          <w:sz w:val="30"/>
          <w:szCs w:val="30"/>
        </w:rPr>
        <w:t xml:space="preserve">3. Sprint 2 — Model Development, Explainability &amp; Pattern Monitoring</w:t>
      </w:r>
    </w:p>
    <w:p>
      <w:pPr>
        <w:spacing w:after="140" w:line="300"/>
      </w:pPr>
      <w:r>
        <w:rPr>
          <w:i/>
          <w:iCs/>
          <w:color w:val="555555"/>
          <w:sz w:val="21"/>
          <w:szCs w:val="21"/>
        </w:rPr>
        <w:t xml:space="preserve">Duration: 3 weeks. Focus: the model layer, the explanation layer, and a concept-drift / fraud-pattern-shift monitoring layer — the three components that differentiate this from a standard classifier project.</w:t>
      </w:r>
    </w:p>
    <w:p>
      <w:pPr>
        <w:pStyle w:val="Heading2"/>
        <w:spacing w:after="120" w:before="260"/>
      </w:pPr>
      <w:r>
        <w:rPr>
          <w:b/>
          <w:bCs/>
          <w:color w:val="7030A0"/>
          <w:sz w:val="25"/>
          <w:szCs w:val="25"/>
        </w:rPr>
        <w:t xml:space="preserve">3.1 Model Layer</w:t>
      </w:r>
    </w:p>
    <w:p>
      <w:pPr>
        <w:pStyle w:val="Heading3"/>
        <w:spacing w:after="100" w:before="200"/>
      </w:pPr>
      <w:r>
        <w:rPr>
          <w:b/>
          <w:bCs/>
          <w:sz w:val="22"/>
          <w:szCs w:val="22"/>
        </w:rPr>
        <w:t xml:space="preserve">Primary model</w:t>
      </w:r>
    </w:p>
    <w:p>
      <w:pPr>
        <w:pStyle w:val="ListParagraph"/>
        <w:numPr>
          <w:ilvl w:val="0"/>
          <w:numId w:val="2"/>
        </w:numPr>
        <w:spacing w:after="90" w:line="290"/>
      </w:pPr>
      <w:r>
        <w:rPr>
          <w:sz w:val="21"/>
          <w:szCs w:val="21"/>
        </w:rPr>
        <w:t xml:space="preserve">Algorithm: Gradient-boosted decision trees — LightGBM (primary) with an XGBoost run for a robustness cross-check.</w:t>
      </w:r>
    </w:p>
    <w:p>
      <w:pPr>
        <w:pStyle w:val="ListParagraph"/>
        <w:numPr>
          <w:ilvl w:val="0"/>
          <w:numId w:val="2"/>
        </w:numPr>
        <w:spacing w:after="90" w:line="290"/>
      </w:pPr>
      <w:r>
        <w:rPr>
          <w:sz w:val="21"/>
          <w:szCs w:val="21"/>
        </w:rPr>
        <w:t xml:space="preserve">Justification: fraud detection on tabular, mixed-type, highly imbalanced transaction data is the canonical strong case for GBTs; they handle the native sparsity and mixed numeric/categorical structure of IEEE-CIS well, support class-weighted and custom objective functions needed for imbalance, train in well under an hour on free-tier compute (no GPU required), and — as in the companion project — have a mature, fast, exact SHAP implementation (TreeExplainer), which the explanation layer depends on.</w:t>
      </w:r>
    </w:p>
    <w:p>
      <w:pPr>
        <w:pStyle w:val="ListParagraph"/>
        <w:numPr>
          <w:ilvl w:val="0"/>
          <w:numId w:val="2"/>
        </w:numPr>
        <w:spacing w:after="90" w:line="290"/>
      </w:pPr>
      <w:r>
        <w:rPr>
          <w:sz w:val="21"/>
          <w:szCs w:val="21"/>
        </w:rPr>
        <w:t xml:space="preserve">Hyperparameters tuned via time-series-aware cross-validation (expanding window, not shuffled k-fold) — shuffled k-fold would leak future transaction patterns into past folds and is flagged in the plan as a common methodological error to avoid, matching the approach used in the companion loan-default project.</w:t>
      </w:r>
    </w:p>
    <w:p>
      <w:pPr>
        <w:pStyle w:val="Heading3"/>
        <w:spacing w:after="100" w:before="200"/>
      </w:pPr>
      <w:r>
        <w:rPr>
          <w:b/>
          <w:bCs/>
          <w:sz w:val="22"/>
          <w:szCs w:val="22"/>
        </w:rPr>
        <w:t xml:space="preserve">Secondary / complementary model</w:t>
      </w:r>
    </w:p>
    <w:p>
      <w:pPr>
        <w:pStyle w:val="ListParagraph"/>
        <w:numPr>
          <w:ilvl w:val="0"/>
          <w:numId w:val="2"/>
        </w:numPr>
        <w:spacing w:after="90" w:line="290"/>
      </w:pPr>
      <w:r>
        <w:rPr>
          <w:sz w:val="21"/>
          <w:szCs w:val="21"/>
        </w:rPr>
        <w:t xml:space="preserve">Algorithm: Isolation Forest (unsupervised anomaly detector) run alongside the supervised GBT.</w:t>
      </w:r>
    </w:p>
    <w:p>
      <w:pPr>
        <w:pStyle w:val="ListParagraph"/>
        <w:numPr>
          <w:ilvl w:val="0"/>
          <w:numId w:val="2"/>
        </w:numPr>
        <w:spacing w:after="90" w:line="290"/>
      </w:pPr>
      <w:r>
        <w:rPr>
          <w:sz w:val="21"/>
          <w:szCs w:val="21"/>
        </w:rPr>
        <w:t xml:space="preserve">Justification: fraud patterns evolve and new fraud typologies appear that have no labeled historical examples ("zero-day" fraud patterns); an unsupervised anomaly score provides a second, label-independent signal that is combined with the supervised score as an ensemble input to the analyst-facing risk rank — an approach directly motivated by a well-known weakness of purely supervised fraud models, and a natural angle for the paper's discussion section.</w:t>
      </w:r>
    </w:p>
    <w:p>
      <w:pPr>
        <w:pStyle w:val="Heading3"/>
        <w:spacing w:after="100" w:before="200"/>
      </w:pPr>
      <w:r>
        <w:rPr>
          <w:b/>
          <w:bCs/>
          <w:sz w:val="22"/>
          <w:szCs w:val="22"/>
        </w:rPr>
        <w:t xml:space="preserve">Interpretability baseline model</w:t>
      </w:r>
    </w:p>
    <w:p>
      <w:pPr>
        <w:pStyle w:val="ListParagraph"/>
        <w:numPr>
          <w:ilvl w:val="0"/>
          <w:numId w:val="2"/>
        </w:numPr>
        <w:spacing w:after="90" w:line="290"/>
      </w:pPr>
      <w:r>
        <w:rPr>
          <w:sz w:val="21"/>
          <w:szCs w:val="21"/>
        </w:rPr>
        <w:t xml:space="preserve">Algorithm: L2-regularized logistic regression on the scaled feature set.</w:t>
      </w:r>
    </w:p>
    <w:p>
      <w:pPr>
        <w:pStyle w:val="ListParagraph"/>
        <w:numPr>
          <w:ilvl w:val="0"/>
          <w:numId w:val="2"/>
        </w:numPr>
        <w:spacing w:after="90" w:line="290"/>
      </w:pPr>
      <w:r>
        <w:rPr>
          <w:sz w:val="21"/>
          <w:szCs w:val="21"/>
        </w:rPr>
        <w:t xml:space="preserve">Justification: serves the same dual purpose as in the companion project — a transparent, coefficient-interpretable sanity check that the GBT's SHAP explanations align directionally with a known-interpretable model, and a fast-to-retrain fallback model referenced in the retraining-trigger logic below.</w:t>
      </w:r>
    </w:p>
    <w:p>
      <w:pPr>
        <w:pStyle w:val="Heading3"/>
        <w:spacing w:after="100" w:before="200"/>
      </w:pPr>
      <w:r>
        <w:rPr>
          <w:b/>
          <w:bCs/>
          <w:sz w:val="22"/>
          <w:szCs w:val="22"/>
        </w:rPr>
        <w:t xml:space="preserve">Pattern-shift / monitoring layer</w:t>
      </w:r>
    </w:p>
    <w:p>
      <w:pPr>
        <w:pStyle w:val="ListParagraph"/>
        <w:numPr>
          <w:ilvl w:val="0"/>
          <w:numId w:val="2"/>
        </w:numPr>
        <w:spacing w:after="90" w:line="290"/>
      </w:pPr>
      <w:r>
        <w:rPr>
          <w:sz w:val="21"/>
          <w:szCs w:val="21"/>
        </w:rPr>
        <w:t xml:space="preserve">Method: population-level drift via Kolmogorov-Smirnov two-sample test per feature (transaction amount, velocity features, device-type mix), and prediction-level drift via the ADWIN (Adaptive Windowing) algorithm from the river library, applied to the model's output score stream over time-ordered batches — identical statistical tooling to the companion loan-default project, for methodological consistency across the combined portfolio.</w:t>
      </w:r>
    </w:p>
    <w:p>
      <w:pPr>
        <w:pStyle w:val="ListParagraph"/>
        <w:numPr>
          <w:ilvl w:val="0"/>
          <w:numId w:val="2"/>
        </w:numPr>
        <w:spacing w:after="90" w:line="290"/>
      </w:pPr>
      <w:r>
        <w:rPr>
          <w:sz w:val="21"/>
          <w:szCs w:val="21"/>
        </w:rPr>
        <w:t xml:space="preserve">Justification: fraud rings deliberately adapt their behavior to evade a fixed model (adversarial drift, as opposed to the companion project's natural economic drift), making a monitoring layer arguably even more central to fraud detection than to credit scoring; KS-test is distribution-agnostic and interpretable per-feature ("transaction-velocity distribution shifted, p &lt; 0.01"), and ADWIN requires no resolved label to trigger — important, since confirmed fraud outcomes often lag the transaction by days or weeks while a chargeback or SAR is processed.</w:t>
      </w:r>
    </w:p>
    <w:p>
      <w:pPr>
        <w:pStyle w:val="Heading3"/>
        <w:spacing w:after="100" w:before="200"/>
      </w:pPr>
      <w:r>
        <w:rPr>
          <w:b/>
          <w:bCs/>
          <w:sz w:val="22"/>
          <w:szCs w:val="22"/>
        </w:rPr>
        <w:t xml:space="preserve">Explanation engine</w:t>
      </w:r>
    </w:p>
    <w:p>
      <w:pPr>
        <w:pStyle w:val="ListParagraph"/>
        <w:numPr>
          <w:ilvl w:val="0"/>
          <w:numId w:val="2"/>
        </w:numPr>
        <w:spacing w:after="90" w:line="290"/>
      </w:pPr>
      <w:r>
        <w:rPr>
          <w:sz w:val="21"/>
          <w:szCs w:val="21"/>
        </w:rPr>
        <w:t xml:space="preserve">SHAP TreeExplainer (shap library) computing per-prediction feature attributions directly on the LightGBM model — exact and fast for tree ensembles, unlike model-agnostic KernelSHAP.</w:t>
      </w:r>
    </w:p>
    <w:p>
      <w:pPr>
        <w:pStyle w:val="ListParagraph"/>
        <w:numPr>
          <w:ilvl w:val="0"/>
          <w:numId w:val="2"/>
        </w:numPr>
        <w:spacing w:after="90" w:line="290"/>
      </w:pPr>
      <w:r>
        <w:rPr>
          <w:sz w:val="21"/>
          <w:szCs w:val="21"/>
        </w:rPr>
        <w:t xml:space="preserve">Rule-based narrative layer: top-3 SHAP features per prediction mapped to a template rationale string (e.g., "elevated risk driven primarily by transaction velocity (6 transactions in 1 hour) and a previously unseen device fingerprint") — same pattern-mapping approach used in the ophthalmic and loan-default projects' explanation layers, adapted to transaction-pattern attributions.</w:t>
      </w:r>
    </w:p>
    <w:p>
      <w:pPr>
        <w:pStyle w:val="Heading2"/>
        <w:spacing w:after="120" w:before="260"/>
      </w:pPr>
      <w:r>
        <w:rPr>
          <w:b/>
          <w:bCs/>
          <w:color w:val="7030A0"/>
          <w:sz w:val="25"/>
          <w:szCs w:val="25"/>
        </w:rPr>
        <w:t xml:space="preserve">3.2 Data Inputs at This Stage</w:t>
      </w:r>
    </w:p>
    <w:p>
      <w:pPr>
        <w:pStyle w:val="ListParagraph"/>
        <w:numPr>
          <w:ilvl w:val="0"/>
          <w:numId w:val="2"/>
        </w:numPr>
        <w:spacing w:after="90" w:line="290"/>
      </w:pPr>
      <w:r>
        <w:rPr>
          <w:sz w:val="21"/>
          <w:szCs w:val="21"/>
        </w:rPr>
        <w:t xml:space="preserve">Training input: the Parquet feature store from Sprint 1, time-sliced into train/validation partitions; identical transform_features() module as Sprint 1 (no re-derivation of logic).</w:t>
      </w:r>
    </w:p>
    <w:p>
      <w:pPr>
        <w:pStyle w:val="ListParagraph"/>
        <w:numPr>
          <w:ilvl w:val="0"/>
          <w:numId w:val="2"/>
        </w:numPr>
        <w:spacing w:after="90" w:line="290"/>
      </w:pPr>
      <w:r>
        <w:rPr>
          <w:sz w:val="21"/>
          <w:szCs w:val="21"/>
        </w:rPr>
        <w:t xml:space="preserve">Monitoring-study input: the held-out "latest window" test set plus a synthetically perturbed variant (e.g., shifting the device-fingerprint-novelty rate, simulating a fraud ring switching to new devices) generated by the Sprint 1 case-queue harness.</w:t>
      </w:r>
    </w:p>
    <w:p>
      <w:pPr>
        <w:pStyle w:val="ListParagraph"/>
        <w:numPr>
          <w:ilvl w:val="0"/>
          <w:numId w:val="2"/>
        </w:numPr>
        <w:spacing w:after="90" w:line="290"/>
      </w:pPr>
      <w:r>
        <w:rPr>
          <w:sz w:val="21"/>
          <w:szCs w:val="21"/>
        </w:rPr>
        <w:t xml:space="preserve">Explanation-layer input: per-row feature vectors at inference time, paired with the trained LightGBM model's internal tree structure (required by TreeExplainer) — no additional data source beyond what training already uses.</w:t>
      </w:r>
    </w:p>
    <w:p>
      <w:pPr>
        <w:pStyle w:val="ListParagraph"/>
        <w:numPr>
          <w:ilvl w:val="0"/>
          <w:numId w:val="2"/>
        </w:numPr>
        <w:spacing w:after="90" w:line="290"/>
      </w:pPr>
      <w:r>
        <w:rPr>
          <w:sz w:val="21"/>
          <w:szCs w:val="21"/>
        </w:rPr>
        <w:t xml:space="preserve">Output of this sprint feeding forward: a versioned model artifact (model.pkl + feature schema + training-window metadata), a fitted SHAP explainer object, the Isolation Forest anomaly-score model, and a calibrated ADWIN detector state — all four are loaded by the FastAPI inference service in Sprint 3.</w:t>
      </w:r>
    </w:p>
    <w:p>
      <w:pPr>
        <w:pStyle w:val="Heading2"/>
        <w:spacing w:after="120" w:before="260"/>
      </w:pPr>
      <w:r>
        <w:rPr>
          <w:b/>
          <w:bCs/>
          <w:color w:val="7030A0"/>
          <w:sz w:val="25"/>
          <w:szCs w:val="25"/>
        </w:rPr>
        <w:t xml:space="preserve">3.3 FastAPI Structure</w:t>
      </w:r>
    </w:p>
    <w:p>
      <w:pPr>
        <w:pBdr>
          <w:top w:val="single" w:color="BFBFBF" w:sz="4" w:space="4"/>
          <w:left w:val="single" w:color="BFBFBF" w:sz="4" w:space="4"/>
          <w:bottom w:val="single" w:color="BFBFBF" w:sz="4" w:space="4"/>
          <w:right w:val="single" w:color="BFBFBF" w:sz="4" w:space="4"/>
        </w:pBdr>
        <w:shd w:fill="F5F5F5" w:color="auto" w:val="clear"/>
        <w:spacing w:after="200"/>
      </w:pPr>
      <w:r>
        <w:rPr>
          <w:rFonts w:ascii="Consolas" w:cs="Consolas" w:eastAsia="Consolas" w:hAnsi="Consolas"/>
          <w:sz w:val="18"/>
          <w:szCs w:val="18"/>
        </w:rPr>
        <w:t xml:space="preserve">/app</w:t>
      </w:r>
      <w:r>
        <w:rPr>
          <w:rFonts w:ascii="Consolas" w:cs="Consolas" w:eastAsia="Consolas" w:hAnsi="Consolas"/>
          <w:sz w:val="18"/>
          <w:szCs w:val="18"/>
        </w:rPr>
        <w:br/>
        <w:t xml:space="preserve">  /api/v1/routes_auth.py</w:t>
      </w:r>
      <w:r>
        <w:rPr>
          <w:rFonts w:ascii="Consolas" w:cs="Consolas" w:eastAsia="Consolas" w:hAnsi="Consolas"/>
          <w:sz w:val="18"/>
          <w:szCs w:val="18"/>
        </w:rPr>
        <w:br/>
        <w:t xml:space="preserve">  /api/v1/routes_transactions.py</w:t>
      </w:r>
      <w:r>
        <w:rPr>
          <w:rFonts w:ascii="Consolas" w:cs="Consolas" w:eastAsia="Consolas" w:hAnsi="Consolas"/>
          <w:sz w:val="18"/>
          <w:szCs w:val="18"/>
        </w:rPr>
        <w:br/>
        <w:t xml:space="preserve">  /api/v1/routes_predictions.py</w:t>
      </w:r>
      <w:r>
        <w:rPr>
          <w:rFonts w:ascii="Consolas" w:cs="Consolas" w:eastAsia="Consolas" w:hAnsi="Consolas"/>
          <w:sz w:val="18"/>
          <w:szCs w:val="18"/>
        </w:rPr>
        <w:br/>
        <w:t xml:space="preserve">  /api/v1/routes_cases.py            # analyst case queue + disposition</w:t>
      </w:r>
      <w:r>
        <w:rPr>
          <w:rFonts w:ascii="Consolas" w:cs="Consolas" w:eastAsia="Consolas" w:hAnsi="Consolas"/>
          <w:sz w:val="18"/>
          <w:szCs w:val="18"/>
        </w:rPr>
        <w:br/>
        <w:t xml:space="preserve">  /api/v1/routes_monitoring.py        # drift status, retraining triggers</w:t>
      </w:r>
      <w:r>
        <w:rPr>
          <w:rFonts w:ascii="Consolas" w:cs="Consolas" w:eastAsia="Consolas" w:hAnsi="Consolas"/>
          <w:sz w:val="18"/>
          <w:szCs w:val="18"/>
        </w:rPr>
        <w:br/>
        <w:t xml:space="preserve">  /core/security.py</w:t>
      </w:r>
      <w:r>
        <w:rPr>
          <w:rFonts w:ascii="Consolas" w:cs="Consolas" w:eastAsia="Consolas" w:hAnsi="Consolas"/>
          <w:sz w:val="18"/>
          <w:szCs w:val="18"/>
        </w:rPr>
        <w:br/>
        <w:t xml:space="preserve">  /core/config.py</w:t>
      </w:r>
      <w:r>
        <w:rPr>
          <w:rFonts w:ascii="Consolas" w:cs="Consolas" w:eastAsia="Consolas" w:hAnsi="Consolas"/>
          <w:sz w:val="18"/>
          <w:szCs w:val="18"/>
        </w:rPr>
        <w:br/>
        <w:t xml:space="preserve">  /models/schemas.py</w:t>
      </w:r>
      <w:r>
        <w:rPr>
          <w:rFonts w:ascii="Consolas" w:cs="Consolas" w:eastAsia="Consolas" w:hAnsi="Consolas"/>
          <w:sz w:val="18"/>
          <w:szCs w:val="18"/>
        </w:rPr>
        <w:br/>
        <w:t xml:space="preserve">  /models/db_models.py</w:t>
      </w:r>
      <w:r>
        <w:rPr>
          <w:rFonts w:ascii="Consolas" w:cs="Consolas" w:eastAsia="Consolas" w:hAnsi="Consolas"/>
          <w:sz w:val="18"/>
          <w:szCs w:val="18"/>
        </w:rPr>
        <w:br/>
        <w:t xml:space="preserve">  /services/inference_service.py</w:t>
      </w:r>
      <w:r>
        <w:rPr>
          <w:rFonts w:ascii="Consolas" w:cs="Consolas" w:eastAsia="Consolas" w:hAnsi="Consolas"/>
          <w:sz w:val="18"/>
          <w:szCs w:val="18"/>
        </w:rPr>
        <w:br/>
        <w:t xml:space="preserve">  /services/anomaly_service.py        # Isolation Forest scorer</w:t>
      </w:r>
      <w:r>
        <w:rPr>
          <w:rFonts w:ascii="Consolas" w:cs="Consolas" w:eastAsia="Consolas" w:hAnsi="Consolas"/>
          <w:sz w:val="18"/>
          <w:szCs w:val="18"/>
        </w:rPr>
        <w:br/>
        <w:t xml:space="preserve">  /services/shap_service.py</w:t>
      </w:r>
      <w:r>
        <w:rPr>
          <w:rFonts w:ascii="Consolas" w:cs="Consolas" w:eastAsia="Consolas" w:hAnsi="Consolas"/>
          <w:sz w:val="18"/>
          <w:szCs w:val="18"/>
        </w:rPr>
        <w:br/>
        <w:t xml:space="preserve">  /services/explanation_service.py</w:t>
      </w:r>
      <w:r>
        <w:rPr>
          <w:rFonts w:ascii="Consolas" w:cs="Consolas" w:eastAsia="Consolas" w:hAnsi="Consolas"/>
          <w:sz w:val="18"/>
          <w:szCs w:val="18"/>
        </w:rPr>
        <w:br/>
        <w:t xml:space="preserve">  /services/drift_service.py          # KS-test + ADWIN monitor</w:t>
      </w:r>
      <w:r>
        <w:rPr>
          <w:rFonts w:ascii="Consolas" w:cs="Consolas" w:eastAsia="Consolas" w:hAnsi="Consolas"/>
          <w:sz w:val="18"/>
          <w:szCs w:val="18"/>
        </w:rPr>
        <w:br/>
        <w:t xml:space="preserve">  /ml/model.py</w:t>
      </w:r>
      <w:r>
        <w:rPr>
          <w:rFonts w:ascii="Consolas" w:cs="Consolas" w:eastAsia="Consolas" w:hAnsi="Consolas"/>
          <w:sz w:val="18"/>
          <w:szCs w:val="18"/>
        </w:rPr>
        <w:br/>
        <w:t xml:space="preserve">  /ml/transform_features.py           # shared with training pipeline</w:t>
      </w:r>
      <w:r>
        <w:rPr>
          <w:rFonts w:ascii="Consolas" w:cs="Consolas" w:eastAsia="Consolas" w:hAnsi="Consolas"/>
          <w:sz w:val="18"/>
          <w:szCs w:val="18"/>
        </w:rPr>
        <w:br/>
        <w:t xml:space="preserve">  /db/session.py</w:t>
      </w:r>
      <w:r>
        <w:rPr>
          <w:rFonts w:ascii="Consolas" w:cs="Consolas" w:eastAsia="Consolas" w:hAnsi="Consolas"/>
          <w:sz w:val="18"/>
          <w:szCs w:val="18"/>
        </w:rPr>
        <w:br/>
        <w:t xml:space="preserve">  /db/migrations/</w:t>
      </w:r>
      <w:r>
        <w:rPr>
          <w:rFonts w:ascii="Consolas" w:cs="Consolas" w:eastAsia="Consolas" w:hAnsi="Consolas"/>
          <w:sz w:val="18"/>
          <w:szCs w:val="18"/>
        </w:rPr>
        <w:br/>
        <w:t xml:space="preserve">main.py</w:t>
      </w:r>
    </w:p>
    <w:p>
      <w:pPr>
        <w:pStyle w:val="ListParagraph"/>
        <w:numPr>
          <w:ilvl w:val="0"/>
          <w:numId w:val="2"/>
        </w:numPr>
        <w:spacing w:after="90" w:line="290"/>
      </w:pPr>
      <w:r>
        <w:rPr>
          <w:sz w:val="21"/>
          <w:szCs w:val="21"/>
        </w:rPr>
        <w:t xml:space="preserve">OpenAPI documentation auto-generated via FastAPI's built-in Swagger UI</w:t>
      </w:r>
    </w:p>
    <w:p>
      <w:pPr>
        <w:pStyle w:val="ListParagraph"/>
        <w:numPr>
          <w:ilvl w:val="0"/>
          <w:numId w:val="2"/>
        </w:numPr>
        <w:spacing w:after="90" w:line="290"/>
      </w:pPr>
      <w:r>
        <w:rPr>
          <w:sz w:val="21"/>
          <w:szCs w:val="21"/>
        </w:rPr>
        <w:t xml:space="preserve">Authentication: JWT, with roles for fraud_analyst / senior_investigator / admin</w:t>
      </w:r>
    </w:p>
    <w:p>
      <w:pPr>
        <w:pStyle w:val="ListParagraph"/>
        <w:numPr>
          <w:ilvl w:val="0"/>
          <w:numId w:val="2"/>
        </w:numPr>
        <w:spacing w:after="90" w:line="290"/>
      </w:pPr>
      <w:r>
        <w:rPr>
          <w:sz w:val="21"/>
          <w:szCs w:val="21"/>
        </w:rPr>
        <w:t xml:space="preserve">The case-disposition endpoint is the most important addition — every analyst decision (escalate / dismiss / request-more-info, plus agreement or override relative to the model's flag), logged with a timestamp and the drift-detector state at that moment, becomes the evaluation dataset for the publication; build it from the start rather than adding it later</w:t>
      </w:r>
    </w:p>
    <w:p>
      <w:pPr>
        <w:pStyle w:val="ListParagraph"/>
        <w:numPr>
          <w:ilvl w:val="0"/>
          <w:numId w:val="2"/>
        </w:numPr>
        <w:spacing w:after="90" w:line="290"/>
      </w:pPr>
      <w:r>
        <w:rPr>
          <w:sz w:val="21"/>
          <w:szCs w:val="21"/>
        </w:rPr>
        <w:t xml:space="preserve">Testing: pytest, prioritizing coverage on inference_service, anomaly_service, shap_service, and drift_service — the novel logic — over boilerplate CRUD coverage</w:t>
      </w:r>
    </w:p>
    <w:p>
      <w:pPr>
        <w:pStyle w:val="ListParagraph"/>
        <w:numPr>
          <w:ilvl w:val="0"/>
          <w:numId w:val="2"/>
        </w:numPr>
        <w:spacing w:after="90" w:line="290"/>
      </w:pPr>
      <w:r>
        <w:rPr>
          <w:sz w:val="21"/>
          <w:szCs w:val="21"/>
        </w:rPr>
        <w:t xml:space="preserve">Docker Compose stack: FastAPI + PostgreSQL + Redis, with an async inference queue (Celery or RQ) so batch scoring of a transaction stream and drift recomputation do not block the request path</w:t>
      </w:r>
    </w:p>
    <w:p>
      <w:pPr>
        <w:pStyle w:val="Heading1"/>
        <w:spacing w:after="160" w:before="360"/>
      </w:pPr>
      <w:r>
        <w:rPr>
          <w:b/>
          <w:bCs/>
          <w:color w:val="7030A0"/>
          <w:sz w:val="30"/>
          <w:szCs w:val="30"/>
        </w:rPr>
        <w:t xml:space="preserve">4. Sprint 3 — Frontend, Deployment, Testing &amp; Monitoring</w:t>
      </w:r>
    </w:p>
    <w:p>
      <w:pPr>
        <w:spacing w:after="140" w:line="300"/>
      </w:pPr>
      <w:r>
        <w:rPr>
          <w:i/>
          <w:iCs/>
          <w:color w:val="555555"/>
          <w:sz w:val="21"/>
          <w:szCs w:val="21"/>
        </w:rPr>
        <w:t xml:space="preserve">Duration: 3 weeks. Focus: the analyst-facing case-queue interface, the A/B evaluation mechanism, production hardening, and the live monitoring dashboard that operationalizes the drift detector built in Sprint 2.</w:t>
      </w:r>
    </w:p>
    <w:p>
      <w:pPr>
        <w:pStyle w:val="Heading2"/>
        <w:spacing w:after="120" w:before="260"/>
      </w:pPr>
      <w:r>
        <w:rPr>
          <w:b/>
          <w:bCs/>
          <w:color w:val="7030A0"/>
          <w:sz w:val="25"/>
          <w:szCs w:val="25"/>
        </w:rPr>
        <w:t xml:space="preserve">4.1 Frontend Structure</w:t>
      </w:r>
    </w:p>
    <w:p>
      <w:pPr>
        <w:pBdr>
          <w:top w:val="single" w:color="BFBFBF" w:sz="4" w:space="4"/>
          <w:left w:val="single" w:color="BFBFBF" w:sz="4" w:space="4"/>
          <w:bottom w:val="single" w:color="BFBFBF" w:sz="4" w:space="4"/>
          <w:right w:val="single" w:color="BFBFBF" w:sz="4" w:space="4"/>
        </w:pBdr>
        <w:shd w:fill="F5F5F5" w:color="auto" w:val="clear"/>
        <w:spacing w:after="200"/>
      </w:pPr>
      <w:r>
        <w:rPr>
          <w:rFonts w:ascii="Consolas" w:cs="Consolas" w:eastAsia="Consolas" w:hAnsi="Consolas"/>
          <w:sz w:val="18"/>
          <w:szCs w:val="18"/>
        </w:rPr>
        <w:t xml:space="preserve">/src/features/queue/CaseQueueList.tsx         # ranked alert queue</w:t>
      </w:r>
      <w:r>
        <w:rPr>
          <w:rFonts w:ascii="Consolas" w:cs="Consolas" w:eastAsia="Consolas" w:hAnsi="Consolas"/>
          <w:sz w:val="18"/>
          <w:szCs w:val="18"/>
        </w:rPr>
        <w:br/>
        <w:t xml:space="preserve">/src/features/queue/TransactionDetailCard.tsx</w:t>
      </w:r>
      <w:r>
        <w:rPr>
          <w:rFonts w:ascii="Consolas" w:cs="Consolas" w:eastAsia="Consolas" w:hAnsi="Consolas"/>
          <w:sz w:val="18"/>
          <w:szCs w:val="18"/>
        </w:rPr>
        <w:br/>
        <w:t xml:space="preserve">/src/features/review/RiskScoreCard.tsx         # supervised + anomaly score</w:t>
      </w:r>
      <w:r>
        <w:rPr>
          <w:rFonts w:ascii="Consolas" w:cs="Consolas" w:eastAsia="Consolas" w:hAnsi="Consolas"/>
          <w:sz w:val="18"/>
          <w:szCs w:val="18"/>
        </w:rPr>
        <w:br/>
        <w:t xml:space="preserve">/src/features/review/ExplanationPanel.tsx      # SHAP bar chart + narrative text</w:t>
      </w:r>
      <w:r>
        <w:rPr>
          <w:rFonts w:ascii="Consolas" w:cs="Consolas" w:eastAsia="Consolas" w:hAnsi="Consolas"/>
          <w:sz w:val="18"/>
          <w:szCs w:val="18"/>
        </w:rPr>
        <w:br/>
        <w:t xml:space="preserve">/src/features/review/CaseDispositionBar.tsx    # writes to cases endpoint</w:t>
      </w:r>
      <w:r>
        <w:rPr>
          <w:rFonts w:ascii="Consolas" w:cs="Consolas" w:eastAsia="Consolas" w:hAnsi="Consolas"/>
          <w:sz w:val="18"/>
          <w:szCs w:val="18"/>
        </w:rPr>
        <w:br/>
        <w:t xml:space="preserve">/src/features/study/ABToggle.tsx               # explanation-shown vs score-only</w:t>
      </w:r>
      <w:r>
        <w:rPr>
          <w:rFonts w:ascii="Consolas" w:cs="Consolas" w:eastAsia="Consolas" w:hAnsi="Consolas"/>
          <w:sz w:val="18"/>
          <w:szCs w:val="18"/>
        </w:rPr>
        <w:br/>
        <w:t xml:space="preserve">/src/features/monitoring/DriftDashboard.tsx    # feature-level KS trends, ADWIN alerts</w:t>
      </w:r>
      <w:r>
        <w:rPr>
          <w:rFonts w:ascii="Consolas" w:cs="Consolas" w:eastAsia="Consolas" w:hAnsi="Consolas"/>
          <w:sz w:val="18"/>
          <w:szCs w:val="18"/>
        </w:rPr>
        <w:br/>
        <w:t xml:space="preserve">/src/features/monitoring/RetrainTriggerPanel.tsx</w:t>
      </w:r>
      <w:r>
        <w:rPr>
          <w:rFonts w:ascii="Consolas" w:cs="Consolas" w:eastAsia="Consolas" w:hAnsi="Consolas"/>
          <w:sz w:val="18"/>
          <w:szCs w:val="18"/>
        </w:rPr>
        <w:br/>
        <w:t xml:space="preserve">/src/api/client.ts</w:t>
      </w:r>
      <w:r>
        <w:rPr>
          <w:rFonts w:ascii="Consolas" w:cs="Consolas" w:eastAsia="Consolas" w:hAnsi="Consolas"/>
          <w:sz w:val="18"/>
          <w:szCs w:val="18"/>
        </w:rPr>
        <w:br/>
        <w:t xml:space="preserve">/src/context/AuthContext.tsx</w:t>
      </w:r>
    </w:p>
    <w:p>
      <w:pPr>
        <w:pStyle w:val="ListParagraph"/>
        <w:numPr>
          <w:ilvl w:val="0"/>
          <w:numId w:val="2"/>
        </w:numPr>
        <w:spacing w:after="90" w:line="290"/>
      </w:pPr>
      <w:r>
        <w:rPr>
          <w:sz w:val="21"/>
          <w:szCs w:val="21"/>
        </w:rPr>
        <w:t xml:space="preserve">Build the A/B toggle deliberately: half of test analysts see the risk score plus SHAP explanation, half see score only — this single feature is what turns a demo into a publishable evaluation, mirroring the explanation-shown vs. score-only design used across both projects in this combined plan</w:t>
      </w:r>
    </w:p>
    <w:p>
      <w:pPr>
        <w:pStyle w:val="ListParagraph"/>
        <w:numPr>
          <w:ilvl w:val="0"/>
          <w:numId w:val="2"/>
        </w:numPr>
        <w:spacing w:after="90" w:line="290"/>
      </w:pPr>
      <w:r>
        <w:rPr>
          <w:sz w:val="21"/>
          <w:szCs w:val="21"/>
        </w:rPr>
        <w:t xml:space="preserve">Case queue renders as a ranked, auto-refreshing list ordered by combined supervised + anomaly risk score, closer to a real SOC/AML analyst workflow than a single-prediction form — a deliberate UX difference from the companion loan-default project, since fraud review is queue-driven rather than single-application-driven</w:t>
      </w:r>
    </w:p>
    <w:p>
      <w:pPr>
        <w:pStyle w:val="ListParagraph"/>
        <w:numPr>
          <w:ilvl w:val="0"/>
          <w:numId w:val="2"/>
        </w:numPr>
        <w:spacing w:after="90" w:line="290"/>
      </w:pPr>
      <w:r>
        <w:rPr>
          <w:sz w:val="21"/>
          <w:szCs w:val="21"/>
        </w:rPr>
        <w:t xml:space="preserve">SHAP visualization implemented as a horizontal bar chart (top-5 contributing features, signed by direction of risk contribution) plus the templated narrative sentence beneath it</w:t>
      </w:r>
    </w:p>
    <w:p>
      <w:pPr>
        <w:pStyle w:val="ListParagraph"/>
        <w:numPr>
          <w:ilvl w:val="0"/>
          <w:numId w:val="2"/>
        </w:numPr>
        <w:spacing w:after="90" w:line="290"/>
      </w:pPr>
      <w:r>
        <w:rPr>
          <w:sz w:val="21"/>
          <w:szCs w:val="21"/>
        </w:rPr>
        <w:t xml:space="preserve">Drift dashboard renders per-feature KS-statistic trend lines over time windows and a status indicator (stable / watch / drift-detected) driven by the ADWIN service — this is the panel most directly tied to the paper's second research question</w:t>
      </w:r>
    </w:p>
    <w:p>
      <w:pPr>
        <w:pStyle w:val="ListParagraph"/>
        <w:numPr>
          <w:ilvl w:val="0"/>
          <w:numId w:val="2"/>
        </w:numPr>
        <w:spacing w:after="90" w:line="290"/>
      </w:pPr>
      <w:r>
        <w:rPr>
          <w:sz w:val="21"/>
          <w:szCs w:val="21"/>
        </w:rPr>
        <w:t xml:space="preserve">Loading and error states for asynchronous scoring, since inference, anomaly scoring, and SHAP computation are queued</w:t>
      </w:r>
    </w:p>
    <w:p>
      <w:pPr>
        <w:pStyle w:val="ListParagraph"/>
        <w:numPr>
          <w:ilvl w:val="0"/>
          <w:numId w:val="2"/>
        </w:numPr>
        <w:spacing w:after="90" w:line="290"/>
      </w:pPr>
      <w:r>
        <w:rPr>
          <w:sz w:val="21"/>
          <w:szCs w:val="21"/>
        </w:rPr>
        <w:t xml:space="preserve">Accessibility pass on the explanation panel's color contrast (risk-increasing vs. risk-decreasing bars) — relevant to real analyst usability and worth noting in the paper's methods section</w:t>
      </w:r>
    </w:p>
    <w:p>
      <w:pPr>
        <w:pStyle w:val="Heading2"/>
        <w:spacing w:after="120" w:before="260"/>
      </w:pPr>
      <w:r>
        <w:rPr>
          <w:b/>
          <w:bCs/>
          <w:color w:val="7030A0"/>
          <w:sz w:val="25"/>
          <w:szCs w:val="25"/>
        </w:rPr>
        <w:t xml:space="preserve">4.2 Deployment &amp; Testing</w:t>
      </w:r>
    </w:p>
    <w:p>
      <w:pPr>
        <w:pStyle w:val="ListParagraph"/>
        <w:numPr>
          <w:ilvl w:val="0"/>
          <w:numId w:val="2"/>
        </w:numPr>
        <w:spacing w:after="90" w:line="290"/>
      </w:pPr>
      <w:r>
        <w:rPr>
          <w:sz w:val="21"/>
          <w:szCs w:val="21"/>
        </w:rPr>
        <w:t xml:space="preserve">Containerized deployment: single VM or small Docker Compose stack (FastAPI, PostgreSQL, Redis, Nginx reverse proxy with TLS) — sufficient for one institution's pilot; avoid multi-region or Kubernetes complexity</w:t>
      </w:r>
    </w:p>
    <w:p>
      <w:pPr>
        <w:pStyle w:val="ListParagraph"/>
        <w:numPr>
          <w:ilvl w:val="0"/>
          <w:numId w:val="2"/>
        </w:numPr>
        <w:spacing w:after="90" w:line="290"/>
      </w:pPr>
      <w:r>
        <w:rPr>
          <w:sz w:val="21"/>
          <w:szCs w:val="21"/>
        </w:rPr>
        <w:t xml:space="preserve">CI pipeline (GitHub Actions, free tier): lint + pytest + a smoke test that retrains a tiny model on a data sample and confirms the SHAP explainer and anomaly scorer load against it, catching train/serve schema drift before deployment</w:t>
      </w:r>
    </w:p>
    <w:p>
      <w:pPr>
        <w:pStyle w:val="ListParagraph"/>
        <w:numPr>
          <w:ilvl w:val="0"/>
          <w:numId w:val="2"/>
        </w:numPr>
        <w:spacing w:after="90" w:line="290"/>
      </w:pPr>
      <w:r>
        <w:rPr>
          <w:sz w:val="21"/>
          <w:szCs w:val="21"/>
        </w:rPr>
        <w:t xml:space="preserve">Load / latency testing on the inference endpoint (Locust, free) to confirm the async queue design holds up under a simulated burst of transactions, which is a realistic fraud-monitoring load pattern (payment spikes, e.g. holiday shopping)</w:t>
      </w:r>
    </w:p>
    <w:p>
      <w:pPr>
        <w:pStyle w:val="ListParagraph"/>
        <w:numPr>
          <w:ilvl w:val="0"/>
          <w:numId w:val="2"/>
        </w:numPr>
        <w:spacing w:after="90" w:line="290"/>
      </w:pPr>
      <w:r>
        <w:rPr>
          <w:sz w:val="21"/>
          <w:szCs w:val="21"/>
        </w:rPr>
        <w:t xml:space="preserve">Retraining trigger logic: when ADWIN or the KS-test panel flags sustained drift across a rolling window, the monitoring service opens a retraining ticket (logged, not automatic) that reruns the Sprint 2 training pipeline on the most recent time window and reports before/after validation metrics — kept human-gated rather than auto-deploying, consistent with the project's human-in-the-loop positioning</w:t>
      </w:r>
    </w:p>
    <w:p>
      <w:pPr>
        <w:pStyle w:val="Heading2"/>
        <w:spacing w:after="120" w:before="260"/>
      </w:pPr>
      <w:r>
        <w:rPr>
          <w:b/>
          <w:bCs/>
          <w:color w:val="7030A0"/>
          <w:sz w:val="25"/>
          <w:szCs w:val="25"/>
        </w:rPr>
        <w:t xml:space="preserve">4.3 Data, Database, and Deployment Considerations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color="auto" w:val="clear"/>
            <w:tcMar>
              <w:top w:type="dxa" w:w="100"/>
              <w:left w:type="dxa" w:w="120"/>
              <w:bottom w:type="dxa" w:w="100"/>
              <w:right w:type="dxa" w:w="120"/>
            </w:tcMar>
            <w:vAlign w:val="center"/>
          </w:tcPr>
          <w:p>
            <w:pPr>
              <w:jc w:val="left"/>
            </w:pPr>
            <w:r>
              <w:rPr>
                <w:b/>
                <w:bCs/>
                <w:color w:val="FFFFFF"/>
                <w:sz w:val="20"/>
                <w:szCs w:val="20"/>
              </w:rPr>
              <w:t xml:space="preserve">Area</w:t>
            </w:r>
          </w:p>
        </w:tc>
        <w:tc>
          <w:tcPr>
            <w:tcW w:type="dxa" w:w="6750"/>
            <w:shd w:fill="1F3864" w:color="auto" w:val="clear"/>
            <w:tcMar>
              <w:top w:type="dxa" w:w="100"/>
              <w:left w:type="dxa" w:w="120"/>
              <w:bottom w:type="dxa" w:w="100"/>
              <w:right w:type="dxa" w:w="120"/>
            </w:tcMar>
            <w:vAlign w:val="center"/>
          </w:tcPr>
          <w:p>
            <w:pPr>
              <w:jc w:val="left"/>
            </w:pPr>
            <w:r>
              <w:rPr>
                <w:b/>
                <w:bCs/>
                <w:color w:val="FFFFFF"/>
                <w:sz w:val="20"/>
                <w:szCs w:val="20"/>
              </w:rPr>
              <w:t xml:space="preserve">Recommendation</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Database</w:t>
            </w:r>
          </w:p>
        </w:tc>
        <w:tc>
          <w:tcPr>
            <w:tcW w:type="dxa" w:w="6750"/>
            <w:tcMar>
              <w:top w:type="dxa" w:w="100"/>
              <w:left w:type="dxa" w:w="120"/>
              <w:bottom w:type="dxa" w:w="100"/>
              <w:right w:type="dxa" w:w="120"/>
            </w:tcMar>
            <w:vAlign w:val="center"/>
          </w:tcPr>
          <w:p>
            <w:pPr>
              <w:jc w:val="left"/>
            </w:pPr>
            <w:r>
              <w:rPr>
                <w:b w:val="false"/>
                <w:bCs w:val="false"/>
                <w:color w:val="000000"/>
                <w:sz w:val="20"/>
                <w:szCs w:val="20"/>
              </w:rPr>
              <w:t xml:space="preserve">PostgreSQL — relational structure fits account / transaction / prediction / case / audit-trail relationships and supports foreign-key constraints for case tracking. Large artifacts (SHAP plots, model binaries) are stored in object storage (e.g. MinIO), not in the database.</w:t>
            </w:r>
          </w:p>
        </w:tc>
      </w:tr>
      <w:tr>
        <w:tc>
          <w:tcPr>
            <w:tcW w:type="dxa" w:w="26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Authentication</w:t>
            </w:r>
          </w:p>
        </w:tc>
        <w:tc>
          <w:tcPr>
            <w:tcW w:type="dxa" w:w="675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JWT with short-lived access tokens and refresh tokens; role-based access (fraud_analyst, senior_investigator, admin). Single-tenant, so no multi-org isolation is needed — focus on per-user roles and an audit log of every view or decision on a case.</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Deployment architecture</w:t>
            </w:r>
          </w:p>
        </w:tc>
        <w:tc>
          <w:tcPr>
            <w:tcW w:type="dxa" w:w="6750"/>
            <w:tcMar>
              <w:top w:type="dxa" w:w="100"/>
              <w:left w:type="dxa" w:w="120"/>
              <w:bottom w:type="dxa" w:w="100"/>
              <w:right w:type="dxa" w:w="120"/>
            </w:tcMar>
            <w:vAlign w:val="center"/>
          </w:tcPr>
          <w:p>
            <w:pPr>
              <w:jc w:val="left"/>
            </w:pPr>
            <w:r>
              <w:rPr>
                <w:b w:val="false"/>
                <w:bCs w:val="false"/>
                <w:color w:val="000000"/>
                <w:sz w:val="20"/>
                <w:szCs w:val="20"/>
              </w:rPr>
              <w:t xml:space="preserve">A single VM or small Docker Compose stack (FastAPI, PostgreSQL, Redis, Nginx reverse proxy with TLS) is sufficient for one institution. Avoid multi-region or Kubernetes complexity for a single-tenant deployment.</w:t>
            </w:r>
          </w:p>
        </w:tc>
      </w:tr>
      <w:tr>
        <w:tc>
          <w:tcPr>
            <w:tcW w:type="dxa" w:w="26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Data handling for credibility</w:t>
            </w:r>
          </w:p>
        </w:tc>
        <w:tc>
          <w:tcPr>
            <w:tcW w:type="dxa" w:w="675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Mask account identifiers; encrypt data at rest; maintain the audit log; use public (anonymized/synthetic) datasets and synthetic identifiers throughout development and evaluation to avoid handling real PII or regulated payment-network data without a data-use agreement.</w:t>
            </w:r>
          </w:p>
        </w:tc>
      </w:tr>
    </w:tbl>
    <w:p>
      <w:pPr>
        <w:spacing w:after="160"/>
      </w:pPr>
      <w:r>
        <w:t xml:space="preserve"/>
      </w:r>
    </w:p>
    <w:p>
      <w:pPr>
        <w:pStyle w:val="Heading1"/>
        <w:spacing w:after="160" w:before="360"/>
      </w:pPr>
      <w:r>
        <w:rPr>
          <w:b/>
          <w:bCs/>
          <w:color w:val="7030A0"/>
          <w:sz w:val="30"/>
          <w:szCs w:val="30"/>
        </w:rPr>
        <w:t xml:space="preserve">5. Publication Readiness</w:t>
      </w:r>
    </w:p>
    <w:p>
      <w:pPr>
        <w:pStyle w:val="Heading2"/>
        <w:spacing w:after="120" w:before="260"/>
      </w:pPr>
      <w:r>
        <w:rPr>
          <w:b/>
          <w:bCs/>
          <w:color w:val="7030A0"/>
          <w:sz w:val="25"/>
          <w:szCs w:val="25"/>
        </w:rPr>
        <w:t xml:space="preserve">5.1 Study Design</w:t>
      </w:r>
    </w:p>
    <w:p>
      <w:pPr>
        <w:pStyle w:val="ListParagraph"/>
        <w:numPr>
          <w:ilvl w:val="0"/>
          <w:numId w:val="2"/>
        </w:numPr>
        <w:spacing w:after="90" w:line="290"/>
      </w:pPr>
      <w:r>
        <w:rPr>
          <w:sz w:val="21"/>
          <w:szCs w:val="21"/>
        </w:rPr>
        <w:t xml:space="preserve">Recruit a small review panel (for example 5–8 people — finance/MBA students, fraud-analysis trainees, or practicing analysts if accessible)</w:t>
      </w:r>
    </w:p>
    <w:p>
      <w:pPr>
        <w:pStyle w:val="ListParagraph"/>
        <w:numPr>
          <w:ilvl w:val="0"/>
          <w:numId w:val="2"/>
        </w:numPr>
        <w:spacing w:after="90" w:line="290"/>
      </w:pPr>
      <w:r>
        <w:rPr>
          <w:sz w:val="21"/>
          <w:szCs w:val="21"/>
        </w:rPr>
        <w:t xml:space="preserve">Split the panel into explanation-shown vs. score-only groups, or use a within-subject counterbalanced design</w:t>
      </w:r>
    </w:p>
    <w:p>
      <w:pPr>
        <w:pStyle w:val="ListParagraph"/>
        <w:numPr>
          <w:ilvl w:val="0"/>
          <w:numId w:val="2"/>
        </w:numPr>
        <w:spacing w:after="90" w:line="290"/>
      </w:pPr>
      <w:r>
        <w:rPr>
          <w:sz w:val="21"/>
          <w:szCs w:val="21"/>
        </w:rPr>
        <w:t xml:space="preserve">Measure: agreement with the resolved ground-truth label, false-escalation rate, confidence calibration, and time-to-decision across a simulated case queue</w:t>
      </w:r>
    </w:p>
    <w:p>
      <w:pPr>
        <w:pStyle w:val="ListParagraph"/>
        <w:numPr>
          <w:ilvl w:val="0"/>
          <w:numId w:val="2"/>
        </w:numPr>
        <w:spacing w:after="90" w:line="290"/>
      </w:pPr>
      <w:r>
        <w:rPr>
          <w:sz w:val="21"/>
          <w:szCs w:val="21"/>
        </w:rPr>
        <w:t xml:space="preserve">Report classification metrics (AUC-PR, precision/recall at the institution's typical alert threshold, F1) as a baseline, then shift the paper's emphasis to the triage-efficiency and drift-detection lead-time results</w:t>
      </w:r>
    </w:p>
    <w:p>
      <w:pPr>
        <w:pStyle w:val="Heading2"/>
        <w:spacing w:after="120" w:before="260"/>
      </w:pPr>
      <w:r>
        <w:rPr>
          <w:b/>
          <w:bCs/>
          <w:color w:val="7030A0"/>
          <w:sz w:val="25"/>
          <w:szCs w:val="25"/>
        </w:rPr>
        <w:t xml:space="preserve">5.2 Literature Check</w:t>
      </w:r>
    </w:p>
    <w:p>
      <w:pPr>
        <w:pStyle w:val="ListParagraph"/>
        <w:numPr>
          <w:ilvl w:val="0"/>
          <w:numId w:val="2"/>
        </w:numPr>
        <w:spacing w:after="90" w:line="290"/>
      </w:pPr>
      <w:r>
        <w:rPr>
          <w:sz w:val="21"/>
          <w:szCs w:val="21"/>
        </w:rPr>
        <w:t xml:space="preserve">Search Papers With Code, IEEE Xplore, and Google Scholar for "explainable fraud detection analyst user study" and "concept drift adversarial fraud detection" to confirm this combined angle is not already published in the same form</w:t>
      </w:r>
    </w:p>
    <w:p>
      <w:pPr>
        <w:pStyle w:val="ListParagraph"/>
        <w:numPr>
          <w:ilvl w:val="0"/>
          <w:numId w:val="2"/>
        </w:numPr>
        <w:spacing w:after="90" w:line="290"/>
      </w:pPr>
      <w:r>
        <w:rPr>
          <w:sz w:val="21"/>
          <w:szCs w:val="21"/>
        </w:rPr>
        <w:t xml:space="preserve">If close prior work exists, narrow further — for example, a specific fraud typology (account-takeover vs. first-party fraud) or a low-resource/community-bank analyst population, which is less studied than large-institution SOC tooling papers</w:t>
      </w:r>
    </w:p>
    <w:p>
      <w:pPr>
        <w:pStyle w:val="Heading2"/>
        <w:spacing w:after="120" w:before="260"/>
      </w:pPr>
      <w:r>
        <w:rPr>
          <w:b/>
          <w:bCs/>
          <w:color w:val="7030A0"/>
          <w:sz w:val="25"/>
          <w:szCs w:val="25"/>
        </w:rPr>
        <w:t xml:space="preserve">5.3 Target Venues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5800"/>
      </w:tblGrid>
      <w:tr>
        <w:trPr>
          <w:tblHeader/>
        </w:trPr>
        <w:tc>
          <w:tcPr>
            <w:tcW w:type="dxa" w:w="3550"/>
            <w:shd w:fill="1F3864" w:color="auto" w:val="clear"/>
            <w:tcMar>
              <w:top w:type="dxa" w:w="100"/>
              <w:left w:type="dxa" w:w="120"/>
              <w:bottom w:type="dxa" w:w="100"/>
              <w:right w:type="dxa" w:w="120"/>
            </w:tcMar>
            <w:vAlign w:val="center"/>
          </w:tcPr>
          <w:p>
            <w:pPr>
              <w:jc w:val="left"/>
            </w:pPr>
            <w:r>
              <w:rPr>
                <w:b/>
                <w:bCs/>
                <w:color w:val="FFFFFF"/>
                <w:sz w:val="20"/>
                <w:szCs w:val="20"/>
              </w:rPr>
              <w:t xml:space="preserve">Venue</w:t>
            </w:r>
          </w:p>
        </w:tc>
        <w:tc>
          <w:tcPr>
            <w:tcW w:type="dxa" w:w="5800"/>
            <w:shd w:fill="1F3864" w:color="auto" w:val="clear"/>
            <w:tcMar>
              <w:top w:type="dxa" w:w="100"/>
              <w:left w:type="dxa" w:w="120"/>
              <w:bottom w:type="dxa" w:w="100"/>
              <w:right w:type="dxa" w:w="120"/>
            </w:tcMar>
            <w:vAlign w:val="center"/>
          </w:tcPr>
          <w:p>
            <w:pPr>
              <w:jc w:val="left"/>
            </w:pPr>
            <w:r>
              <w:rPr>
                <w:b/>
                <w:bCs/>
                <w:color w:val="FFFFFF"/>
                <w:sz w:val="20"/>
                <w:szCs w:val="20"/>
              </w:rPr>
              <w:t xml:space="preserve">Fit</w:t>
            </w:r>
          </w:p>
        </w:tc>
      </w:tr>
      <w:tr>
        <w:tc>
          <w:tcPr>
            <w:tcW w:type="dxa" w:w="3550"/>
            <w:tcMar>
              <w:top w:type="dxa" w:w="100"/>
              <w:left w:type="dxa" w:w="120"/>
              <w:bottom w:type="dxa" w:w="100"/>
              <w:right w:type="dxa" w:w="120"/>
            </w:tcMar>
            <w:vAlign w:val="center"/>
          </w:tcPr>
          <w:p>
            <w:pPr>
              <w:jc w:val="left"/>
            </w:pPr>
            <w:r>
              <w:rPr>
                <w:b w:val="false"/>
                <w:bCs w:val="false"/>
                <w:color w:val="000000"/>
                <w:sz w:val="20"/>
                <w:szCs w:val="20"/>
              </w:rPr>
              <w:t xml:space="preserve">ACM International Conference on AI in Finance (ICAIF)</w:t>
            </w:r>
          </w:p>
        </w:tc>
        <w:tc>
          <w:tcPr>
            <w:tcW w:type="dxa" w:w="5800"/>
            <w:tcMar>
              <w:top w:type="dxa" w:w="100"/>
              <w:left w:type="dxa" w:w="120"/>
              <w:bottom w:type="dxa" w:w="100"/>
              <w:right w:type="dxa" w:w="120"/>
            </w:tcMar>
            <w:vAlign w:val="center"/>
          </w:tcPr>
          <w:p>
            <w:pPr>
              <w:jc w:val="left"/>
            </w:pPr>
            <w:r>
              <w:rPr>
                <w:b w:val="false"/>
                <w:bCs w:val="false"/>
                <w:color w:val="000000"/>
                <w:sz w:val="20"/>
                <w:szCs w:val="20"/>
              </w:rPr>
              <w:t xml:space="preserve">Best overall fit — explicitly welcomes applied systems and evaluation papers combining ML with deployment/human-factors considerations in finance, same venue as the companion loan-default project, supporting a combined portfolio narrative</w:t>
            </w:r>
          </w:p>
        </w:tc>
      </w:tr>
      <w:tr>
        <w:tc>
          <w:tcPr>
            <w:tcW w:type="dxa" w:w="355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IEEE International Conference on Data Science and Advanced Analytics (DSAA), applied-track</w:t>
            </w:r>
          </w:p>
        </w:tc>
        <w:tc>
          <w:tcPr>
            <w:tcW w:type="dxa" w:w="58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Good if a broader data-science venue is preferred; accepts systems and case-study submissions</w:t>
            </w:r>
          </w:p>
        </w:tc>
      </w:tr>
      <w:tr>
        <w:tc>
          <w:tcPr>
            <w:tcW w:type="dxa" w:w="3550"/>
            <w:tcMar>
              <w:top w:type="dxa" w:w="100"/>
              <w:left w:type="dxa" w:w="120"/>
              <w:bottom w:type="dxa" w:w="100"/>
              <w:right w:type="dxa" w:w="120"/>
            </w:tcMar>
            <w:vAlign w:val="center"/>
          </w:tcPr>
          <w:p>
            <w:pPr>
              <w:jc w:val="left"/>
            </w:pPr>
            <w:r>
              <w:rPr>
                <w:b w:val="false"/>
                <w:bCs w:val="false"/>
                <w:color w:val="000000"/>
                <w:sz w:val="20"/>
                <w:szCs w:val="20"/>
              </w:rPr>
              <w:t xml:space="preserve">ACM Workshop on Anomaly and Novelty Detection, Explanation and Accountability (ANDEA) / FinML workshops (co-located with KDD/NeurIPS)</w:t>
            </w:r>
          </w:p>
        </w:tc>
        <w:tc>
          <w:tcPr>
            <w:tcW w:type="dxa" w:w="5800"/>
            <w:tcMar>
              <w:top w:type="dxa" w:w="100"/>
              <w:left w:type="dxa" w:w="120"/>
              <w:bottom w:type="dxa" w:w="100"/>
              <w:right w:type="dxa" w:w="120"/>
            </w:tcMar>
            <w:vAlign w:val="center"/>
          </w:tcPr>
          <w:p>
            <w:pPr>
              <w:jc w:val="left"/>
            </w:pPr>
            <w:r>
              <w:rPr>
                <w:b w:val="false"/>
                <w:bCs w:val="false"/>
                <w:color w:val="000000"/>
                <w:sz w:val="20"/>
                <w:szCs w:val="20"/>
              </w:rPr>
              <w:t xml:space="preserve">Lower barrier to entry than a main track; suitable for early-stage results, subject to an open call for papers</w:t>
            </w:r>
          </w:p>
        </w:tc>
      </w:tr>
    </w:tbl>
    <w:p>
      <w:pPr>
        <w:spacing w:after="160"/>
      </w:pPr>
      <w:r>
        <w:t xml:space="preserve"/>
      </w:r>
    </w:p>
    <w:p>
      <w:pPr>
        <w:pStyle w:val="Heading2"/>
        <w:spacing w:after="120" w:before="260"/>
      </w:pPr>
      <w:r>
        <w:rPr>
          <w:b/>
          <w:bCs/>
          <w:color w:val="7030A0"/>
          <w:sz w:val="25"/>
          <w:szCs w:val="25"/>
        </w:rPr>
        <w:t xml:space="preserve">5.4 Deliverables Checklist</w:t>
      </w:r>
    </w:p>
    <w:p>
      <w:pPr>
        <w:pStyle w:val="ListParagraph"/>
        <w:numPr>
          <w:ilvl w:val="0"/>
          <w:numId w:val="2"/>
        </w:numPr>
        <w:spacing w:after="90" w:line="290"/>
      </w:pPr>
      <w:r>
        <w:rPr>
          <w:sz w:val="21"/>
          <w:szCs w:val="21"/>
        </w:rPr>
        <w:t xml:space="preserve">GitHub repository with README, architecture diagram, and reproducibility instructions</w:t>
      </w:r>
    </w:p>
    <w:p>
      <w:pPr>
        <w:pStyle w:val="ListParagraph"/>
        <w:numPr>
          <w:ilvl w:val="0"/>
          <w:numId w:val="2"/>
        </w:numPr>
        <w:spacing w:after="90" w:line="290"/>
      </w:pPr>
      <w:r>
        <w:rPr>
          <w:sz w:val="21"/>
          <w:szCs w:val="21"/>
        </w:rPr>
        <w:t xml:space="preserve">Demo video (2–3 minutes) showing transaction stream → case queue → risk score → SHAP explanation → analyst disposition → drift-dashboard alert</w:t>
      </w:r>
    </w:p>
    <w:p>
      <w:pPr>
        <w:pStyle w:val="ListParagraph"/>
        <w:numPr>
          <w:ilvl w:val="0"/>
          <w:numId w:val="2"/>
        </w:numPr>
        <w:spacing w:after="90" w:line="290"/>
      </w:pPr>
      <w:r>
        <w:rPr>
          <w:sz w:val="21"/>
          <w:szCs w:val="21"/>
        </w:rPr>
        <w:t xml:space="preserve">Draft abstract leading with the core claim: the evaluation covers not just model accuracy, but whether the system detects adversarial fraud-pattern drift before performance degrades, and whether SHAP explanations measurably reduce analyst false-escalation rate during a detected drift event</w:t>
      </w:r>
    </w:p>
    <w:p>
      <w:r>
        <w:br w:type="page"/>
      </w:r>
    </w:p>
    <w:p>
      <w:pPr>
        <w:pStyle w:val="Heading1"/>
        <w:spacing w:after="160" w:before="360"/>
      </w:pPr>
      <w:r>
        <w:rPr>
          <w:b/>
          <w:bCs/>
          <w:color w:val="1F3864"/>
          <w:sz w:val="30"/>
          <w:szCs w:val="30"/>
        </w:rPr>
        <w:t xml:space="preserve">Appendix — Cross-Project Comparison</w:t>
      </w:r>
    </w:p>
    <w:p>
      <w:pPr>
        <w:spacing w:after="140" w:line="300"/>
      </w:pPr>
      <w:r>
        <w:rPr>
          <w:sz w:val="21"/>
          <w:szCs w:val="21"/>
        </w:rPr>
        <w:t xml:space="preserve">Both projects share a deliberate methodological spine so they read as a coherent portfolio rather than two unrelated builds: the same model family (LightGBM + logistic-regression baseline), the same explanation engine (SHAP TreeExplainer with a templated narrative layer), the same drift-monitoring stack (KS-test + ADWIN), and the same human-in-the-loop A/B evaluation design (explanation-shown vs. score-only). The difference is domain-specific: Part A adds an unsupervised Isolation Forest to cover zero-day fraud patterns and frames drift as adversarial (fraud rings adapting), while Part B treats drift as a natural artifact of economic cycles. This consistency is itself worth stating in a combined README or portfolio write-up, since reviewers and interviewers reward a demonstrated, repeatable system-design pattern over two one-off projects.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50"/>
      </w:tblGrid>
      <w:tr>
        <w:trPr>
          <w:tblHeader/>
        </w:trPr>
        <w:tc>
          <w:tcPr>
            <w:tcW w:type="dxa" w:w="2300"/>
            <w:shd w:fill="1F3864" w:color="auto" w:val="clear"/>
            <w:tcMar>
              <w:top w:type="dxa" w:w="100"/>
              <w:left w:type="dxa" w:w="120"/>
              <w:bottom w:type="dxa" w:w="100"/>
              <w:right w:type="dxa" w:w="120"/>
            </w:tcMar>
            <w:vAlign w:val="center"/>
          </w:tcPr>
          <w:p>
            <w:pPr>
              <w:jc w:val="left"/>
            </w:pPr>
            <w:r>
              <w:rPr>
                <w:b/>
                <w:bCs/>
                <w:color w:val="FFFFFF"/>
                <w:sz w:val="20"/>
                <w:szCs w:val="20"/>
              </w:rPr>
              <w:t xml:space="preserve">Dimension</w:t>
            </w:r>
          </w:p>
        </w:tc>
        <w:tc>
          <w:tcPr>
            <w:tcW w:type="dxa" w:w="3500"/>
            <w:shd w:fill="1F3864" w:color="auto" w:val="clear"/>
            <w:tcMar>
              <w:top w:type="dxa" w:w="100"/>
              <w:left w:type="dxa" w:w="120"/>
              <w:bottom w:type="dxa" w:w="100"/>
              <w:right w:type="dxa" w:w="120"/>
            </w:tcMar>
            <w:vAlign w:val="center"/>
          </w:tcPr>
          <w:p>
            <w:pPr>
              <w:jc w:val="left"/>
            </w:pPr>
            <w:r>
              <w:rPr>
                <w:b/>
                <w:bCs/>
                <w:color w:val="FFFFFF"/>
                <w:sz w:val="20"/>
                <w:szCs w:val="20"/>
              </w:rPr>
              <w:t xml:space="preserve">Part A — Fraud/AML (SKI027)</w:t>
            </w:r>
          </w:p>
        </w:tc>
        <w:tc>
          <w:tcPr>
            <w:tcW w:type="dxa" w:w="3550"/>
            <w:shd w:fill="1F3864" w:color="auto" w:val="clear"/>
            <w:tcMar>
              <w:top w:type="dxa" w:w="100"/>
              <w:left w:type="dxa" w:w="120"/>
              <w:bottom w:type="dxa" w:w="100"/>
              <w:right w:type="dxa" w:w="120"/>
            </w:tcMar>
            <w:vAlign w:val="center"/>
          </w:tcPr>
          <w:p>
            <w:pPr>
              <w:jc w:val="left"/>
            </w:pPr>
            <w:r>
              <w:rPr>
                <w:b/>
                <w:bCs/>
                <w:color w:val="FFFFFF"/>
                <w:sz w:val="20"/>
                <w:szCs w:val="20"/>
              </w:rPr>
              <w:t xml:space="preserve">Part B — Loan Default (SKI030)</w:t>
            </w:r>
          </w:p>
        </w:tc>
      </w:tr>
      <w:tr>
        <w:tc>
          <w:tcPr>
            <w:tcW w:type="dxa" w:w="2300"/>
            <w:tcMar>
              <w:top w:type="dxa" w:w="100"/>
              <w:left w:type="dxa" w:w="120"/>
              <w:bottom w:type="dxa" w:w="100"/>
              <w:right w:type="dxa" w:w="120"/>
            </w:tcMar>
            <w:vAlign w:val="center"/>
          </w:tcPr>
          <w:p>
            <w:pPr>
              <w:jc w:val="left"/>
            </w:pPr>
            <w:r>
              <w:rPr>
                <w:b w:val="false"/>
                <w:bCs w:val="false"/>
                <w:color w:val="000000"/>
                <w:sz w:val="20"/>
                <w:szCs w:val="20"/>
              </w:rPr>
              <w:t xml:space="preserve">Primary dataset</w:t>
            </w:r>
          </w:p>
        </w:tc>
        <w:tc>
          <w:tcPr>
            <w:tcW w:type="dxa" w:w="3500"/>
            <w:tcMar>
              <w:top w:type="dxa" w:w="100"/>
              <w:left w:type="dxa" w:w="120"/>
              <w:bottom w:type="dxa" w:w="100"/>
              <w:right w:type="dxa" w:w="120"/>
            </w:tcMar>
            <w:vAlign w:val="center"/>
          </w:tcPr>
          <w:p>
            <w:pPr>
              <w:jc w:val="left"/>
            </w:pPr>
            <w:r>
              <w:rPr>
                <w:b w:val="false"/>
                <w:bCs w:val="false"/>
                <w:color w:val="000000"/>
                <w:sz w:val="20"/>
                <w:szCs w:val="20"/>
              </w:rPr>
              <w:t xml:space="preserve">IEEE-CIS Fraud Detection (Kaggle)</w:t>
            </w:r>
          </w:p>
        </w:tc>
        <w:tc>
          <w:tcPr>
            <w:tcW w:type="dxa" w:w="3550"/>
            <w:tcMar>
              <w:top w:type="dxa" w:w="100"/>
              <w:left w:type="dxa" w:w="120"/>
              <w:bottom w:type="dxa" w:w="100"/>
              <w:right w:type="dxa" w:w="120"/>
            </w:tcMar>
            <w:vAlign w:val="center"/>
          </w:tcPr>
          <w:p>
            <w:pPr>
              <w:jc w:val="left"/>
            </w:pPr>
            <w:r>
              <w:rPr>
                <w:b w:val="false"/>
                <w:bCs w:val="false"/>
                <w:color w:val="000000"/>
                <w:sz w:val="20"/>
                <w:szCs w:val="20"/>
              </w:rPr>
              <w:t xml:space="preserve">LendingClub Loan Data (Kaggle)</w:t>
            </w:r>
          </w:p>
        </w:tc>
      </w:tr>
      <w:tr>
        <w:tc>
          <w:tcPr>
            <w:tcW w:type="dxa" w:w="23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Core model</w:t>
            </w:r>
          </w:p>
        </w:tc>
        <w:tc>
          <w:tcPr>
            <w:tcW w:type="dxa" w:w="35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LightGBM + Isolation Forest ensemble</w:t>
            </w:r>
          </w:p>
        </w:tc>
        <w:tc>
          <w:tcPr>
            <w:tcW w:type="dxa" w:w="355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LightGBM</w:t>
            </w:r>
          </w:p>
        </w:tc>
      </w:tr>
      <w:tr>
        <w:tc>
          <w:tcPr>
            <w:tcW w:type="dxa" w:w="2300"/>
            <w:tcMar>
              <w:top w:type="dxa" w:w="100"/>
              <w:left w:type="dxa" w:w="120"/>
              <w:bottom w:type="dxa" w:w="100"/>
              <w:right w:type="dxa" w:w="120"/>
            </w:tcMar>
            <w:vAlign w:val="center"/>
          </w:tcPr>
          <w:p>
            <w:pPr>
              <w:jc w:val="left"/>
            </w:pPr>
            <w:r>
              <w:rPr>
                <w:b w:val="false"/>
                <w:bCs w:val="false"/>
                <w:color w:val="000000"/>
                <w:sz w:val="20"/>
                <w:szCs w:val="20"/>
              </w:rPr>
              <w:t xml:space="preserve">Drift character</w:t>
            </w:r>
          </w:p>
        </w:tc>
        <w:tc>
          <w:tcPr>
            <w:tcW w:type="dxa" w:w="3500"/>
            <w:tcMar>
              <w:top w:type="dxa" w:w="100"/>
              <w:left w:type="dxa" w:w="120"/>
              <w:bottom w:type="dxa" w:w="100"/>
              <w:right w:type="dxa" w:w="120"/>
            </w:tcMar>
            <w:vAlign w:val="center"/>
          </w:tcPr>
          <w:p>
            <w:pPr>
              <w:jc w:val="left"/>
            </w:pPr>
            <w:r>
              <w:rPr>
                <w:b w:val="false"/>
                <w:bCs w:val="false"/>
                <w:color w:val="000000"/>
                <w:sz w:val="20"/>
                <w:szCs w:val="20"/>
              </w:rPr>
              <w:t xml:space="preserve">Adversarial (fraud rings adapt)</w:t>
            </w:r>
          </w:p>
        </w:tc>
        <w:tc>
          <w:tcPr>
            <w:tcW w:type="dxa" w:w="3550"/>
            <w:tcMar>
              <w:top w:type="dxa" w:w="100"/>
              <w:left w:type="dxa" w:w="120"/>
              <w:bottom w:type="dxa" w:w="100"/>
              <w:right w:type="dxa" w:w="120"/>
            </w:tcMar>
            <w:vAlign w:val="center"/>
          </w:tcPr>
          <w:p>
            <w:pPr>
              <w:jc w:val="left"/>
            </w:pPr>
            <w:r>
              <w:rPr>
                <w:b w:val="false"/>
                <w:bCs w:val="false"/>
                <w:color w:val="000000"/>
                <w:sz w:val="20"/>
                <w:szCs w:val="20"/>
              </w:rPr>
              <w:t xml:space="preserve">Natural/economic (rate cycles, policy shifts)</w:t>
            </w:r>
          </w:p>
        </w:tc>
      </w:tr>
      <w:tr>
        <w:tc>
          <w:tcPr>
            <w:tcW w:type="dxa" w:w="23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End-user role</w:t>
            </w:r>
          </w:p>
        </w:tc>
        <w:tc>
          <w:tcPr>
            <w:tcW w:type="dxa" w:w="35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Fraud / AML analyst</w:t>
            </w:r>
          </w:p>
        </w:tc>
        <w:tc>
          <w:tcPr>
            <w:tcW w:type="dxa" w:w="355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Credit / loan officer</w:t>
            </w:r>
          </w:p>
        </w:tc>
      </w:tr>
      <w:tr>
        <w:tc>
          <w:tcPr>
            <w:tcW w:type="dxa" w:w="2300"/>
            <w:tcMar>
              <w:top w:type="dxa" w:w="100"/>
              <w:left w:type="dxa" w:w="120"/>
              <w:bottom w:type="dxa" w:w="100"/>
              <w:right w:type="dxa" w:w="120"/>
            </w:tcMar>
            <w:vAlign w:val="center"/>
          </w:tcPr>
          <w:p>
            <w:pPr>
              <w:jc w:val="left"/>
            </w:pPr>
            <w:r>
              <w:rPr>
                <w:b w:val="false"/>
                <w:bCs w:val="false"/>
                <w:color w:val="000000"/>
                <w:sz w:val="20"/>
                <w:szCs w:val="20"/>
              </w:rPr>
              <w:t xml:space="preserve">UI paradigm</w:t>
            </w:r>
          </w:p>
        </w:tc>
        <w:tc>
          <w:tcPr>
            <w:tcW w:type="dxa" w:w="3500"/>
            <w:tcMar>
              <w:top w:type="dxa" w:w="100"/>
              <w:left w:type="dxa" w:w="120"/>
              <w:bottom w:type="dxa" w:w="100"/>
              <w:right w:type="dxa" w:w="120"/>
            </w:tcMar>
            <w:vAlign w:val="center"/>
          </w:tcPr>
          <w:p>
            <w:pPr>
              <w:jc w:val="left"/>
            </w:pPr>
            <w:r>
              <w:rPr>
                <w:b w:val="false"/>
                <w:bCs w:val="false"/>
                <w:color w:val="000000"/>
                <w:sz w:val="20"/>
                <w:szCs w:val="20"/>
              </w:rPr>
              <w:t xml:space="preserve">Ranked case queue</w:t>
            </w:r>
          </w:p>
        </w:tc>
        <w:tc>
          <w:tcPr>
            <w:tcW w:type="dxa" w:w="3550"/>
            <w:tcMar>
              <w:top w:type="dxa" w:w="100"/>
              <w:left w:type="dxa" w:w="120"/>
              <w:bottom w:type="dxa" w:w="100"/>
              <w:right w:type="dxa" w:w="120"/>
            </w:tcMar>
            <w:vAlign w:val="center"/>
          </w:tcPr>
          <w:p>
            <w:pPr>
              <w:jc w:val="left"/>
            </w:pPr>
            <w:r>
              <w:rPr>
                <w:b w:val="false"/>
                <w:bCs w:val="false"/>
                <w:color w:val="000000"/>
                <w:sz w:val="20"/>
                <w:szCs w:val="20"/>
              </w:rPr>
              <w:t xml:space="preserve">Single-application review</w:t>
            </w:r>
          </w:p>
        </w:tc>
      </w:tr>
      <w:tr>
        <w:tc>
          <w:tcPr>
            <w:tcW w:type="dxa" w:w="23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Primary venue target</w:t>
            </w:r>
          </w:p>
        </w:tc>
        <w:tc>
          <w:tcPr>
            <w:tcW w:type="dxa" w:w="35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ACM ICAIF</w:t>
            </w:r>
          </w:p>
        </w:tc>
        <w:tc>
          <w:tcPr>
            <w:tcW w:type="dxa" w:w="355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ACM ICAIF</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A - Explainable Banking Fraud, AML &amp; Identity-Theft Detection (SKI027) - Implementation Plan</dc:title>
  <dc:creator>Un-named</dc:creator>
  <cp:lastModifiedBy>Un-named</cp:lastModifiedBy>
  <cp:revision>1</cp:revision>
  <dcterms:created xsi:type="dcterms:W3CDTF">2026-10-07T03:17:54.482Z</dcterms:created>
  <dcterms:modified xsi:type="dcterms:W3CDTF">2026-10-07T03:17:54.489Z</dcterms:modified>
</cp:coreProperties>
</file>

<file path=docProps/custom.xml><?xml version="1.0" encoding="utf-8"?>
<Properties xmlns="http://schemas.openxmlformats.org/officeDocument/2006/custom-properties" xmlns:vt="http://schemas.openxmlformats.org/officeDocument/2006/docPropsVTypes"/>
</file>