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2"/>
          <w:szCs w:val="22"/>
        </w:rPr>
        <w:t xml:space="preserve">PROJECT PLAN</w:t>
      </w:r>
    </w:p>
    <w:p>
      <w:pPr>
        <w:spacing w:after="140"/>
      </w:pPr>
      <w:r>
        <w:rPr>
          <w:b/>
          <w:bCs/>
          <w:sz w:val="34"/>
          <w:szCs w:val="34"/>
        </w:rPr>
        <w:t xml:space="preserve">Drift-Aware, Explainable Loan Default Prediction Framework for Early Risk Detection in Non-Stationary Lending Environments</w:t>
      </w:r>
    </w:p>
    <w:p>
      <w:pPr>
        <w:spacing w:after="200"/>
      </w:pPr>
      <w:r>
        <w:rPr>
          <w:i/>
          <w:iCs/>
          <w:color w:val="555555"/>
          <w:sz w:val="21"/>
          <w:szCs w:val="21"/>
        </w:rPr>
        <w:t xml:space="preserve">Single-institution deployment  •  FastAPI + React  •  Publication-oriented system</w:t>
      </w:r>
    </w:p>
    <w:p>
      <w:pPr>
        <w:pBdr>
          <w:bottom w:val="single" w:color="BFBFBF" w:sz="6" w:space="4"/>
        </w:pBdr>
        <w:spacing w:after="200" w:before="120"/>
      </w:pPr>
      <w:r>
        <w:t xml:space="preserve"/>
      </w:r>
    </w:p>
    <w:p>
      <w:pPr>
        <w:pStyle w:val="Heading1"/>
        <w:spacing w:after="160" w:before="360"/>
      </w:pPr>
      <w:r>
        <w:rPr>
          <w:b/>
          <w:bCs/>
          <w:color w:val="1F3864"/>
          <w:sz w:val="30"/>
          <w:szCs w:val="30"/>
        </w:rPr>
        <w:t xml:space="preserve">1. Research Brief</w:t>
      </w:r>
    </w:p>
    <w:p>
      <w:pPr>
        <w:spacing w:after="140" w:line="300"/>
      </w:pPr>
      <w:r>
        <w:rPr>
          <w:sz w:val="21"/>
          <w:szCs w:val="21"/>
        </w:rPr>
        <w:t xml:space="preserve">Gap being addressed: published loan default models report AUC, F1, and KS-statistic on a fixed historical split, but rarely test — or even discuss — what happens after deployment when the applicant population shifts: a policy change, an interest-rate cycle, a new acquisition channel, or a macroeconomic shock (e.g., COVID-era income disruption). Most prior work stops at offline performance and treats the trained model as a static artifact, silently assuming the training distribution holds indefinitely.</w:t>
      </w:r>
    </w:p>
    <w:p>
      <w:pPr>
        <w:spacing w:after="140" w:line="300"/>
      </w:pPr>
      <w:r>
        <w:rPr>
          <w:sz w:val="21"/>
          <w:szCs w:val="21"/>
        </w:rPr>
        <w:t xml:space="preserve">Novelty claim: this project is not a new credit-scoring algorithm — gradient-boosted trees on tabular credit data are a saturated, well-understood space. The contribution is the system design plus a monitoring-and-recourse evaluation: does a drift-aware pipeline detect population shift earlier than a static model would silently fail, and does pairing the risk score with a SHAP-based explanation improve a loan officer's ability to act correctly during a detected drift event, compared with a score-only baseline?</w:t>
      </w:r>
    </w:p>
    <w:p>
      <w:pPr>
        <w:spacing w:after="140" w:line="300"/>
      </w:pPr>
      <w:r>
        <w:rPr>
          <w:sz w:val="21"/>
          <w:szCs w:val="21"/>
        </w:rPr>
        <w:t xml:space="preserve">Positioning: an assistive, human-in-the-loop credit-risk decision-support and monitoring tool, not an autonomous approval/denial system. This keeps fair-lending and regulatory complexity bounded, and should be stated explicitly in any documentation, demo, or publication — the system flags and explains risk and drift; a credit officer makes the lending decision.</w:t>
      </w:r>
    </w:p>
    <w:p>
      <w:pPr>
        <w:pStyle w:val="Heading1"/>
        <w:spacing w:after="160" w:before="360"/>
      </w:pPr>
      <w:r>
        <w:rPr>
          <w:b/>
          <w:bCs/>
          <w:color w:val="1F3864"/>
          <w:sz w:val="30"/>
          <w:szCs w:val="30"/>
        </w:rPr>
        <w:t xml:space="preserve">2. Sprint 1 — Foundation &amp; Data Pipeline</w:t>
      </w:r>
    </w:p>
    <w:p>
      <w:pPr>
        <w:spacing w:after="140" w:line="300"/>
      </w:pPr>
      <w:r>
        <w:rPr>
          <w:i/>
          <w:iCs/>
          <w:color w:val="555555"/>
          <w:sz w:val="21"/>
          <w:szCs w:val="21"/>
        </w:rPr>
        <w:t xml:space="preserve">Duration: 2 weeks. Focus: reproducible data pipeline, baseline feature set, and drift-simulation harness — before any model tuning begins.</w:t>
      </w:r>
    </w:p>
    <w:p>
      <w:pPr>
        <w:pStyle w:val="Heading2"/>
        <w:spacing w:after="120" w:before="260"/>
      </w:pPr>
      <w:r>
        <w:rPr>
          <w:b/>
          <w:bCs/>
          <w:color w:val="1F3864"/>
          <w:sz w:val="25"/>
          <w:szCs w:val="25"/>
        </w:rPr>
        <w:t xml:space="preserve">2.1 Data Sources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50"/>
        <w:gridCol w:w="4300"/>
        <w:gridCol w:w="3200"/>
      </w:tblGrid>
      <w:tr>
        <w:trPr>
          <w:tblHeader/>
        </w:trPr>
        <w:tc>
          <w:tcPr>
            <w:tcW w:type="dxa" w:w="1850"/>
            <w:shd w:fill="1F3864" w:color="auto" w:val="clear"/>
            <w:tcMar>
              <w:top w:type="dxa" w:w="100"/>
              <w:left w:type="dxa" w:w="120"/>
              <w:bottom w:type="dxa" w:w="100"/>
              <w:right w:type="dxa" w:w="120"/>
            </w:tcMar>
            <w:vAlign w:val="center"/>
          </w:tcPr>
          <w:p>
            <w:pPr>
              <w:jc w:val="left"/>
            </w:pPr>
            <w:r>
              <w:rPr>
                <w:b/>
                <w:bCs/>
                <w:color w:val="FFFFFF"/>
                <w:sz w:val="20"/>
                <w:szCs w:val="20"/>
              </w:rPr>
              <w:t xml:space="preserve">Category</w:t>
            </w:r>
          </w:p>
        </w:tc>
        <w:tc>
          <w:tcPr>
            <w:tcW w:type="dxa" w:w="4300"/>
            <w:shd w:fill="1F3864" w:color="auto" w:val="clear"/>
            <w:tcMar>
              <w:top w:type="dxa" w:w="100"/>
              <w:left w:type="dxa" w:w="120"/>
              <w:bottom w:type="dxa" w:w="100"/>
              <w:right w:type="dxa" w:w="120"/>
            </w:tcMar>
            <w:vAlign w:val="center"/>
          </w:tcPr>
          <w:p>
            <w:pPr>
              <w:jc w:val="left"/>
            </w:pPr>
            <w:r>
              <w:rPr>
                <w:b/>
                <w:bCs/>
                <w:color w:val="FFFFFF"/>
                <w:sz w:val="20"/>
                <w:szCs w:val="20"/>
              </w:rPr>
              <w:t xml:space="preserve">Source</w:t>
            </w:r>
          </w:p>
        </w:tc>
        <w:tc>
          <w:tcPr>
            <w:tcW w:type="dxa" w:w="3200"/>
            <w:shd w:fill="1F3864" w:color="auto" w:val="clear"/>
            <w:tcMar>
              <w:top w:type="dxa" w:w="100"/>
              <w:left w:type="dxa" w:w="120"/>
              <w:bottom w:type="dxa" w:w="100"/>
              <w:right w:type="dxa" w:w="120"/>
            </w:tcMar>
            <w:vAlign w:val="center"/>
          </w:tcPr>
          <w:p>
            <w:pPr>
              <w:jc w:val="left"/>
            </w:pPr>
            <w:r>
              <w:rPr>
                <w:b/>
                <w:bCs/>
                <w:color w:val="FFFFFF"/>
                <w:sz w:val="20"/>
                <w:szCs w:val="20"/>
              </w:rPr>
              <w:t xml:space="preserve">Use</w:t>
            </w:r>
          </w:p>
        </w:tc>
      </w:tr>
      <w:tr>
        <w:tc>
          <w:tcPr>
            <w:tcW w:type="dxa" w:w="1850"/>
            <w:tcMar>
              <w:top w:type="dxa" w:w="100"/>
              <w:left w:type="dxa" w:w="120"/>
              <w:bottom w:type="dxa" w:w="100"/>
              <w:right w:type="dxa" w:w="120"/>
            </w:tcMar>
            <w:vAlign w:val="center"/>
          </w:tcPr>
          <w:p>
            <w:pPr>
              <w:jc w:val="left"/>
            </w:pPr>
            <w:r>
              <w:rPr>
                <w:b w:val="false"/>
                <w:bCs w:val="false"/>
                <w:color w:val="000000"/>
                <w:sz w:val="20"/>
                <w:szCs w:val="20"/>
              </w:rPr>
              <w:t xml:space="preserve">Primary dataset</w:t>
            </w:r>
          </w:p>
        </w:tc>
        <w:tc>
          <w:tcPr>
            <w:tcW w:type="dxa" w:w="4300"/>
            <w:tcMar>
              <w:top w:type="dxa" w:w="100"/>
              <w:left w:type="dxa" w:w="120"/>
              <w:bottom w:type="dxa" w:w="100"/>
              <w:right w:type="dxa" w:w="120"/>
            </w:tcMar>
            <w:vAlign w:val="center"/>
          </w:tcPr>
          <w:p>
            <w:pPr>
              <w:jc w:val="left"/>
            </w:pPr>
            <w:r>
              <w:rPr>
                <w:b w:val="false"/>
                <w:bCs w:val="false"/>
                <w:color w:val="000000"/>
                <w:sz w:val="20"/>
                <w:szCs w:val="20"/>
              </w:rPr>
              <w:t xml:space="preserve">LendingClub Loan Data (Kaggle, 2007–2018 accepted loans) — public, ~2.2M records with loan_status outcome</w:t>
            </w:r>
          </w:p>
        </w:tc>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Train / validate the default-risk model; loan_status collapsed to binary (Default/Charged-Off vs. Fully Paid)</w:t>
            </w:r>
          </w:p>
        </w:tc>
      </w:tr>
      <w:tr>
        <w:tc>
          <w:tcPr>
            <w:tcW w:type="dxa" w:w="185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Secondary dataset</w:t>
            </w:r>
          </w:p>
        </w:tc>
        <w:tc>
          <w:tcPr>
            <w:tcW w:type="dxa" w:w="43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Give Me Some Credit (Kaggle) or UCI German Credit / Australian Credit</w:t>
            </w:r>
          </w:p>
        </w:tc>
        <w:tc>
          <w:tcPr>
            <w:tcW w:type="dxa" w:w="32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Cross-dataset generalization test — strengthens publication rigor by showing the model is not overfit to one lender's underwriting era or population</w:t>
            </w:r>
          </w:p>
        </w:tc>
      </w:tr>
      <w:tr>
        <w:tc>
          <w:tcPr>
            <w:tcW w:type="dxa" w:w="1850"/>
            <w:tcMar>
              <w:top w:type="dxa" w:w="100"/>
              <w:left w:type="dxa" w:w="120"/>
              <w:bottom w:type="dxa" w:w="100"/>
              <w:right w:type="dxa" w:w="120"/>
            </w:tcMar>
            <w:vAlign w:val="center"/>
          </w:tcPr>
          <w:p>
            <w:pPr>
              <w:jc w:val="left"/>
            </w:pPr>
            <w:r>
              <w:rPr>
                <w:b w:val="false"/>
                <w:bCs w:val="false"/>
                <w:color w:val="000000"/>
                <w:sz w:val="20"/>
                <w:szCs w:val="20"/>
              </w:rPr>
              <w:t xml:space="preserve">Temporal shift source</w:t>
            </w:r>
          </w:p>
        </w:tc>
        <w:tc>
          <w:tcPr>
            <w:tcW w:type="dxa" w:w="4300"/>
            <w:tcMar>
              <w:top w:type="dxa" w:w="100"/>
              <w:left w:type="dxa" w:w="120"/>
              <w:bottom w:type="dxa" w:w="100"/>
              <w:right w:type="dxa" w:w="120"/>
            </w:tcMar>
            <w:vAlign w:val="center"/>
          </w:tcPr>
          <w:p>
            <w:pPr>
              <w:jc w:val="left"/>
            </w:pPr>
            <w:r>
              <w:rPr>
                <w:b w:val="false"/>
                <w:bCs w:val="false"/>
                <w:color w:val="000000"/>
                <w:sz w:val="20"/>
                <w:szCs w:val="20"/>
              </w:rPr>
              <w:t xml:space="preserve">LendingClub issue_d (loan issue date) field, spanning multiple economic cycles</w:t>
            </w:r>
          </w:p>
        </w:tc>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Used to construct pre-shift / post-shift time windows for the drift-detection study — no synthetic data needed for this since real regime change already exists in the date range</w:t>
            </w:r>
          </w:p>
        </w:tc>
      </w:tr>
      <w:tr>
        <w:tc>
          <w:tcPr>
            <w:tcW w:type="dxa" w:w="185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Synthetic applicant metadata</w:t>
            </w:r>
          </w:p>
        </w:tc>
        <w:tc>
          <w:tcPr>
            <w:tcW w:type="dxa" w:w="43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Faker (Python library)</w:t>
            </w:r>
          </w:p>
        </w:tc>
        <w:tc>
          <w:tcPr>
            <w:tcW w:type="dxa" w:w="32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Wraps real feature rows with synthetic applicant name / masked ID for the demo UI — never real PII; the underlying financial features remain the genuine (de-identified) dataset values</w:t>
            </w:r>
          </w:p>
        </w:tc>
      </w:tr>
      <w:tr>
        <w:tc>
          <w:tcPr>
            <w:tcW w:type="dxa" w:w="1850"/>
            <w:tcMar>
              <w:top w:type="dxa" w:w="100"/>
              <w:left w:type="dxa" w:w="120"/>
              <w:bottom w:type="dxa" w:w="100"/>
              <w:right w:type="dxa" w:w="120"/>
            </w:tcMar>
            <w:vAlign w:val="center"/>
          </w:tcPr>
          <w:p>
            <w:pPr>
              <w:jc w:val="left"/>
            </w:pPr>
            <w:r>
              <w:rPr>
                <w:b w:val="false"/>
                <w:bCs w:val="false"/>
                <w:color w:val="000000"/>
                <w:sz w:val="20"/>
                <w:szCs w:val="20"/>
              </w:rPr>
              <w:t xml:space="preserve">Live API / web scraping</w:t>
            </w:r>
          </w:p>
        </w:tc>
        <w:tc>
          <w:tcPr>
            <w:tcW w:type="dxa" w:w="4300"/>
            <w:tcMar>
              <w:top w:type="dxa" w:w="100"/>
              <w:left w:type="dxa" w:w="120"/>
              <w:bottom w:type="dxa" w:w="100"/>
              <w:right w:type="dxa" w:w="120"/>
            </w:tcMar>
            <w:vAlign w:val="center"/>
          </w:tcPr>
          <w:p>
            <w:pPr>
              <w:jc w:val="left"/>
            </w:pPr>
            <w:r>
              <w:rPr>
                <w:b w:val="false"/>
                <w:bCs w:val="false"/>
                <w:color w:val="000000"/>
                <w:sz w:val="20"/>
                <w:szCs w:val="20"/>
              </w:rPr>
              <w:t xml:space="preserve">Not used</w:t>
            </w:r>
          </w:p>
        </w:tc>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This project does not need real-time bureau data; adding a live credit-bureau API or scraping source here would add compliance risk with no payoff for a research prototype</w:t>
            </w:r>
          </w:p>
        </w:tc>
      </w:tr>
    </w:tbl>
    <w:p>
      <w:pPr>
        <w:spacing w:after="160"/>
      </w:pPr>
      <w:r>
        <w:t xml:space="preserve"/>
      </w:r>
    </w:p>
    <w:p>
      <w:pPr>
        <w:pStyle w:val="Heading2"/>
        <w:spacing w:after="120" w:before="260"/>
      </w:pPr>
      <w:r>
        <w:rPr>
          <w:b/>
          <w:bCs/>
          <w:color w:val="1F3864"/>
          <w:sz w:val="25"/>
          <w:szCs w:val="25"/>
        </w:rPr>
        <w:t xml:space="preserve">2.2 Data Inputs and Feature Specification</w:t>
      </w:r>
    </w:p>
    <w:p>
      <w:pPr>
        <w:spacing w:after="140" w:line="300"/>
      </w:pPr>
      <w:r>
        <w:rPr>
          <w:sz w:val="21"/>
          <w:szCs w:val="21"/>
        </w:rPr>
        <w:t xml:space="preserve">Precise definition of what feeds the model, to keep Sprint 2 training fully reproducible from this point forward:</w:t>
      </w:r>
    </w:p>
    <w:p>
      <w:pPr>
        <w:pStyle w:val="Heading3"/>
        <w:spacing w:after="100" w:before="200"/>
      </w:pPr>
      <w:r>
        <w:rPr>
          <w:b/>
          <w:bCs/>
          <w:sz w:val="22"/>
          <w:szCs w:val="22"/>
        </w:rPr>
        <w:t xml:space="preserve">Raw input format</w:t>
      </w:r>
    </w:p>
    <w:p>
      <w:pPr>
        <w:pStyle w:val="ListParagraph"/>
        <w:numPr>
          <w:ilvl w:val="0"/>
          <w:numId w:val="2"/>
        </w:numPr>
        <w:spacing w:after="90" w:line="290"/>
      </w:pPr>
      <w:r>
        <w:rPr>
          <w:sz w:val="21"/>
          <w:szCs w:val="21"/>
        </w:rPr>
        <w:t xml:space="preserve">Source files delivered as CSV (LendingClub) — approximately 150 raw columns per record before pruning.</w:t>
      </w:r>
    </w:p>
    <w:p>
      <w:pPr>
        <w:pStyle w:val="ListParagraph"/>
        <w:numPr>
          <w:ilvl w:val="0"/>
          <w:numId w:val="2"/>
        </w:numPr>
        <w:spacing w:after="90" w:line="290"/>
      </w:pPr>
      <w:r>
        <w:rPr>
          <w:sz w:val="21"/>
          <w:szCs w:val="21"/>
        </w:rPr>
        <w:t xml:space="preserve">Unit of observation: one row per loan application/origination.</w:t>
      </w:r>
    </w:p>
    <w:p>
      <w:pPr>
        <w:pStyle w:val="ListParagraph"/>
        <w:numPr>
          <w:ilvl w:val="0"/>
          <w:numId w:val="2"/>
        </w:numPr>
        <w:spacing w:after="90" w:line="290"/>
      </w:pPr>
      <w:r>
        <w:rPr>
          <w:sz w:val="21"/>
          <w:szCs w:val="21"/>
        </w:rPr>
        <w:t xml:space="preserve">Target label construction: loan_status mapped to binary y — 1 for {Charged Off, Default}, 0 for {Fully Paid}; loans still "Current" or "In Grace Period" are excluded from training to avoid label leakage from unresolved outcomes.</w:t>
      </w:r>
    </w:p>
    <w:p>
      <w:pPr>
        <w:pStyle w:val="Heading3"/>
        <w:spacing w:after="100" w:before="200"/>
      </w:pPr>
      <w:r>
        <w:rPr>
          <w:b/>
          <w:bCs/>
          <w:sz w:val="22"/>
          <w:szCs w:val="22"/>
        </w:rPr>
        <w:t xml:space="preserve">Feature groups retained (post-pruning to avoid leakage and near-duplicate fields)</w:t>
      </w:r>
    </w:p>
    <w:p>
      <w:pPr>
        <w:pStyle w:val="ListParagraph"/>
        <w:numPr>
          <w:ilvl w:val="0"/>
          <w:numId w:val="2"/>
        </w:numPr>
        <w:spacing w:after="90" w:line="290"/>
      </w:pPr>
      <w:r>
        <w:rPr>
          <w:sz w:val="21"/>
          <w:szCs w:val="21"/>
        </w:rPr>
        <w:t xml:space="preserve">Applicant financial features: annual_inc, dti (debt-to-income), revol_util, revol_bal, open_acc, total_acc, delinq_2yrs, inq_last_6mths.</w:t>
      </w:r>
    </w:p>
    <w:p>
      <w:pPr>
        <w:pStyle w:val="ListParagraph"/>
        <w:numPr>
          <w:ilvl w:val="0"/>
          <w:numId w:val="2"/>
        </w:numPr>
        <w:spacing w:after="90" w:line="290"/>
      </w:pPr>
      <w:r>
        <w:rPr>
          <w:sz w:val="21"/>
          <w:szCs w:val="21"/>
        </w:rPr>
        <w:t xml:space="preserve">Loan features: loan_amnt, term, int_rate, installment, grade/sub_grade (encoded), purpose (one-hot).</w:t>
      </w:r>
    </w:p>
    <w:p>
      <w:pPr>
        <w:pStyle w:val="ListParagraph"/>
        <w:numPr>
          <w:ilvl w:val="0"/>
          <w:numId w:val="2"/>
        </w:numPr>
        <w:spacing w:after="90" w:line="290"/>
      </w:pPr>
      <w:r>
        <w:rPr>
          <w:sz w:val="21"/>
          <w:szCs w:val="21"/>
        </w:rPr>
        <w:t xml:space="preserve">Employment / housing: emp_length (parsed to numeric years), home_ownership (one-hot).</w:t>
      </w:r>
    </w:p>
    <w:p>
      <w:pPr>
        <w:pStyle w:val="ListParagraph"/>
        <w:numPr>
          <w:ilvl w:val="0"/>
          <w:numId w:val="2"/>
        </w:numPr>
        <w:spacing w:after="90" w:line="290"/>
      </w:pPr>
      <w:r>
        <w:rPr>
          <w:sz w:val="21"/>
          <w:szCs w:val="21"/>
        </w:rPr>
        <w:t xml:space="preserve">Explicitly excluded: any field populated after origination (e.g., recoveries, total_pymnt, last_pymnt_d) — these leak the outcome and are a common, undocumented error in public-dataset tutorials; this exclusion list is documented in the data dictionary as a reproducibility and integrity control.</w:t>
      </w:r>
    </w:p>
    <w:p>
      <w:pPr>
        <w:pStyle w:val="Heading3"/>
        <w:spacing w:after="100" w:before="200"/>
      </w:pPr>
      <w:r>
        <w:rPr>
          <w:b/>
          <w:bCs/>
          <w:sz w:val="22"/>
          <w:szCs w:val="22"/>
        </w:rPr>
        <w:t xml:space="preserve">Preprocessing steps</w:t>
      </w:r>
    </w:p>
    <w:p>
      <w:pPr>
        <w:pStyle w:val="ListParagraph"/>
        <w:numPr>
          <w:ilvl w:val="0"/>
          <w:numId w:val="2"/>
        </w:numPr>
        <w:spacing w:after="90" w:line="290"/>
      </w:pPr>
      <w:r>
        <w:rPr>
          <w:sz w:val="21"/>
          <w:szCs w:val="21"/>
        </w:rPr>
        <w:t xml:space="preserve">Missing-value handling: median imputation for numeric fields with an added *_was_missing binary flag column (preserves the "missingness is informative" signal common in credit data).</w:t>
      </w:r>
    </w:p>
    <w:p>
      <w:pPr>
        <w:pStyle w:val="ListParagraph"/>
        <w:numPr>
          <w:ilvl w:val="0"/>
          <w:numId w:val="2"/>
        </w:numPr>
        <w:spacing w:after="90" w:line="290"/>
      </w:pPr>
      <w:r>
        <w:rPr>
          <w:sz w:val="21"/>
          <w:szCs w:val="21"/>
        </w:rPr>
        <w:t xml:space="preserve">Categorical encoding: target-safe ordinal encoding for grade/sub_grade; one-hot encoding for purpose and home_ownership.</w:t>
      </w:r>
    </w:p>
    <w:p>
      <w:pPr>
        <w:pStyle w:val="ListParagraph"/>
        <w:numPr>
          <w:ilvl w:val="0"/>
          <w:numId w:val="2"/>
        </w:numPr>
        <w:spacing w:after="90" w:line="290"/>
      </w:pPr>
      <w:r>
        <w:rPr>
          <w:sz w:val="21"/>
          <w:szCs w:val="21"/>
        </w:rPr>
        <w:t xml:space="preserve">Numeric scaling: not required for the primary tree-based model, but a StandardScaler-fitted copy of the feature set is retained for the logistic-regression interpretability baseline (Sprint 2).</w:t>
      </w:r>
    </w:p>
    <w:p>
      <w:pPr>
        <w:pStyle w:val="ListParagraph"/>
        <w:numPr>
          <w:ilvl w:val="0"/>
          <w:numId w:val="2"/>
        </w:numPr>
        <w:spacing w:after="90" w:line="290"/>
      </w:pPr>
      <w:r>
        <w:rPr>
          <w:sz w:val="21"/>
          <w:szCs w:val="21"/>
        </w:rPr>
        <w:t xml:space="preserve">Class imbalance handling: default rate is roughly 15–20% of resolved loans; addressed via class_weight balancing at training time rather than naive oversampling, to avoid duplicating drift-relevant tail cases.</w:t>
      </w:r>
    </w:p>
    <w:p>
      <w:pPr>
        <w:pStyle w:val="Heading3"/>
        <w:spacing w:after="100" w:before="200"/>
      </w:pPr>
      <w:r>
        <w:rPr>
          <w:b/>
          <w:bCs/>
          <w:sz w:val="22"/>
          <w:szCs w:val="22"/>
        </w:rPr>
        <w:t xml:space="preserve">Feature engineering</w:t>
      </w:r>
    </w:p>
    <w:p>
      <w:pPr>
        <w:pStyle w:val="ListParagraph"/>
        <w:numPr>
          <w:ilvl w:val="0"/>
          <w:numId w:val="2"/>
        </w:numPr>
        <w:spacing w:after="90" w:line="290"/>
      </w:pPr>
      <w:r>
        <w:rPr>
          <w:sz w:val="21"/>
          <w:szCs w:val="21"/>
        </w:rPr>
        <w:t xml:space="preserve">loan_to_income = loan_amnt / annual_inc — a common domain-derived ratio, cheap to compute, and typically a top-3 SHAP feature.</w:t>
      </w:r>
    </w:p>
    <w:p>
      <w:pPr>
        <w:pStyle w:val="ListParagraph"/>
        <w:numPr>
          <w:ilvl w:val="0"/>
          <w:numId w:val="2"/>
        </w:numPr>
        <w:spacing w:after="90" w:line="290"/>
      </w:pPr>
      <w:r>
        <w:rPr>
          <w:sz w:val="21"/>
          <w:szCs w:val="21"/>
        </w:rPr>
        <w:t xml:space="preserve">credit_history_years derived from earliest_cr_line to issue_d.</w:t>
      </w:r>
    </w:p>
    <w:p>
      <w:pPr>
        <w:pStyle w:val="ListParagraph"/>
        <w:numPr>
          <w:ilvl w:val="0"/>
          <w:numId w:val="2"/>
        </w:numPr>
        <w:spacing w:after="90" w:line="290"/>
      </w:pPr>
      <w:r>
        <w:rPr>
          <w:sz w:val="21"/>
          <w:szCs w:val="21"/>
        </w:rPr>
        <w:t xml:space="preserve">installment_to_income = installment / (annual_inc / 12) — monthly affordability ratio.</w:t>
      </w:r>
    </w:p>
    <w:p>
      <w:pPr>
        <w:pStyle w:val="Heading3"/>
        <w:spacing w:after="100" w:before="200"/>
      </w:pPr>
      <w:r>
        <w:rPr>
          <w:b/>
          <w:bCs/>
          <w:sz w:val="22"/>
          <w:szCs w:val="22"/>
        </w:rPr>
        <w:t xml:space="preserve">Data flow into training / inference</w:t>
      </w:r>
    </w:p>
    <w:p>
      <w:pPr>
        <w:pStyle w:val="ListParagraph"/>
        <w:numPr>
          <w:ilvl w:val="0"/>
          <w:numId w:val="2"/>
        </w:numPr>
        <w:spacing w:after="90" w:line="290"/>
      </w:pPr>
      <w:r>
        <w:rPr>
          <w:sz w:val="21"/>
          <w:szCs w:val="21"/>
        </w:rPr>
        <w:t xml:space="preserve">Raw CSV → cleaning script (pandas) → Parquet feature store, partitioned by issue_d quarter (this partitioning is what Sprint 2's drift simulation reads from directly).</w:t>
      </w:r>
    </w:p>
    <w:p>
      <w:pPr>
        <w:pStyle w:val="ListParagraph"/>
        <w:numPr>
          <w:ilvl w:val="0"/>
          <w:numId w:val="2"/>
        </w:numPr>
        <w:spacing w:after="90" w:line="290"/>
      </w:pPr>
      <w:r>
        <w:rPr>
          <w:sz w:val="21"/>
          <w:szCs w:val="21"/>
        </w:rPr>
        <w:t xml:space="preserve">Feature store → deterministic train/validation/test split by time (train: earliest quarters; validation: middle; held-out "shift" test set: latest quarters) — a time-based split rather than random, since the entire premise of the paper is temporal distribution shift.</w:t>
      </w:r>
    </w:p>
    <w:p>
      <w:pPr>
        <w:pStyle w:val="ListParagraph"/>
        <w:numPr>
          <w:ilvl w:val="0"/>
          <w:numId w:val="2"/>
        </w:numPr>
        <w:spacing w:after="90" w:line="290"/>
      </w:pPr>
      <w:r>
        <w:rPr>
          <w:sz w:val="21"/>
          <w:szCs w:val="21"/>
        </w:rPr>
        <w:t xml:space="preserve">At inference time, the same cleaning/feature-engineering function (packaged as a single transform_features() module, not duplicated notebook code) is imported by both the training pipeline and the FastAPI inference service, guaranteeing train/serve consistency.</w:t>
      </w:r>
    </w:p>
    <w:p>
      <w:pPr>
        <w:pStyle w:val="Heading2"/>
        <w:spacing w:after="120" w:before="260"/>
      </w:pPr>
      <w:r>
        <w:rPr>
          <w:b/>
          <w:bCs/>
          <w:color w:val="1F3864"/>
          <w:sz w:val="25"/>
          <w:szCs w:val="25"/>
        </w:rPr>
        <w:t xml:space="preserve">2.3 Pipeline Tasks</w:t>
      </w:r>
    </w:p>
    <w:p>
      <w:pPr>
        <w:pStyle w:val="ListParagraph"/>
        <w:numPr>
          <w:ilvl w:val="0"/>
          <w:numId w:val="2"/>
        </w:numPr>
        <w:spacing w:after="90" w:line="290"/>
      </w:pPr>
      <w:r>
        <w:rPr>
          <w:sz w:val="21"/>
          <w:szCs w:val="21"/>
        </w:rPr>
        <w:t xml:space="preserve">Initialize repository structure: /data, /notebooks, /backend, /frontend, /docs, /monitoring</w:t>
      </w:r>
    </w:p>
    <w:p>
      <w:pPr>
        <w:pStyle w:val="ListParagraph"/>
        <w:numPr>
          <w:ilvl w:val="0"/>
          <w:numId w:val="2"/>
        </w:numPr>
        <w:spacing w:after="90" w:line="290"/>
      </w:pPr>
      <w:r>
        <w:rPr>
          <w:sz w:val="21"/>
          <w:szCs w:val="21"/>
        </w:rPr>
        <w:t xml:space="preserve">Pin dependencies in requirements.txt; write a Dockerfile for reproducibility</w:t>
      </w:r>
    </w:p>
    <w:p>
      <w:pPr>
        <w:pStyle w:val="ListParagraph"/>
        <w:numPr>
          <w:ilvl w:val="0"/>
          <w:numId w:val="2"/>
        </w:numPr>
        <w:spacing w:after="90" w:line="290"/>
      </w:pPr>
      <w:r>
        <w:rPr>
          <w:sz w:val="21"/>
          <w:szCs w:val="21"/>
        </w:rPr>
        <w:t xml:space="preserve">Exploratory data analysis notebook covering class balance and temporal composition — LendingClub's default rate and volume both shift materially across 2007–2018, and this should be documented since it directly motivates the drift study and affects reported metrics</w:t>
      </w:r>
    </w:p>
    <w:p>
      <w:pPr>
        <w:pStyle w:val="ListParagraph"/>
        <w:numPr>
          <w:ilvl w:val="0"/>
          <w:numId w:val="2"/>
        </w:numPr>
        <w:spacing w:after="90" w:line="290"/>
      </w:pPr>
      <w:r>
        <w:rPr>
          <w:sz w:val="21"/>
          <w:szCs w:val="21"/>
        </w:rPr>
        <w:t xml:space="preserve">Build a data dictionary: feature_name, dtype, source_column, null_rate, transformation_applied, leakage_risk_flag</w:t>
      </w:r>
    </w:p>
    <w:p>
      <w:pPr>
        <w:pStyle w:val="ListParagraph"/>
        <w:numPr>
          <w:ilvl w:val="0"/>
          <w:numId w:val="2"/>
        </w:numPr>
        <w:spacing w:after="90" w:line="290"/>
      </w:pPr>
      <w:r>
        <w:rPr>
          <w:sz w:val="21"/>
          <w:szCs w:val="21"/>
        </w:rPr>
        <w:t xml:space="preserve">Document provenance for each source: dataset version, download date, license terms (Kaggle's LendingClub mirror license and any UCI dataset citation requirements)</w:t>
      </w:r>
    </w:p>
    <w:p>
      <w:pPr>
        <w:pStyle w:val="ListParagraph"/>
        <w:numPr>
          <w:ilvl w:val="0"/>
          <w:numId w:val="2"/>
        </w:numPr>
        <w:spacing w:after="90" w:line="290"/>
      </w:pPr>
      <w:r>
        <w:rPr>
          <w:sz w:val="21"/>
          <w:szCs w:val="21"/>
        </w:rPr>
        <w:t xml:space="preserve">Build the drift-simulation harness now, not in Sprint 2: a utility that can slice the Parquet store into arbitrary time windows and optionally apply synthetic perturbation (e.g., shifting the interest-rate or DTI distribution) — this harness is reused across all three sprints</w:t>
      </w:r>
    </w:p>
    <w:p>
      <w:pPr>
        <w:pStyle w:val="Heading1"/>
        <w:spacing w:after="160" w:before="360"/>
      </w:pPr>
      <w:r>
        <w:rPr>
          <w:b/>
          <w:bCs/>
          <w:color w:val="1F3864"/>
          <w:sz w:val="30"/>
          <w:szCs w:val="30"/>
        </w:rPr>
        <w:t xml:space="preserve">3. Sprint 2 — Model Development, Explainability &amp; Drift Detection</w:t>
      </w:r>
    </w:p>
    <w:p>
      <w:pPr>
        <w:spacing w:after="140" w:line="300"/>
      </w:pPr>
      <w:r>
        <w:rPr>
          <w:i/>
          <w:iCs/>
          <w:color w:val="555555"/>
          <w:sz w:val="21"/>
          <w:szCs w:val="21"/>
        </w:rPr>
        <w:t xml:space="preserve">Duration: 3 weeks. Focus: the model layer, the explanation layer, and the drift-detection layer — the three components that differentiate this from a standard classifier project.</w:t>
      </w:r>
    </w:p>
    <w:p>
      <w:pPr>
        <w:pStyle w:val="Heading2"/>
        <w:spacing w:after="120" w:before="260"/>
      </w:pPr>
      <w:r>
        <w:rPr>
          <w:b/>
          <w:bCs/>
          <w:color w:val="1F3864"/>
          <w:sz w:val="25"/>
          <w:szCs w:val="25"/>
        </w:rPr>
        <w:t xml:space="preserve">3.1 Model Layer</w:t>
      </w:r>
    </w:p>
    <w:p>
      <w:pPr>
        <w:pStyle w:val="Heading3"/>
        <w:spacing w:after="100" w:before="200"/>
      </w:pPr>
      <w:r>
        <w:rPr>
          <w:b/>
          <w:bCs/>
          <w:sz w:val="22"/>
          <w:szCs w:val="22"/>
        </w:rPr>
        <w:t xml:space="preserve">Primary model</w:t>
      </w:r>
    </w:p>
    <w:p>
      <w:pPr>
        <w:pStyle w:val="ListParagraph"/>
        <w:numPr>
          <w:ilvl w:val="0"/>
          <w:numId w:val="2"/>
        </w:numPr>
        <w:spacing w:after="90" w:line="290"/>
      </w:pPr>
      <w:r>
        <w:rPr>
          <w:sz w:val="21"/>
          <w:szCs w:val="21"/>
        </w:rPr>
        <w:t xml:space="preserve">Algorithm: Gradient-boosted decision trees — LightGBM (primary) with an XGBoost run for a robustness cross-check.</w:t>
      </w:r>
    </w:p>
    <w:p>
      <w:pPr>
        <w:pStyle w:val="ListParagraph"/>
        <w:numPr>
          <w:ilvl w:val="0"/>
          <w:numId w:val="2"/>
        </w:numPr>
        <w:spacing w:after="90" w:line="290"/>
      </w:pPr>
      <w:r>
        <w:rPr>
          <w:sz w:val="21"/>
          <w:szCs w:val="21"/>
        </w:rPr>
        <w:t xml:space="preserve">Justification: tabular, mixed-type, moderately-sized structured data with non-linear interactions (e.g., DTI × grade) is the canonical strong case for GBTs; they consistently outperform deep tabular architectures (e.g., TabNet, FT-Transformer) on datasets of this size and column count in published benchmarks, train in minutes on free-tier compute (no GPU required), and — critically for this paper — have a mature, fast, exact SHAP implementation (TreeExplainer), which the explanation layer depends on.</w:t>
      </w:r>
    </w:p>
    <w:p>
      <w:pPr>
        <w:pStyle w:val="ListParagraph"/>
        <w:numPr>
          <w:ilvl w:val="0"/>
          <w:numId w:val="2"/>
        </w:numPr>
        <w:spacing w:after="90" w:line="290"/>
      </w:pPr>
      <w:r>
        <w:rPr>
          <w:sz w:val="21"/>
          <w:szCs w:val="21"/>
        </w:rPr>
        <w:t xml:space="preserve">Hyperparameters tuned via time-series-aware cross-validation (expanding window, not k-fold shuffle) — shuffled k-fold would leak future information into past folds and is flagged in the plan as a common methodological error to avoid.</w:t>
      </w:r>
    </w:p>
    <w:p>
      <w:pPr>
        <w:pStyle w:val="Heading3"/>
        <w:spacing w:after="100" w:before="200"/>
      </w:pPr>
      <w:r>
        <w:rPr>
          <w:b/>
          <w:bCs/>
          <w:sz w:val="22"/>
          <w:szCs w:val="22"/>
        </w:rPr>
        <w:t xml:space="preserve">Interpretability baseline model</w:t>
      </w:r>
    </w:p>
    <w:p>
      <w:pPr>
        <w:pStyle w:val="ListParagraph"/>
        <w:numPr>
          <w:ilvl w:val="0"/>
          <w:numId w:val="2"/>
        </w:numPr>
        <w:spacing w:after="90" w:line="290"/>
      </w:pPr>
      <w:r>
        <w:rPr>
          <w:sz w:val="21"/>
          <w:szCs w:val="21"/>
        </w:rPr>
        <w:t xml:space="preserve">Algorithm: L2-regularized logistic regression on the scaled feature set.</w:t>
      </w:r>
    </w:p>
    <w:p>
      <w:pPr>
        <w:pStyle w:val="ListParagraph"/>
        <w:numPr>
          <w:ilvl w:val="0"/>
          <w:numId w:val="2"/>
        </w:numPr>
        <w:spacing w:after="90" w:line="290"/>
      </w:pPr>
      <w:r>
        <w:rPr>
          <w:sz w:val="21"/>
          <w:szCs w:val="21"/>
        </w:rPr>
        <w:t xml:space="preserve">Justification: serves two purposes — (1) a transparent, coefficient-interpretable sanity check that the GBT's SHAP explanations align directionally with a known-interpretable model, and (2) a fast-to-retrain fallback model referenced in the retraining-trigger logic below.</w:t>
      </w:r>
    </w:p>
    <w:p>
      <w:pPr>
        <w:pStyle w:val="Heading3"/>
        <w:spacing w:after="100" w:before="200"/>
      </w:pPr>
      <w:r>
        <w:rPr>
          <w:b/>
          <w:bCs/>
          <w:sz w:val="22"/>
          <w:szCs w:val="22"/>
        </w:rPr>
        <w:t xml:space="preserve">Drift-detection model / statistical layer</w:t>
      </w:r>
    </w:p>
    <w:p>
      <w:pPr>
        <w:pStyle w:val="ListParagraph"/>
        <w:numPr>
          <w:ilvl w:val="0"/>
          <w:numId w:val="2"/>
        </w:numPr>
        <w:spacing w:after="90" w:line="290"/>
      </w:pPr>
      <w:r>
        <w:rPr>
          <w:sz w:val="21"/>
          <w:szCs w:val="21"/>
        </w:rPr>
        <w:t xml:space="preserve">Method: population-level drift via Kolmogorov-Smirnov two-sample test per feature, and prediction-level drift via the ADWIN (Adaptive Windowing) algorithm from the river library, applied to the model's output score stream over time-ordered batches.</w:t>
      </w:r>
    </w:p>
    <w:p>
      <w:pPr>
        <w:pStyle w:val="ListParagraph"/>
        <w:numPr>
          <w:ilvl w:val="0"/>
          <w:numId w:val="2"/>
        </w:numPr>
        <w:spacing w:after="90" w:line="290"/>
      </w:pPr>
      <w:r>
        <w:rPr>
          <w:sz w:val="21"/>
          <w:szCs w:val="21"/>
        </w:rPr>
        <w:t xml:space="preserve">Justification: KS-test is distribution-agnostic and interpretable per-feature ("DTI distribution shifted, p &lt; 0.01"), which supports the paper's explainability angle; ADWIN is designed for streaming/sequential drift detection with theoretical guarantees on false-positive control, is free and open-source, and requires no labeled outcome to trigger (important, since default outcomes for recent loans are not yet resolved — a real constraint in credit risk that the paper explicitly discusses).</w:t>
      </w:r>
    </w:p>
    <w:p>
      <w:pPr>
        <w:pStyle w:val="Heading3"/>
        <w:spacing w:after="100" w:before="200"/>
      </w:pPr>
      <w:r>
        <w:rPr>
          <w:b/>
          <w:bCs/>
          <w:sz w:val="22"/>
          <w:szCs w:val="22"/>
        </w:rPr>
        <w:t xml:space="preserve">Explanation engine</w:t>
      </w:r>
    </w:p>
    <w:p>
      <w:pPr>
        <w:pStyle w:val="ListParagraph"/>
        <w:numPr>
          <w:ilvl w:val="0"/>
          <w:numId w:val="2"/>
        </w:numPr>
        <w:spacing w:after="90" w:line="290"/>
      </w:pPr>
      <w:r>
        <w:rPr>
          <w:sz w:val="21"/>
          <w:szCs w:val="21"/>
        </w:rPr>
        <w:t xml:space="preserve">SHAP TreeExplainer (shap library) computing per-prediction feature attributions directly on the LightGBM model — exact and fast for tree ensembles, unlike model-agnostic KernelSHAP.</w:t>
      </w:r>
    </w:p>
    <w:p>
      <w:pPr>
        <w:pStyle w:val="ListParagraph"/>
        <w:numPr>
          <w:ilvl w:val="0"/>
          <w:numId w:val="2"/>
        </w:numPr>
        <w:spacing w:after="90" w:line="290"/>
      </w:pPr>
      <w:r>
        <w:rPr>
          <w:sz w:val="21"/>
          <w:szCs w:val="21"/>
        </w:rPr>
        <w:t xml:space="preserve">Rule-based narrative layer: top-3 SHAP features per prediction mapped to a template rationale string (e.g., "elevated risk driven primarily by high debt-to-income ratio (34%) and short credit history (1.8 years)") — mirrors the anatomical-quadrant mapping approach used in the ophthalmic project's Grad-CAM layer, adapted to tabular attributions.</w:t>
      </w:r>
    </w:p>
    <w:p>
      <w:pPr>
        <w:pStyle w:val="Heading2"/>
        <w:spacing w:after="120" w:before="260"/>
      </w:pPr>
      <w:r>
        <w:rPr>
          <w:b/>
          <w:bCs/>
          <w:color w:val="1F3864"/>
          <w:sz w:val="25"/>
          <w:szCs w:val="25"/>
        </w:rPr>
        <w:t xml:space="preserve">3.2 Data Inputs at This Stage</w:t>
      </w:r>
    </w:p>
    <w:p>
      <w:pPr>
        <w:pStyle w:val="ListParagraph"/>
        <w:numPr>
          <w:ilvl w:val="0"/>
          <w:numId w:val="2"/>
        </w:numPr>
        <w:spacing w:after="90" w:line="290"/>
      </w:pPr>
      <w:r>
        <w:rPr>
          <w:sz w:val="21"/>
          <w:szCs w:val="21"/>
        </w:rPr>
        <w:t xml:space="preserve">Training input: the Parquet feature store from Sprint 1, time-sliced into train/validation partitions; identical transform_features() module as Sprint 1 (no re-derivation of logic).</w:t>
      </w:r>
    </w:p>
    <w:p>
      <w:pPr>
        <w:pStyle w:val="ListParagraph"/>
        <w:numPr>
          <w:ilvl w:val="0"/>
          <w:numId w:val="2"/>
        </w:numPr>
        <w:spacing w:after="90" w:line="290"/>
      </w:pPr>
      <w:r>
        <w:rPr>
          <w:sz w:val="21"/>
          <w:szCs w:val="21"/>
        </w:rPr>
        <w:t xml:space="preserve">Drift-study input: the held-out "shift" test set (latest time quarters) plus a synthetically perturbed variant (e.g., +15% shift in interest-rate distribution, simulating a rate-hike environment) generated by the Sprint 1 drift-simulation harness.</w:t>
      </w:r>
    </w:p>
    <w:p>
      <w:pPr>
        <w:pStyle w:val="ListParagraph"/>
        <w:numPr>
          <w:ilvl w:val="0"/>
          <w:numId w:val="2"/>
        </w:numPr>
        <w:spacing w:after="90" w:line="290"/>
      </w:pPr>
      <w:r>
        <w:rPr>
          <w:sz w:val="21"/>
          <w:szCs w:val="21"/>
        </w:rPr>
        <w:t xml:space="preserve">Explanation-layer input: per-row feature vectors at inference time, paired with the trained LightGBM model's internal tree structure (required by TreeExplainer) — no additional data source beyond what training already uses.</w:t>
      </w:r>
    </w:p>
    <w:p>
      <w:pPr>
        <w:pStyle w:val="ListParagraph"/>
        <w:numPr>
          <w:ilvl w:val="0"/>
          <w:numId w:val="2"/>
        </w:numPr>
        <w:spacing w:after="90" w:line="290"/>
      </w:pPr>
      <w:r>
        <w:rPr>
          <w:sz w:val="21"/>
          <w:szCs w:val="21"/>
        </w:rPr>
        <w:t xml:space="preserve">Output of this sprint feeding forward: a versioned model artifact (model.pkl + feature schema + training-window metadata), a fitted SHAP explainer object, and a calibrated ADWIN detector state — all three are loaded by the FastAPI inference service in Sprint 3.</w:t>
      </w:r>
    </w:p>
    <w:p>
      <w:pPr>
        <w:pStyle w:val="Heading2"/>
        <w:spacing w:after="120" w:before="260"/>
      </w:pPr>
      <w:r>
        <w:rPr>
          <w:b/>
          <w:bCs/>
          <w:color w:val="1F3864"/>
          <w:sz w:val="25"/>
          <w:szCs w:val="25"/>
        </w:rPr>
        <w:t xml:space="preserve">3.3 FastAPI Structure</w:t>
      </w:r>
    </w:p>
    <w:p>
      <w:pPr>
        <w:pBdr>
          <w:top w:val="single" w:color="BFBFBF" w:sz="4" w:space="4"/>
          <w:bottom w:val="single" w:color="BFBFBF" w:sz="4" w:space="4"/>
          <w:left w:val="single" w:color="BFBFBF" w:sz="4" w:space="4"/>
          <w:right w:val="single" w:color="BFBFBF" w:sz="4" w:space="4"/>
        </w:pBdr>
        <w:shd w:fill="F5F5F5" w:color="auto" w:val="clear"/>
        <w:spacing w:after="200"/>
      </w:pPr>
      <w:r>
        <w:rPr>
          <w:rFonts w:ascii="Consolas" w:cs="Consolas" w:eastAsia="Consolas" w:hAnsi="Consolas"/>
          <w:sz w:val="18"/>
          <w:szCs w:val="18"/>
        </w:rPr>
        <w:t xml:space="preserve">/app</w:t>
      </w:r>
      <w:r>
        <w:rPr>
          <w:rFonts w:ascii="Consolas" w:cs="Consolas" w:eastAsia="Consolas" w:hAnsi="Consolas"/>
          <w:sz w:val="18"/>
          <w:szCs w:val="18"/>
        </w:rPr>
        <w:br/>
        <w:t xml:space="preserve">  /api/v1/routes_auth.py</w:t>
      </w:r>
      <w:r>
        <w:rPr>
          <w:rFonts w:ascii="Consolas" w:cs="Consolas" w:eastAsia="Consolas" w:hAnsi="Consolas"/>
          <w:sz w:val="18"/>
          <w:szCs w:val="18"/>
        </w:rPr>
        <w:br/>
        <w:t xml:space="preserve">  /api/v1/routes_applications.py</w:t>
      </w:r>
      <w:r>
        <w:rPr>
          <w:rFonts w:ascii="Consolas" w:cs="Consolas" w:eastAsia="Consolas" w:hAnsi="Consolas"/>
          <w:sz w:val="18"/>
          <w:szCs w:val="18"/>
        </w:rPr>
        <w:br/>
        <w:t xml:space="preserve">  /api/v1/routes_predictions.py</w:t>
      </w:r>
      <w:r>
        <w:rPr>
          <w:rFonts w:ascii="Consolas" w:cs="Consolas" w:eastAsia="Consolas" w:hAnsi="Consolas"/>
          <w:sz w:val="18"/>
          <w:szCs w:val="18"/>
        </w:rPr>
        <w:br/>
        <w:t xml:space="preserve">  /api/v1/routes_feedback.py        # captures officer decisions</w:t>
      </w:r>
      <w:r>
        <w:rPr>
          <w:rFonts w:ascii="Consolas" w:cs="Consolas" w:eastAsia="Consolas" w:hAnsi="Consolas"/>
          <w:sz w:val="18"/>
          <w:szCs w:val="18"/>
        </w:rPr>
        <w:br/>
        <w:t xml:space="preserve">  /api/v1/routes_monitoring.py       # drift status, retraining triggers</w:t>
      </w:r>
      <w:r>
        <w:rPr>
          <w:rFonts w:ascii="Consolas" w:cs="Consolas" w:eastAsia="Consolas" w:hAnsi="Consolas"/>
          <w:sz w:val="18"/>
          <w:szCs w:val="18"/>
        </w:rPr>
        <w:br/>
        <w:t xml:space="preserve">  /core/security.py</w:t>
      </w:r>
      <w:r>
        <w:rPr>
          <w:rFonts w:ascii="Consolas" w:cs="Consolas" w:eastAsia="Consolas" w:hAnsi="Consolas"/>
          <w:sz w:val="18"/>
          <w:szCs w:val="18"/>
        </w:rPr>
        <w:br/>
        <w:t xml:space="preserve">  /core/config.py</w:t>
      </w:r>
      <w:r>
        <w:rPr>
          <w:rFonts w:ascii="Consolas" w:cs="Consolas" w:eastAsia="Consolas" w:hAnsi="Consolas"/>
          <w:sz w:val="18"/>
          <w:szCs w:val="18"/>
        </w:rPr>
        <w:br/>
        <w:t xml:space="preserve">  /models/schemas.py</w:t>
      </w:r>
      <w:r>
        <w:rPr>
          <w:rFonts w:ascii="Consolas" w:cs="Consolas" w:eastAsia="Consolas" w:hAnsi="Consolas"/>
          <w:sz w:val="18"/>
          <w:szCs w:val="18"/>
        </w:rPr>
        <w:br/>
        <w:t xml:space="preserve">  /models/db_models.py</w:t>
      </w:r>
      <w:r>
        <w:rPr>
          <w:rFonts w:ascii="Consolas" w:cs="Consolas" w:eastAsia="Consolas" w:hAnsi="Consolas"/>
          <w:sz w:val="18"/>
          <w:szCs w:val="18"/>
        </w:rPr>
        <w:br/>
        <w:t xml:space="preserve">  /services/inference_service.py</w:t>
      </w:r>
      <w:r>
        <w:rPr>
          <w:rFonts w:ascii="Consolas" w:cs="Consolas" w:eastAsia="Consolas" w:hAnsi="Consolas"/>
          <w:sz w:val="18"/>
          <w:szCs w:val="18"/>
        </w:rPr>
        <w:br/>
        <w:t xml:space="preserve">  /services/shap_service.py</w:t>
      </w:r>
      <w:r>
        <w:rPr>
          <w:rFonts w:ascii="Consolas" w:cs="Consolas" w:eastAsia="Consolas" w:hAnsi="Consolas"/>
          <w:sz w:val="18"/>
          <w:szCs w:val="18"/>
        </w:rPr>
        <w:br/>
        <w:t xml:space="preserve">  /services/explanation_service.py</w:t>
      </w:r>
      <w:r>
        <w:rPr>
          <w:rFonts w:ascii="Consolas" w:cs="Consolas" w:eastAsia="Consolas" w:hAnsi="Consolas"/>
          <w:sz w:val="18"/>
          <w:szCs w:val="18"/>
        </w:rPr>
        <w:br/>
        <w:t xml:space="preserve">  /services/drift_service.py         # KS-test + ADWIN monitor</w:t>
      </w:r>
      <w:r>
        <w:rPr>
          <w:rFonts w:ascii="Consolas" w:cs="Consolas" w:eastAsia="Consolas" w:hAnsi="Consolas"/>
          <w:sz w:val="18"/>
          <w:szCs w:val="18"/>
        </w:rPr>
        <w:br/>
        <w:t xml:space="preserve">  /ml/model.py</w:t>
      </w:r>
      <w:r>
        <w:rPr>
          <w:rFonts w:ascii="Consolas" w:cs="Consolas" w:eastAsia="Consolas" w:hAnsi="Consolas"/>
          <w:sz w:val="18"/>
          <w:szCs w:val="18"/>
        </w:rPr>
        <w:br/>
        <w:t xml:space="preserve">  /ml/transform_features.py          # shared with training pipeline</w:t>
      </w:r>
      <w:r>
        <w:rPr>
          <w:rFonts w:ascii="Consolas" w:cs="Consolas" w:eastAsia="Consolas" w:hAnsi="Consolas"/>
          <w:sz w:val="18"/>
          <w:szCs w:val="18"/>
        </w:rPr>
        <w:br/>
        <w:t xml:space="preserve">  /db/session.py</w:t>
      </w:r>
      <w:r>
        <w:rPr>
          <w:rFonts w:ascii="Consolas" w:cs="Consolas" w:eastAsia="Consolas" w:hAnsi="Consolas"/>
          <w:sz w:val="18"/>
          <w:szCs w:val="18"/>
        </w:rPr>
        <w:br/>
        <w:t xml:space="preserve">  /db/migrations/</w:t>
      </w:r>
      <w:r>
        <w:rPr>
          <w:rFonts w:ascii="Consolas" w:cs="Consolas" w:eastAsia="Consolas" w:hAnsi="Consolas"/>
          <w:sz w:val="18"/>
          <w:szCs w:val="18"/>
        </w:rPr>
        <w:br/>
        <w:t xml:space="preserve">main.py</w:t>
      </w:r>
    </w:p>
    <w:p>
      <w:pPr>
        <w:pStyle w:val="ListParagraph"/>
        <w:numPr>
          <w:ilvl w:val="0"/>
          <w:numId w:val="2"/>
        </w:numPr>
        <w:spacing w:after="90" w:line="290"/>
      </w:pPr>
      <w:r>
        <w:rPr>
          <w:sz w:val="21"/>
          <w:szCs w:val="21"/>
        </w:rPr>
        <w:t xml:space="preserve">OpenAPI documentation auto-generated via FastAPI's built-in Swagger UI</w:t>
      </w:r>
    </w:p>
    <w:p>
      <w:pPr>
        <w:pStyle w:val="ListParagraph"/>
        <w:numPr>
          <w:ilvl w:val="0"/>
          <w:numId w:val="2"/>
        </w:numPr>
        <w:spacing w:after="90" w:line="290"/>
      </w:pPr>
      <w:r>
        <w:rPr>
          <w:sz w:val="21"/>
          <w:szCs w:val="21"/>
        </w:rPr>
        <w:t xml:space="preserve">Authentication: JWT, with roles for loan_officer / risk_analyst / admin</w:t>
      </w:r>
    </w:p>
    <w:p>
      <w:pPr>
        <w:pStyle w:val="ListParagraph"/>
        <w:numPr>
          <w:ilvl w:val="0"/>
          <w:numId w:val="2"/>
        </w:numPr>
        <w:spacing w:after="90" w:line="290"/>
      </w:pPr>
      <w:r>
        <w:rPr>
          <w:sz w:val="21"/>
          <w:szCs w:val="21"/>
        </w:rPr>
        <w:t xml:space="preserve">The feedback endpoint is the most important addition — every officer decision (approve / decline / escalate, plus agreement or override relative to the model's flag), logged with a timestamp and the drift-detector state at that moment, becomes the evaluation dataset for the publication; build it from the start rather than adding it later</w:t>
      </w:r>
    </w:p>
    <w:p>
      <w:pPr>
        <w:pStyle w:val="ListParagraph"/>
        <w:numPr>
          <w:ilvl w:val="0"/>
          <w:numId w:val="2"/>
        </w:numPr>
        <w:spacing w:after="90" w:line="290"/>
      </w:pPr>
      <w:r>
        <w:rPr>
          <w:sz w:val="21"/>
          <w:szCs w:val="21"/>
        </w:rPr>
        <w:t xml:space="preserve">Testing: pytest, prioritizing coverage on inference_service, shap_service, and drift_service — the novel logic — over boilerplate CRUD coverage</w:t>
      </w:r>
    </w:p>
    <w:p>
      <w:pPr>
        <w:pStyle w:val="ListParagraph"/>
        <w:numPr>
          <w:ilvl w:val="0"/>
          <w:numId w:val="2"/>
        </w:numPr>
        <w:spacing w:after="90" w:line="290"/>
      </w:pPr>
      <w:r>
        <w:rPr>
          <w:sz w:val="21"/>
          <w:szCs w:val="21"/>
        </w:rPr>
        <w:t xml:space="preserve">Docker Compose stack: FastAPI + PostgreSQL + Redis, with an async inference queue (Celery or RQ) so batch scoring and drift recomputation do not block the request path</w:t>
      </w:r>
    </w:p>
    <w:p>
      <w:pPr>
        <w:pStyle w:val="Heading1"/>
        <w:spacing w:after="160" w:before="360"/>
      </w:pPr>
      <w:r>
        <w:rPr>
          <w:b/>
          <w:bCs/>
          <w:color w:val="1F3864"/>
          <w:sz w:val="30"/>
          <w:szCs w:val="30"/>
        </w:rPr>
        <w:t xml:space="preserve">4. Sprint 3 — Frontend, Deployment, Testing &amp; Monitoring</w:t>
      </w:r>
    </w:p>
    <w:p>
      <w:pPr>
        <w:spacing w:after="140" w:line="300"/>
      </w:pPr>
      <w:r>
        <w:rPr>
          <w:i/>
          <w:iCs/>
          <w:color w:val="555555"/>
          <w:sz w:val="21"/>
          <w:szCs w:val="21"/>
        </w:rPr>
        <w:t xml:space="preserve">Duration: 3 weeks. Focus: the officer-facing interface, the A/B evaluation mechanism, production hardening, and the live monitoring dashboard that operationalizes the drift detector built in Sprint 2.</w:t>
      </w:r>
    </w:p>
    <w:p>
      <w:pPr>
        <w:pStyle w:val="Heading2"/>
        <w:spacing w:after="120" w:before="260"/>
      </w:pPr>
      <w:r>
        <w:rPr>
          <w:b/>
          <w:bCs/>
          <w:color w:val="1F3864"/>
          <w:sz w:val="25"/>
          <w:szCs w:val="25"/>
        </w:rPr>
        <w:t xml:space="preserve">4.1 Frontend Structure</w:t>
      </w:r>
    </w:p>
    <w:p>
      <w:pPr>
        <w:pBdr>
          <w:top w:val="single" w:color="BFBFBF" w:sz="4" w:space="4"/>
          <w:bottom w:val="single" w:color="BFBFBF" w:sz="4" w:space="4"/>
          <w:left w:val="single" w:color="BFBFBF" w:sz="4" w:space="4"/>
          <w:right w:val="single" w:color="BFBFBF" w:sz="4" w:space="4"/>
        </w:pBdr>
        <w:shd w:fill="F5F5F5" w:color="auto" w:val="clear"/>
        <w:spacing w:after="200"/>
      </w:pPr>
      <w:r>
        <w:rPr>
          <w:rFonts w:ascii="Consolas" w:cs="Consolas" w:eastAsia="Consolas" w:hAnsi="Consolas"/>
          <w:sz w:val="18"/>
          <w:szCs w:val="18"/>
        </w:rPr>
        <w:t xml:space="preserve">/src/features/upload/ApplicationUploadForm.tsx</w:t>
      </w:r>
      <w:r>
        <w:rPr>
          <w:rFonts w:ascii="Consolas" w:cs="Consolas" w:eastAsia="Consolas" w:hAnsi="Consolas"/>
          <w:sz w:val="18"/>
          <w:szCs w:val="18"/>
        </w:rPr>
        <w:br/>
        <w:t xml:space="preserve">/src/features/upload/DataQualityCheck.tsx</w:t>
      </w:r>
      <w:r>
        <w:rPr>
          <w:rFonts w:ascii="Consolas" w:cs="Consolas" w:eastAsia="Consolas" w:hAnsi="Consolas"/>
          <w:sz w:val="18"/>
          <w:szCs w:val="18"/>
        </w:rPr>
        <w:br/>
        <w:t xml:space="preserve">/src/features/review/RiskScoreCard.tsx</w:t>
      </w:r>
      <w:r>
        <w:rPr>
          <w:rFonts w:ascii="Consolas" w:cs="Consolas" w:eastAsia="Consolas" w:hAnsi="Consolas"/>
          <w:sz w:val="18"/>
          <w:szCs w:val="18"/>
        </w:rPr>
        <w:br/>
        <w:t xml:space="preserve">/src/features/review/ExplanationPanel.tsx     # SHAP bar chart + narrative text</w:t>
      </w:r>
      <w:r>
        <w:rPr>
          <w:rFonts w:ascii="Consolas" w:cs="Consolas" w:eastAsia="Consolas" w:hAnsi="Consolas"/>
          <w:sz w:val="18"/>
          <w:szCs w:val="18"/>
        </w:rPr>
        <w:br/>
        <w:t xml:space="preserve">/src/features/review/DecisionActionBar.tsx    # writes to feedback endpoint</w:t>
      </w:r>
      <w:r>
        <w:rPr>
          <w:rFonts w:ascii="Consolas" w:cs="Consolas" w:eastAsia="Consolas" w:hAnsi="Consolas"/>
          <w:sz w:val="18"/>
          <w:szCs w:val="18"/>
        </w:rPr>
        <w:br/>
        <w:t xml:space="preserve">/src/features/study/ABToggle.tsx              # explanation-shown vs score-only</w:t>
      </w:r>
      <w:r>
        <w:rPr>
          <w:rFonts w:ascii="Consolas" w:cs="Consolas" w:eastAsia="Consolas" w:hAnsi="Consolas"/>
          <w:sz w:val="18"/>
          <w:szCs w:val="18"/>
        </w:rPr>
        <w:br/>
        <w:t xml:space="preserve">/src/features/monitoring/DriftDashboard.tsx   # feature-level KS trends, ADWIN alerts</w:t>
      </w:r>
      <w:r>
        <w:rPr>
          <w:rFonts w:ascii="Consolas" w:cs="Consolas" w:eastAsia="Consolas" w:hAnsi="Consolas"/>
          <w:sz w:val="18"/>
          <w:szCs w:val="18"/>
        </w:rPr>
        <w:br/>
        <w:t xml:space="preserve">/src/features/monitoring/RetrainTriggerPanel.tsx</w:t>
      </w:r>
      <w:r>
        <w:rPr>
          <w:rFonts w:ascii="Consolas" w:cs="Consolas" w:eastAsia="Consolas" w:hAnsi="Consolas"/>
          <w:sz w:val="18"/>
          <w:szCs w:val="18"/>
        </w:rPr>
        <w:br/>
        <w:t xml:space="preserve">/src/api/client.ts</w:t>
      </w:r>
      <w:r>
        <w:rPr>
          <w:rFonts w:ascii="Consolas" w:cs="Consolas" w:eastAsia="Consolas" w:hAnsi="Consolas"/>
          <w:sz w:val="18"/>
          <w:szCs w:val="18"/>
        </w:rPr>
        <w:br/>
        <w:t xml:space="preserve">/src/context/AuthContext.tsx</w:t>
      </w:r>
    </w:p>
    <w:p>
      <w:pPr>
        <w:pStyle w:val="ListParagraph"/>
        <w:numPr>
          <w:ilvl w:val="0"/>
          <w:numId w:val="2"/>
        </w:numPr>
        <w:spacing w:after="90" w:line="290"/>
      </w:pPr>
      <w:r>
        <w:rPr>
          <w:sz w:val="21"/>
          <w:szCs w:val="21"/>
        </w:rPr>
        <w:t xml:space="preserve">Build the A/B toggle deliberately: half of test officers see the risk score plus SHAP explanation, half see score only — this single feature is what turns a demo into a publishable evaluation, mirroring the explanation-shown vs. score-only design used successfully in comparable clinical-AI human-factors studies</w:t>
      </w:r>
    </w:p>
    <w:p>
      <w:pPr>
        <w:pStyle w:val="ListParagraph"/>
        <w:numPr>
          <w:ilvl w:val="0"/>
          <w:numId w:val="2"/>
        </w:numPr>
        <w:spacing w:after="90" w:line="290"/>
      </w:pPr>
      <w:r>
        <w:rPr>
          <w:sz w:val="21"/>
          <w:szCs w:val="21"/>
        </w:rPr>
        <w:t xml:space="preserve">SHAP visualization implemented as a horizontal bar chart (top-5 contributing features, signed by direction of risk contribution) plus the templated narrative sentence beneath it</w:t>
      </w:r>
    </w:p>
    <w:p>
      <w:pPr>
        <w:pStyle w:val="ListParagraph"/>
        <w:numPr>
          <w:ilvl w:val="0"/>
          <w:numId w:val="2"/>
        </w:numPr>
        <w:spacing w:after="90" w:line="290"/>
      </w:pPr>
      <w:r>
        <w:rPr>
          <w:sz w:val="21"/>
          <w:szCs w:val="21"/>
        </w:rPr>
        <w:t xml:space="preserve">Drift dashboard renders per-feature KS-statistic trend lines over time windows and a status indicator (stable / watch / drift-detected) driven by the ADWIN service — this is the panel most directly tied to the paper's second research question</w:t>
      </w:r>
    </w:p>
    <w:p>
      <w:pPr>
        <w:pStyle w:val="ListParagraph"/>
        <w:numPr>
          <w:ilvl w:val="0"/>
          <w:numId w:val="2"/>
        </w:numPr>
        <w:spacing w:after="90" w:line="290"/>
      </w:pPr>
      <w:r>
        <w:rPr>
          <w:sz w:val="21"/>
          <w:szCs w:val="21"/>
        </w:rPr>
        <w:t xml:space="preserve">Loading and error states for asynchronous scoring, since inference and SHAP computation are queued</w:t>
      </w:r>
    </w:p>
    <w:p>
      <w:pPr>
        <w:pStyle w:val="ListParagraph"/>
        <w:numPr>
          <w:ilvl w:val="0"/>
          <w:numId w:val="2"/>
        </w:numPr>
        <w:spacing w:after="90" w:line="290"/>
      </w:pPr>
      <w:r>
        <w:rPr>
          <w:sz w:val="21"/>
          <w:szCs w:val="21"/>
        </w:rPr>
        <w:t xml:space="preserve">Accessibility pass on the explanation panel's color contrast (risk-increasing vs. risk-decreasing bars) — relevant to real usability and worth noting in the paper's methods section</w:t>
      </w:r>
    </w:p>
    <w:p>
      <w:pPr>
        <w:pStyle w:val="Heading2"/>
        <w:spacing w:after="120" w:before="260"/>
      </w:pPr>
      <w:r>
        <w:rPr>
          <w:b/>
          <w:bCs/>
          <w:color w:val="1F3864"/>
          <w:sz w:val="25"/>
          <w:szCs w:val="25"/>
        </w:rPr>
        <w:t xml:space="preserve">4.2 Deployment &amp; Testing</w:t>
      </w:r>
    </w:p>
    <w:p>
      <w:pPr>
        <w:pStyle w:val="ListParagraph"/>
        <w:numPr>
          <w:ilvl w:val="0"/>
          <w:numId w:val="2"/>
        </w:numPr>
        <w:spacing w:after="90" w:line="290"/>
      </w:pPr>
      <w:r>
        <w:rPr>
          <w:sz w:val="21"/>
          <w:szCs w:val="21"/>
        </w:rPr>
        <w:t xml:space="preserve">Containerized deployment: single VM or small Docker Compose stack (FastAPI, PostgreSQL, Redis, Nginx reverse proxy with TLS) — sufficient for one institution's pilot; avoid multi-region or Kubernetes complexity</w:t>
      </w:r>
    </w:p>
    <w:p>
      <w:pPr>
        <w:pStyle w:val="ListParagraph"/>
        <w:numPr>
          <w:ilvl w:val="0"/>
          <w:numId w:val="2"/>
        </w:numPr>
        <w:spacing w:after="90" w:line="290"/>
      </w:pPr>
      <w:r>
        <w:rPr>
          <w:sz w:val="21"/>
          <w:szCs w:val="21"/>
        </w:rPr>
        <w:t xml:space="preserve">CI pipeline (GitHub Actions, free tier): lint + pytest + a smoke test that retrains a tiny model on a data sample and confirms the SHAP explainer loads against it, catching train/serve schema drift before deployment</w:t>
      </w:r>
    </w:p>
    <w:p>
      <w:pPr>
        <w:pStyle w:val="ListParagraph"/>
        <w:numPr>
          <w:ilvl w:val="0"/>
          <w:numId w:val="2"/>
        </w:numPr>
        <w:spacing w:after="90" w:line="290"/>
      </w:pPr>
      <w:r>
        <w:rPr>
          <w:sz w:val="21"/>
          <w:szCs w:val="21"/>
        </w:rPr>
        <w:t xml:space="preserve">Load / latency testing on the inference endpoint (Locust, free) to confirm the async queue design holds up under a simulated batch of applications</w:t>
      </w:r>
    </w:p>
    <w:p>
      <w:pPr>
        <w:pStyle w:val="ListParagraph"/>
        <w:numPr>
          <w:ilvl w:val="0"/>
          <w:numId w:val="2"/>
        </w:numPr>
        <w:spacing w:after="90" w:line="290"/>
      </w:pPr>
      <w:r>
        <w:rPr>
          <w:sz w:val="21"/>
          <w:szCs w:val="21"/>
        </w:rPr>
        <w:t xml:space="preserve">Retraining trigger logic: when ADWIN or the KS-test panel flags sustained drift across a rolling window, the monitoring service opens a retraining ticket (logged, not automatic) that reruns the Sprint 2 training pipeline on the most recent time window and reports before/after validation metrics — kept human-gated rather than auto-deploying, consistent with the project's human-in-the-loop positioning</w:t>
      </w:r>
    </w:p>
    <w:p>
      <w:pPr>
        <w:pStyle w:val="Heading2"/>
        <w:spacing w:after="120" w:before="260"/>
      </w:pPr>
      <w:r>
        <w:rPr>
          <w:b/>
          <w:bCs/>
          <w:color w:val="1F3864"/>
          <w:sz w:val="25"/>
          <w:szCs w:val="25"/>
        </w:rPr>
        <w:t xml:space="preserve">4.3 Data, Database, and Deployment Considerations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color="auto" w:val="clear"/>
            <w:tcMar>
              <w:top w:type="dxa" w:w="100"/>
              <w:left w:type="dxa" w:w="120"/>
              <w:bottom w:type="dxa" w:w="100"/>
              <w:right w:type="dxa" w:w="120"/>
            </w:tcMar>
            <w:vAlign w:val="center"/>
          </w:tcPr>
          <w:p>
            <w:pPr>
              <w:jc w:val="left"/>
            </w:pPr>
            <w:r>
              <w:rPr>
                <w:b/>
                <w:bCs/>
                <w:color w:val="FFFFFF"/>
                <w:sz w:val="20"/>
                <w:szCs w:val="20"/>
              </w:rPr>
              <w:t xml:space="preserve">Area</w:t>
            </w:r>
          </w:p>
        </w:tc>
        <w:tc>
          <w:tcPr>
            <w:tcW w:type="dxa" w:w="6750"/>
            <w:shd w:fill="1F3864" w:color="auto" w:val="clear"/>
            <w:tcMar>
              <w:top w:type="dxa" w:w="100"/>
              <w:left w:type="dxa" w:w="120"/>
              <w:bottom w:type="dxa" w:w="100"/>
              <w:right w:type="dxa" w:w="120"/>
            </w:tcMar>
            <w:vAlign w:val="center"/>
          </w:tcPr>
          <w:p>
            <w:pPr>
              <w:jc w:val="left"/>
            </w:pPr>
            <w:r>
              <w:rPr>
                <w:b/>
                <w:bCs/>
                <w:color w:val="FFFFFF"/>
                <w:sz w:val="20"/>
                <w:szCs w:val="20"/>
              </w:rPr>
              <w:t xml:space="preserve">Recommendation</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Database</w:t>
            </w:r>
          </w:p>
        </w:tc>
        <w:tc>
          <w:tcPr>
            <w:tcW w:type="dxa" w:w="6750"/>
            <w:tcMar>
              <w:top w:type="dxa" w:w="100"/>
              <w:left w:type="dxa" w:w="120"/>
              <w:bottom w:type="dxa" w:w="100"/>
              <w:right w:type="dxa" w:w="120"/>
            </w:tcMar>
            <w:vAlign w:val="center"/>
          </w:tcPr>
          <w:p>
            <w:pPr>
              <w:jc w:val="left"/>
            </w:pPr>
            <w:r>
              <w:rPr>
                <w:b w:val="false"/>
                <w:bCs w:val="false"/>
                <w:color w:val="000000"/>
                <w:sz w:val="20"/>
                <w:szCs w:val="20"/>
              </w:rPr>
              <w:t xml:space="preserve">PostgreSQL — relational structure fits applicant / application / prediction / decision-audit-trail relationships and supports foreign-key constraints for feedback tracking. Large artifacts (SHAP plots, model binaries) are stored in object storage (e.g. MinIO), not in the database.</w:t>
            </w:r>
          </w:p>
        </w:tc>
      </w:tr>
      <w:tr>
        <w:tc>
          <w:tcPr>
            <w:tcW w:type="dxa" w:w="26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Authentication</w:t>
            </w:r>
          </w:p>
        </w:tc>
        <w:tc>
          <w:tcPr>
            <w:tcW w:type="dxa" w:w="675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JWT with short-lived access tokens and refresh tokens; role-based access (loan_officer, risk_analyst, admin). Single-tenant, so no multi-org isolation is needed — focus on per-user roles and an audit log of every view or decision on applicant data.</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Deployment architecture</w:t>
            </w:r>
          </w:p>
        </w:tc>
        <w:tc>
          <w:tcPr>
            <w:tcW w:type="dxa" w:w="6750"/>
            <w:tcMar>
              <w:top w:type="dxa" w:w="100"/>
              <w:left w:type="dxa" w:w="120"/>
              <w:bottom w:type="dxa" w:w="100"/>
              <w:right w:type="dxa" w:w="120"/>
            </w:tcMar>
            <w:vAlign w:val="center"/>
          </w:tcPr>
          <w:p>
            <w:pPr>
              <w:jc w:val="left"/>
            </w:pPr>
            <w:r>
              <w:rPr>
                <w:b w:val="false"/>
                <w:bCs w:val="false"/>
                <w:color w:val="000000"/>
                <w:sz w:val="20"/>
                <w:szCs w:val="20"/>
              </w:rPr>
              <w:t xml:space="preserve">A single VM or small Docker Compose stack (FastAPI, PostgreSQL, Redis, Nginx reverse proxy with TLS) is sufficient for one institution. Avoid multi-region or Kubernetes complexity for a single-tenant deployment.</w:t>
            </w:r>
          </w:p>
        </w:tc>
      </w:tr>
      <w:tr>
        <w:tc>
          <w:tcPr>
            <w:tcW w:type="dxa" w:w="26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Data handling for credibility</w:t>
            </w:r>
          </w:p>
        </w:tc>
        <w:tc>
          <w:tcPr>
            <w:tcW w:type="dxa" w:w="675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Mask applicant identifiers; encrypt data at rest; maintain the audit log; use public datasets and synthetic identifiers throughout development and evaluation to avoid handling real PII or regulated credit-bureau data without a data-use agreement.</w:t>
            </w:r>
          </w:p>
        </w:tc>
      </w:tr>
    </w:tbl>
    <w:p>
      <w:pPr>
        <w:spacing w:after="160"/>
      </w:pPr>
      <w:r>
        <w:t xml:space="preserve"/>
      </w:r>
    </w:p>
    <w:p>
      <w:pPr>
        <w:pStyle w:val="Heading1"/>
        <w:spacing w:after="160" w:before="360"/>
      </w:pPr>
      <w:r>
        <w:rPr>
          <w:b/>
          <w:bCs/>
          <w:color w:val="1F3864"/>
          <w:sz w:val="30"/>
          <w:szCs w:val="30"/>
        </w:rPr>
        <w:t xml:space="preserve">5. Publication Readiness</w:t>
      </w:r>
    </w:p>
    <w:p>
      <w:pPr>
        <w:pStyle w:val="Heading2"/>
        <w:spacing w:after="120" w:before="260"/>
      </w:pPr>
      <w:r>
        <w:rPr>
          <w:b/>
          <w:bCs/>
          <w:color w:val="1F3864"/>
          <w:sz w:val="25"/>
          <w:szCs w:val="25"/>
        </w:rPr>
        <w:t xml:space="preserve">5.1 Study Design</w:t>
      </w:r>
    </w:p>
    <w:p>
      <w:pPr>
        <w:pStyle w:val="ListParagraph"/>
        <w:numPr>
          <w:ilvl w:val="0"/>
          <w:numId w:val="2"/>
        </w:numPr>
        <w:spacing w:after="90" w:line="290"/>
      </w:pPr>
      <w:r>
        <w:rPr>
          <w:sz w:val="21"/>
          <w:szCs w:val="21"/>
        </w:rPr>
        <w:t xml:space="preserve">Recruit a small review panel (for example 5–8 people — finance/MBA students, credit-analysis trainees, or practicing loan officers if accessible)</w:t>
      </w:r>
    </w:p>
    <w:p>
      <w:pPr>
        <w:pStyle w:val="ListParagraph"/>
        <w:numPr>
          <w:ilvl w:val="0"/>
          <w:numId w:val="2"/>
        </w:numPr>
        <w:spacing w:after="90" w:line="290"/>
      </w:pPr>
      <w:r>
        <w:rPr>
          <w:sz w:val="21"/>
          <w:szCs w:val="21"/>
        </w:rPr>
        <w:t xml:space="preserve">Split the panel into explanation-shown vs. score-only groups, or use a within-subject counterbalanced design</w:t>
      </w:r>
    </w:p>
    <w:p>
      <w:pPr>
        <w:pStyle w:val="ListParagraph"/>
        <w:numPr>
          <w:ilvl w:val="0"/>
          <w:numId w:val="2"/>
        </w:numPr>
        <w:spacing w:after="90" w:line="290"/>
      </w:pPr>
      <w:r>
        <w:rPr>
          <w:sz w:val="21"/>
          <w:szCs w:val="21"/>
        </w:rPr>
        <w:t xml:space="preserve">Measure: agreement with the resolved ground-truth outcome, decision appropriateness under a simulated drift event, confidence calibration, and time-to-decision</w:t>
      </w:r>
    </w:p>
    <w:p>
      <w:pPr>
        <w:pStyle w:val="ListParagraph"/>
        <w:numPr>
          <w:ilvl w:val="0"/>
          <w:numId w:val="2"/>
        </w:numPr>
        <w:spacing w:after="90" w:line="290"/>
      </w:pPr>
      <w:r>
        <w:rPr>
          <w:sz w:val="21"/>
          <w:szCs w:val="21"/>
        </w:rPr>
        <w:t xml:space="preserve">Report classification metrics (AUC, KS-statistic, precision-recall at the institution's typical approval threshold) as a baseline, then shift the paper's emphasis to the drift-detection lead-time and human-factors results</w:t>
      </w:r>
    </w:p>
    <w:p>
      <w:pPr>
        <w:pStyle w:val="Heading2"/>
        <w:spacing w:after="120" w:before="260"/>
      </w:pPr>
      <w:r>
        <w:rPr>
          <w:b/>
          <w:bCs/>
          <w:color w:val="1F3864"/>
          <w:sz w:val="25"/>
          <w:szCs w:val="25"/>
        </w:rPr>
        <w:t xml:space="preserve">5.2 Literature Check</w:t>
      </w:r>
    </w:p>
    <w:p>
      <w:pPr>
        <w:pStyle w:val="ListParagraph"/>
        <w:numPr>
          <w:ilvl w:val="0"/>
          <w:numId w:val="2"/>
        </w:numPr>
        <w:spacing w:after="90" w:line="290"/>
      </w:pPr>
      <w:r>
        <w:rPr>
          <w:sz w:val="21"/>
          <w:szCs w:val="21"/>
        </w:rPr>
        <w:t xml:space="preserve">Search Papers With Code, SSRN, and Google Scholar for "concept drift credit scoring explainable" and "loan officer SHAP decision support user study" to confirm this combined angle is not already published in the same form</w:t>
      </w:r>
    </w:p>
    <w:p>
      <w:pPr>
        <w:pStyle w:val="ListParagraph"/>
        <w:numPr>
          <w:ilvl w:val="0"/>
          <w:numId w:val="2"/>
        </w:numPr>
        <w:spacing w:after="90" w:line="290"/>
      </w:pPr>
      <w:r>
        <w:rPr>
          <w:sz w:val="21"/>
          <w:szCs w:val="21"/>
        </w:rPr>
        <w:t xml:space="preserve">If close prior work exists, narrow further — for example, a low-resource or community-lender population, or a specific drift trigger type (rate shock vs. macro shock), which is less studied than large-bank retrospective drift analyses</w:t>
      </w:r>
    </w:p>
    <w:p>
      <w:pPr>
        <w:pStyle w:val="Heading2"/>
        <w:spacing w:after="120" w:before="260"/>
      </w:pPr>
      <w:r>
        <w:rPr>
          <w:b/>
          <w:bCs/>
          <w:color w:val="1F3864"/>
          <w:sz w:val="25"/>
          <w:szCs w:val="25"/>
        </w:rPr>
        <w:t xml:space="preserve">5.3 Target Venues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5800"/>
      </w:tblGrid>
      <w:tr>
        <w:trPr>
          <w:tblHeader/>
        </w:trPr>
        <w:tc>
          <w:tcPr>
            <w:tcW w:type="dxa" w:w="3550"/>
            <w:shd w:fill="1F3864" w:color="auto" w:val="clear"/>
            <w:tcMar>
              <w:top w:type="dxa" w:w="100"/>
              <w:left w:type="dxa" w:w="120"/>
              <w:bottom w:type="dxa" w:w="100"/>
              <w:right w:type="dxa" w:w="120"/>
            </w:tcMar>
            <w:vAlign w:val="center"/>
          </w:tcPr>
          <w:p>
            <w:pPr>
              <w:jc w:val="left"/>
            </w:pPr>
            <w:r>
              <w:rPr>
                <w:b/>
                <w:bCs/>
                <w:color w:val="FFFFFF"/>
                <w:sz w:val="20"/>
                <w:szCs w:val="20"/>
              </w:rPr>
              <w:t xml:space="preserve">Venue</w:t>
            </w:r>
          </w:p>
        </w:tc>
        <w:tc>
          <w:tcPr>
            <w:tcW w:type="dxa" w:w="5800"/>
            <w:shd w:fill="1F3864" w:color="auto" w:val="clear"/>
            <w:tcMar>
              <w:top w:type="dxa" w:w="100"/>
              <w:left w:type="dxa" w:w="120"/>
              <w:bottom w:type="dxa" w:w="100"/>
              <w:right w:type="dxa" w:w="120"/>
            </w:tcMar>
            <w:vAlign w:val="center"/>
          </w:tcPr>
          <w:p>
            <w:pPr>
              <w:jc w:val="left"/>
            </w:pPr>
            <w:r>
              <w:rPr>
                <w:b/>
                <w:bCs/>
                <w:color w:val="FFFFFF"/>
                <w:sz w:val="20"/>
                <w:szCs w:val="20"/>
              </w:rPr>
              <w:t xml:space="preserve">Fit</w:t>
            </w:r>
          </w:p>
        </w:tc>
      </w:tr>
      <w:tr>
        <w:tc>
          <w:tcPr>
            <w:tcW w:type="dxa" w:w="3550"/>
            <w:tcMar>
              <w:top w:type="dxa" w:w="100"/>
              <w:left w:type="dxa" w:w="120"/>
              <w:bottom w:type="dxa" w:w="100"/>
              <w:right w:type="dxa" w:w="120"/>
            </w:tcMar>
            <w:vAlign w:val="center"/>
          </w:tcPr>
          <w:p>
            <w:pPr>
              <w:jc w:val="left"/>
            </w:pPr>
            <w:r>
              <w:rPr>
                <w:b w:val="false"/>
                <w:bCs w:val="false"/>
                <w:color w:val="000000"/>
                <w:sz w:val="20"/>
                <w:szCs w:val="20"/>
              </w:rPr>
              <w:t xml:space="preserve">ACM International Conference on AI in Finance (ICAIF)</w:t>
            </w:r>
          </w:p>
        </w:tc>
        <w:tc>
          <w:tcPr>
            <w:tcW w:type="dxa" w:w="5800"/>
            <w:tcMar>
              <w:top w:type="dxa" w:w="100"/>
              <w:left w:type="dxa" w:w="120"/>
              <w:bottom w:type="dxa" w:w="100"/>
              <w:right w:type="dxa" w:w="120"/>
            </w:tcMar>
            <w:vAlign w:val="center"/>
          </w:tcPr>
          <w:p>
            <w:pPr>
              <w:jc w:val="left"/>
            </w:pPr>
            <w:r>
              <w:rPr>
                <w:b w:val="false"/>
                <w:bCs w:val="false"/>
                <w:color w:val="000000"/>
                <w:sz w:val="20"/>
                <w:szCs w:val="20"/>
              </w:rPr>
              <w:t xml:space="preserve">Best overall fit — explicitly welcomes applied systems and evaluation papers combining ML with deployment/human-factors considerations in finance</w:t>
            </w:r>
          </w:p>
        </w:tc>
      </w:tr>
      <w:tr>
        <w:tc>
          <w:tcPr>
            <w:tcW w:type="dxa" w:w="355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IEEE International Conference on Data Science and Advanced Analytics (DSAA), applied-track</w:t>
            </w:r>
          </w:p>
        </w:tc>
        <w:tc>
          <w:tcPr>
            <w:tcW w:type="dxa" w:w="5800"/>
            <w:shd w:fill="F2F5FA" w:color="auto" w:val="clear"/>
            <w:tcMar>
              <w:top w:type="dxa" w:w="100"/>
              <w:left w:type="dxa" w:w="120"/>
              <w:bottom w:type="dxa" w:w="100"/>
              <w:right w:type="dxa" w:w="120"/>
            </w:tcMar>
            <w:vAlign w:val="center"/>
          </w:tcPr>
          <w:p>
            <w:pPr>
              <w:jc w:val="left"/>
            </w:pPr>
            <w:r>
              <w:rPr>
                <w:b w:val="false"/>
                <w:bCs w:val="false"/>
                <w:color w:val="000000"/>
                <w:sz w:val="20"/>
                <w:szCs w:val="20"/>
              </w:rPr>
              <w:t xml:space="preserve">Good if a broader data-science venue is preferred; accepts systems and case-study submissions</w:t>
            </w:r>
          </w:p>
        </w:tc>
      </w:tr>
      <w:tr>
        <w:tc>
          <w:tcPr>
            <w:tcW w:type="dxa" w:w="3550"/>
            <w:tcMar>
              <w:top w:type="dxa" w:w="100"/>
              <w:left w:type="dxa" w:w="120"/>
              <w:bottom w:type="dxa" w:w="100"/>
              <w:right w:type="dxa" w:w="120"/>
            </w:tcMar>
            <w:vAlign w:val="center"/>
          </w:tcPr>
          <w:p>
            <w:pPr>
              <w:jc w:val="left"/>
            </w:pPr>
            <w:r>
              <w:rPr>
                <w:b w:val="false"/>
                <w:bCs w:val="false"/>
                <w:color w:val="000000"/>
                <w:sz w:val="20"/>
                <w:szCs w:val="20"/>
              </w:rPr>
              <w:t xml:space="preserve">FinML / Explainable AI in Finance workshops (co-located with NeurIPS/KDD)</w:t>
            </w:r>
          </w:p>
        </w:tc>
        <w:tc>
          <w:tcPr>
            <w:tcW w:type="dxa" w:w="5800"/>
            <w:tcMar>
              <w:top w:type="dxa" w:w="100"/>
              <w:left w:type="dxa" w:w="120"/>
              <w:bottom w:type="dxa" w:w="100"/>
              <w:right w:type="dxa" w:w="120"/>
            </w:tcMar>
            <w:vAlign w:val="center"/>
          </w:tcPr>
          <w:p>
            <w:pPr>
              <w:jc w:val="left"/>
            </w:pPr>
            <w:r>
              <w:rPr>
                <w:b w:val="false"/>
                <w:bCs w:val="false"/>
                <w:color w:val="000000"/>
                <w:sz w:val="20"/>
                <w:szCs w:val="20"/>
              </w:rPr>
              <w:t xml:space="preserve">Lower barrier to entry than a main track; suitable for early-stage results, subject to an open call for papers</w:t>
            </w:r>
          </w:p>
        </w:tc>
      </w:tr>
    </w:tbl>
    <w:p>
      <w:pPr>
        <w:spacing w:after="160"/>
      </w:pPr>
      <w:r>
        <w:t xml:space="preserve"/>
      </w:r>
    </w:p>
    <w:p>
      <w:pPr>
        <w:pStyle w:val="Heading2"/>
        <w:spacing w:after="120" w:before="260"/>
      </w:pPr>
      <w:r>
        <w:rPr>
          <w:b/>
          <w:bCs/>
          <w:color w:val="1F3864"/>
          <w:sz w:val="25"/>
          <w:szCs w:val="25"/>
        </w:rPr>
        <w:t xml:space="preserve">5.4 Deliverables Checklist</w:t>
      </w:r>
    </w:p>
    <w:p>
      <w:pPr>
        <w:pStyle w:val="ListParagraph"/>
        <w:numPr>
          <w:ilvl w:val="0"/>
          <w:numId w:val="2"/>
        </w:numPr>
        <w:spacing w:after="90" w:line="290"/>
      </w:pPr>
      <w:r>
        <w:rPr>
          <w:sz w:val="21"/>
          <w:szCs w:val="21"/>
        </w:rPr>
        <w:t xml:space="preserve">GitHub repository with README, architecture diagram, and reproducibility instructions</w:t>
      </w:r>
    </w:p>
    <w:p>
      <w:pPr>
        <w:pStyle w:val="ListParagraph"/>
        <w:numPr>
          <w:ilvl w:val="0"/>
          <w:numId w:val="2"/>
        </w:numPr>
        <w:spacing w:after="90" w:line="290"/>
      </w:pPr>
      <w:r>
        <w:rPr>
          <w:sz w:val="21"/>
          <w:szCs w:val="21"/>
        </w:rPr>
        <w:t xml:space="preserve">Demo video (2–3 minutes) showing application upload → risk score → SHAP explanation → officer decision → drift-dashboard alert</w:t>
      </w:r>
    </w:p>
    <w:p>
      <w:pPr>
        <w:pStyle w:val="ListParagraph"/>
        <w:numPr>
          <w:ilvl w:val="0"/>
          <w:numId w:val="2"/>
        </w:numPr>
        <w:spacing w:after="90" w:line="290"/>
      </w:pPr>
      <w:r>
        <w:rPr>
          <w:sz w:val="21"/>
          <w:szCs w:val="21"/>
        </w:rPr>
        <w:t xml:space="preserve">Draft abstract leading with the core claim: the evaluation covers not just model accuracy, but whether the system detects population drift before performance degrades, and whether SHAP explanations measurably change officer decisions during a detected drift event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2026-09-25T07:05:52.496Z</dcterms:created>
  <dcterms:modified xsi:type="dcterms:W3CDTF">2026-09-25T07:05:52.503Z</dcterms:modified>
</cp:coreProperties>
</file>

<file path=docProps/custom.xml><?xml version="1.0" encoding="utf-8"?>
<Properties xmlns="http://schemas.openxmlformats.org/officeDocument/2006/custom-properties" xmlns:vt="http://schemas.openxmlformats.org/officeDocument/2006/docPropsVTypes"/>
</file>