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b/>
          <w:bCs/>
          <w:color w:val="1F4E5C"/>
          <w:sz w:val="64"/>
          <w:szCs w:val="64"/>
        </w:rPr>
        <w:t xml:space="preserve">DRISHTI</w:t>
      </w:r>
    </w:p>
    <w:p>
      <w:pPr>
        <w:spacing w:after="40"/>
        <w:jc w:val="center"/>
      </w:pPr>
      <w:r>
        <w:rPr>
          <w:i/>
          <w:iCs/>
          <w:color w:val="595959"/>
          <w:sz w:val="30"/>
          <w:szCs w:val="30"/>
        </w:rPr>
        <w:t xml:space="preserve">One Citizen, One Trusted View</w:t>
      </w:r>
    </w:p>
    <w:p>
      <w:pPr>
        <w:spacing w:after="500"/>
        <w:jc w:val="center"/>
      </w:pPr>
      <w:r>
        <w:rPr>
          <w:color w:val="595959"/>
          <w:sz w:val="24"/>
          <w:szCs w:val="24"/>
        </w:rPr>
        <w:t xml:space="preserve">A Privacy-First Beneficiary Data Governance Platform for Uttarakhand</w:t>
      </w:r>
    </w:p>
    <w:p>
      <w:pPr>
        <w:pBdr>
          <w:top w:val="single" w:color="1F4E5C" w:sz="6" w:space="10"/>
          <w:bottom w:val="single" w:color="1F4E5C" w:sz="6" w:space="10"/>
        </w:pBdr>
        <w:spacing w:after="700"/>
        <w:jc w:val="center"/>
      </w:pPr>
      <w:r>
        <w:rPr>
          <w:b/>
          <w:bCs/>
          <w:sz w:val="22"/>
          <w:szCs w:val="22"/>
        </w:rPr>
        <w:t xml:space="preserve">Response to Problem Statement P-003 — AI-Driven Integrated Beneficiary Data Governance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EAF1F2" w:color="auto" w:val="clear"/>
            <w:tcMar>
              <w:top w:type="dxa" w:w="80"/>
              <w:left w:type="dxa" w:w="100"/>
              <w:bottom w:type="dxa" w:w="80"/>
              <w:right w:type="dxa" w:w="100"/>
            </w:tcMar>
            <w:vAlign w:val="center"/>
          </w:tcPr>
          <w:p>
            <w:pPr>
              <w:jc w:val="left"/>
            </w:pPr>
            <w:r>
              <w:rPr>
                <w:b/>
                <w:bCs/>
                <w:sz w:val="20"/>
                <w:szCs w:val="20"/>
              </w:rPr>
              <w:t xml:space="preserve">Theme</w:t>
            </w:r>
          </w:p>
        </w:tc>
        <w:tc>
          <w:tcPr>
            <w:tcW w:type="dxa" w:w="6400"/>
            <w:tcMar>
              <w:top w:type="dxa" w:w="80"/>
              <w:left w:type="dxa" w:w="100"/>
              <w:bottom w:type="dxa" w:w="80"/>
              <w:right w:type="dxa" w:w="100"/>
            </w:tcMar>
            <w:vAlign w:val="center"/>
          </w:tcPr>
          <w:p>
            <w:pPr>
              <w:jc w:val="left"/>
            </w:pPr>
            <w:r>
              <w:rPr>
                <w:b w:val="false"/>
                <w:bCs w:val="false"/>
                <w:sz w:val="20"/>
                <w:szCs w:val="20"/>
              </w:rPr>
              <w:t xml:space="preserve">One Citizen, One Digital Identity Across Government Schemes</w:t>
            </w:r>
          </w:p>
        </w:tc>
      </w:tr>
      <w:tr>
        <w:tc>
          <w:tcPr>
            <w:tcW w:type="dxa" w:w="2600"/>
            <w:shd w:fill="EAF1F2" w:color="auto" w:val="clear"/>
            <w:tcMar>
              <w:top w:type="dxa" w:w="80"/>
              <w:left w:type="dxa" w:w="100"/>
              <w:bottom w:type="dxa" w:w="80"/>
              <w:right w:type="dxa" w:w="100"/>
            </w:tcMar>
            <w:vAlign w:val="center"/>
          </w:tcPr>
          <w:p>
            <w:pPr>
              <w:jc w:val="left"/>
            </w:pPr>
            <w:r>
              <w:rPr>
                <w:b/>
                <w:bCs/>
                <w:sz w:val="20"/>
                <w:szCs w:val="20"/>
              </w:rPr>
              <w:t xml:space="preserve">Problem Owner</w:t>
            </w:r>
          </w:p>
        </w:tc>
        <w:tc>
          <w:tcPr>
            <w:tcW w:type="dxa" w:w="6400"/>
            <w:tcMar>
              <w:top w:type="dxa" w:w="80"/>
              <w:left w:type="dxa" w:w="100"/>
              <w:bottom w:type="dxa" w:w="80"/>
              <w:right w:type="dxa" w:w="100"/>
            </w:tcMar>
            <w:vAlign w:val="center"/>
          </w:tcPr>
          <w:p>
            <w:pPr>
              <w:jc w:val="left"/>
            </w:pPr>
            <w:r>
              <w:rPr>
                <w:b w:val="false"/>
                <w:bCs w:val="false"/>
                <w:sz w:val="20"/>
                <w:szCs w:val="20"/>
              </w:rPr>
              <w:t xml:space="preserve">Social Welfare Department, Uttarakhand</w:t>
            </w:r>
          </w:p>
        </w:tc>
      </w:tr>
      <w:tr>
        <w:tc>
          <w:tcPr>
            <w:tcW w:type="dxa" w:w="2600"/>
            <w:shd w:fill="EAF1F2" w:color="auto" w:val="clear"/>
            <w:tcMar>
              <w:top w:type="dxa" w:w="80"/>
              <w:left w:type="dxa" w:w="100"/>
              <w:bottom w:type="dxa" w:w="80"/>
              <w:right w:type="dxa" w:w="100"/>
            </w:tcMar>
            <w:vAlign w:val="center"/>
          </w:tcPr>
          <w:p>
            <w:pPr>
              <w:jc w:val="left"/>
            </w:pPr>
            <w:r>
              <w:rPr>
                <w:b/>
                <w:bCs/>
                <w:sz w:val="20"/>
                <w:szCs w:val="20"/>
              </w:rPr>
              <w:t xml:space="preserve">Team Name</w:t>
            </w:r>
          </w:p>
        </w:tc>
        <w:tc>
          <w:tcPr>
            <w:tcW w:type="dxa" w:w="6400"/>
            <w:tcMar>
              <w:top w:type="dxa" w:w="80"/>
              <w:left w:type="dxa" w:w="100"/>
              <w:bottom w:type="dxa" w:w="80"/>
              <w:right w:type="dxa" w:w="100"/>
            </w:tcMar>
            <w:vAlign w:val="center"/>
          </w:tcPr>
          <w:p>
            <w:pPr>
              <w:jc w:val="left"/>
            </w:pPr>
            <w:r>
              <w:rPr>
                <w:b w:val="false"/>
                <w:bCs w:val="false"/>
                <w:sz w:val="20"/>
                <w:szCs w:val="20"/>
              </w:rPr>
              <w:t xml:space="preserve">[ Insert Team Name ]</w:t>
            </w:r>
          </w:p>
        </w:tc>
      </w:tr>
      <w:tr>
        <w:tc>
          <w:tcPr>
            <w:tcW w:type="dxa" w:w="2600"/>
            <w:shd w:fill="EAF1F2" w:color="auto" w:val="clear"/>
            <w:tcMar>
              <w:top w:type="dxa" w:w="80"/>
              <w:left w:type="dxa" w:w="100"/>
              <w:bottom w:type="dxa" w:w="80"/>
              <w:right w:type="dxa" w:w="100"/>
            </w:tcMar>
            <w:vAlign w:val="center"/>
          </w:tcPr>
          <w:p>
            <w:pPr>
              <w:jc w:val="left"/>
            </w:pPr>
            <w:r>
              <w:rPr>
                <w:b/>
                <w:bCs/>
                <w:sz w:val="20"/>
                <w:szCs w:val="20"/>
              </w:rPr>
              <w:t xml:space="preserve">Team Members</w:t>
            </w:r>
          </w:p>
        </w:tc>
        <w:tc>
          <w:tcPr>
            <w:tcW w:type="dxa" w:w="6400"/>
            <w:tcMar>
              <w:top w:type="dxa" w:w="80"/>
              <w:left w:type="dxa" w:w="100"/>
              <w:bottom w:type="dxa" w:w="80"/>
              <w:right w:type="dxa" w:w="100"/>
            </w:tcMar>
            <w:vAlign w:val="center"/>
          </w:tcPr>
          <w:p>
            <w:pPr>
              <w:jc w:val="left"/>
            </w:pPr>
            <w:r>
              <w:rPr>
                <w:b w:val="false"/>
                <w:bCs w:val="false"/>
                <w:sz w:val="20"/>
                <w:szCs w:val="20"/>
              </w:rPr>
              <w:t xml:space="preserve">[ Name 1 ] · [ Name 2 ] · [ Name 3 ] · [ Name 4 ]</w:t>
            </w:r>
          </w:p>
        </w:tc>
      </w:tr>
      <w:tr>
        <w:tc>
          <w:tcPr>
            <w:tcW w:type="dxa" w:w="2600"/>
            <w:shd w:fill="EAF1F2" w:color="auto" w:val="clear"/>
            <w:tcMar>
              <w:top w:type="dxa" w:w="80"/>
              <w:left w:type="dxa" w:w="100"/>
              <w:bottom w:type="dxa" w:w="80"/>
              <w:right w:type="dxa" w:w="100"/>
            </w:tcMar>
            <w:vAlign w:val="center"/>
          </w:tcPr>
          <w:p>
            <w:pPr>
              <w:jc w:val="left"/>
            </w:pPr>
            <w:r>
              <w:rPr>
                <w:b/>
                <w:bCs/>
                <w:sz w:val="20"/>
                <w:szCs w:val="20"/>
              </w:rPr>
              <w:t xml:space="preserve">Primary Contact</w:t>
            </w:r>
          </w:p>
        </w:tc>
        <w:tc>
          <w:tcPr>
            <w:tcW w:type="dxa" w:w="6400"/>
            <w:tcMar>
              <w:top w:type="dxa" w:w="80"/>
              <w:left w:type="dxa" w:w="100"/>
              <w:bottom w:type="dxa" w:w="80"/>
              <w:right w:type="dxa" w:w="100"/>
            </w:tcMar>
            <w:vAlign w:val="center"/>
          </w:tcPr>
          <w:p>
            <w:pPr>
              <w:jc w:val="left"/>
            </w:pPr>
            <w:r>
              <w:rPr>
                <w:b w:val="false"/>
                <w:bCs w:val="false"/>
                <w:sz w:val="20"/>
                <w:szCs w:val="20"/>
              </w:rPr>
              <w:t xml:space="preserve">[ Name, phone / email ]</w:t>
            </w:r>
          </w:p>
        </w:tc>
      </w:tr>
      <w:tr>
        <w:tc>
          <w:tcPr>
            <w:tcW w:type="dxa" w:w="2600"/>
            <w:shd w:fill="EAF1F2" w:color="auto" w:val="clear"/>
            <w:tcMar>
              <w:top w:type="dxa" w:w="80"/>
              <w:left w:type="dxa" w:w="100"/>
              <w:bottom w:type="dxa" w:w="80"/>
              <w:right w:type="dxa" w:w="100"/>
            </w:tcMar>
            <w:vAlign w:val="center"/>
          </w:tcPr>
          <w:p>
            <w:pPr>
              <w:jc w:val="left"/>
            </w:pPr>
            <w:r>
              <w:rPr>
                <w:b/>
                <w:bCs/>
                <w:sz w:val="20"/>
                <w:szCs w:val="20"/>
              </w:rPr>
              <w:t xml:space="preserve">Submission Date</w:t>
            </w:r>
          </w:p>
        </w:tc>
        <w:tc>
          <w:tcPr>
            <w:tcW w:type="dxa" w:w="6400"/>
            <w:tcMar>
              <w:top w:type="dxa" w:w="80"/>
              <w:left w:type="dxa" w:w="100"/>
              <w:bottom w:type="dxa" w:w="80"/>
              <w:right w:type="dxa" w:w="100"/>
            </w:tcMar>
            <w:vAlign w:val="center"/>
          </w:tcPr>
          <w:p>
            <w:pPr>
              <w:jc w:val="left"/>
            </w:pPr>
            <w:r>
              <w:rPr>
                <w:b w:val="false"/>
                <w:bCs w:val="false"/>
                <w:sz w:val="20"/>
                <w:szCs w:val="20"/>
              </w:rPr>
              <w:t xml:space="preserve">[ Insert Date ]</w:t>
            </w:r>
          </w:p>
        </w:tc>
      </w:tr>
    </w:tbl>
    <w:p>
      <w:r>
        <w:br w:type="page"/>
      </w:r>
    </w:p>
    <w:p>
      <w:pPr>
        <w:pStyle w:val="Heading1"/>
        <w:spacing w:after="140" w:before="2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t xml:space="preserve">1. Executive Summary</w:t>
      </w:r>
    </w:p>
    <w:p>
      <w:pPr>
        <w:spacing w:after="160"/>
      </w:pPr>
      <w:r>
        <w:t xml:space="preserve">Uttarakhand's welfare schemes today sit in departmental silos — Social Welfare, Housing, Agriculture and Rural Development each hold their own beneficiary records, in their own formats, with no shared view of who is actually receiving what. The result is threefold: citizens who qualify for a scheme never get enrolled because no one connects their eligibility to their identity; the same person occasionally draws overlapping or duplicate benefits because no one can see across departments; and policymakers plan the next scheme on data that is already fragmented and stale.</w:t>
      </w:r>
    </w:p>
    <w:p>
      <w:pPr>
        <w:spacing w:after="160"/>
      </w:pPr>
      <w:r>
        <w:t xml:space="preserve">DRISHTI (“vision” / “insight”) is a privacy-first data intelligence layer that sits above these department systems without replacing them. It resolves citizen identity across departments using blinded, cryptographic matching rather than shared raw data; it runs a transparent, rule-based eligibility engine whose sole purpose is to surface citizens who qualify for a scheme but are not enrolled — the hardest and highest-value problem in this brief; it flags duplicate or inconsistent claims for human review, never for automatic action; and it does all of this inside a query-layer authorisation model where no officer, dashboard, or department ever sees more data than their role permits, and every access is logged.</w:t>
      </w:r>
    </w:p>
    <w:p>
      <w:pPr>
        <w:spacing w:after="160"/>
      </w:pPr>
      <w:r>
        <w:t xml:space="preserve">The platform is deliberately boring where it should be boring — deterministic, explainable matching and rules, not a black-box model deciding entitlement — and only uses generative AI where it is safe to: turning an already-computed, already-authorised result into a plain-language explanation for the officer looking at it. No citizen's status ever depends on what a language model says.</w:t>
      </w:r>
    </w:p>
    <w:p>
      <w:pPr>
        <w:pStyle w:val="Heading1"/>
        <w:spacing w:after="140" w:before="280"/>
      </w:pPr>
      <w:r>
        <w:t xml:space="preserve">2. Understanding the Problem</w:t>
      </w:r>
    </w:p>
    <w:p>
      <w:pPr>
        <w:spacing w:after="160"/>
      </w:pPr>
      <w:r>
        <w:t xml:space="preserve">The Social Welfare Department has framed this brief around a specific asymmetry: it is relatively easy to catch someone drawing two benefits, but very hard to notice the much larger number of people who are entitled to a benefit and are quietly receiving nothing. DRISHTI is built around that asymmetry rather than treating exclusion as an afterthought to fraud detection.</w:t>
      </w:r>
    </w:p>
    <w:p>
      <w:pPr>
        <w:spacing w:after="160"/>
      </w:pPr>
      <w:r>
        <w:rPr>
          <w:b w:val="false"/>
          <w:bCs w:val="false"/>
        </w:rPr>
        <w:t xml:space="preserve">Three constraints shape every design decision in this document:</w:t>
      </w:r>
    </w:p>
    <w:p>
      <w:pPr>
        <w:pStyle w:val="ListParagraph"/>
        <w:numPr>
          <w:ilvl w:val="0"/>
          <w:numId w:val="1"/>
        </w:numPr>
        <w:spacing w:after="80"/>
      </w:pPr>
      <w:r>
        <w:t xml:space="preserve">Data cannot be centralised carelessly. Aadhaar-linked welfare data is among the most sensitive data the state holds; a single unified database is itself a risk, not just a solution.</w:t>
      </w:r>
    </w:p>
    <w:p>
      <w:pPr>
        <w:pStyle w:val="ListParagraph"/>
        <w:numPr>
          <w:ilvl w:val="0"/>
          <w:numId w:val="1"/>
        </w:numPr>
        <w:spacing w:after="80"/>
      </w:pPr>
      <w:r>
        <w:t xml:space="preserve">Departments do not trust each other's data quality. Names, addresses and dates arrive in inconsistent formats, transliterations and levels of completeness across Social Welfare, Housing, Agriculture and Rural Development.</w:t>
      </w:r>
    </w:p>
    <w:p>
      <w:pPr>
        <w:pStyle w:val="ListParagraph"/>
        <w:numPr>
          <w:ilvl w:val="0"/>
          <w:numId w:val="1"/>
        </w:numPr>
        <w:spacing w:after="80"/>
      </w:pPr>
      <w:r>
        <w:t xml:space="preserve">Officers, not algorithms, must remain accountable for entitlement decisions. Any system that quietly grants or revokes a benefit undermines due process and, eventually, trust in the platform itself.</w:t>
      </w:r>
    </w:p>
    <w:p>
      <w:pPr>
        <w:pStyle w:val="Heading1"/>
        <w:spacing w:after="140" w:before="280"/>
      </w:pPr>
      <w:r>
        <w:t xml:space="preserve">3. Solution Overview</w:t>
      </w:r>
    </w:p>
    <w:p>
      <w:pPr>
        <w:spacing w:after="160"/>
      </w:pPr>
      <w:r>
        <w:t xml:space="preserve">DRISHTI connects data, not identities. Departments never exchange raw beneficiary lists with one another; they exchange blinded identifiers that only DRISHTI's matching layer can compare, and even DRISHTI's own outputs are masked until an authorised officer opens a specific, logged case. The guiding design principle is minimum necessary access at every layer: minimum data collected, minimum data moved, minimum data displayed, and minimum inference made without a human in the loop.</w:t>
      </w:r>
    </w:p>
    <w:p>
      <w:pPr>
        <w:pStyle w:val="Heading2"/>
        <w:spacing w:after="140" w:before="280"/>
      </w:pPr>
      <w:r>
        <w:t xml:space="preserve">3.1 Core Design Principles</w:t>
      </w:r>
    </w:p>
    <w:p>
      <w:pPr>
        <w:pStyle w:val="ListParagraph"/>
        <w:numPr>
          <w:ilvl w:val="0"/>
          <w:numId w:val="1"/>
        </w:numPr>
        <w:spacing w:after="80"/>
      </w:pPr>
      <w:r>
        <w:t xml:space="preserve">Exclusion-first, not fraud-first: the eligibility engine is the primary feature; duplicate detection is secondary.</w:t>
      </w:r>
    </w:p>
    <w:p>
      <w:pPr>
        <w:pStyle w:val="ListParagraph"/>
        <w:numPr>
          <w:ilvl w:val="0"/>
          <w:numId w:val="1"/>
        </w:numPr>
        <w:spacing w:after="80"/>
      </w:pPr>
      <w:r>
        <w:t xml:space="preserve">Explainable by construction: every match, overlap and eligibility flag is produced by deterministic logic (hashed/blinded entity resolution and a declarative rule engine), never by an opaque model, so any finding can be traced to the exact records and criteria behind it.</w:t>
      </w:r>
    </w:p>
    <w:p>
      <w:pPr>
        <w:pStyle w:val="ListParagraph"/>
        <w:numPr>
          <w:ilvl w:val="0"/>
          <w:numId w:val="1"/>
        </w:numPr>
        <w:spacing w:after="80"/>
      </w:pPr>
      <w:r>
        <w:t xml:space="preserve">Privacy by architecture, not by policy: access limits are enforced in the database and query layer, not just hidden in the interface — so there is no version of the app that leaks more than the authorised view.</w:t>
      </w:r>
    </w:p>
    <w:p>
      <w:pPr>
        <w:pStyle w:val="ListParagraph"/>
        <w:numPr>
          <w:ilvl w:val="0"/>
          <w:numId w:val="1"/>
        </w:numPr>
        <w:spacing w:after="80"/>
      </w:pPr>
      <w:r>
        <w:t xml:space="preserve">Human-in-the-loop by default: the system produces recommendations and evidence for officer review; it does not enrol, deregister, or flag a citizen automatically.</w:t>
      </w:r>
    </w:p>
    <w:p>
      <w:pPr>
        <w:pStyle w:val="ListParagraph"/>
        <w:numPr>
          <w:ilvl w:val="0"/>
          <w:numId w:val="1"/>
        </w:numPr>
        <w:spacing w:after="80"/>
      </w:pPr>
      <w:r>
        <w:t xml:space="preserve">Federated, not monolithic: department source systems keep their own data; DRISHTI holds resolved links, scores and audit trails, not a full mirror of every department's database.</w:t>
      </w:r>
    </w:p>
    <w:p>
      <w:pPr>
        <w:pStyle w:val="Heading1"/>
        <w:spacing w:after="140" w:before="280"/>
      </w:pPr>
      <w:r>
        <w:t xml:space="preserve">4. System Architecture</w:t>
      </w:r>
    </w:p>
    <w:p>
      <w:pPr>
        <w:spacing w:after="160"/>
      </w:pPr>
      <w:r>
        <w:t xml:space="preserve">DRISHTI is organised as seven layers, each with a single, auditable responsibility. Data flows upward from department systems into progressively more governed and more aggregated views; authority to see raw identity flows the other way — only downward, on demand, and only for an officer with a legitimate, logged reason.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5C" w:color="auto" w:val="clear"/>
            <w:tcMar>
              <w:top w:type="dxa" w:w="80"/>
              <w:left w:type="dxa" w:w="100"/>
              <w:bottom w:type="dxa" w:w="80"/>
              <w:right w:type="dxa" w:w="100"/>
            </w:tcMar>
            <w:vAlign w:val="center"/>
          </w:tcPr>
          <w:p>
            <w:pPr>
              <w:jc w:val="left"/>
            </w:pPr>
            <w:r>
              <w:rPr>
                <w:b/>
                <w:bCs/>
                <w:color w:val="FFFFFF"/>
                <w:sz w:val="20"/>
                <w:szCs w:val="20"/>
              </w:rPr>
              <w:t xml:space="preserve">Layer</w:t>
            </w:r>
          </w:p>
        </w:tc>
        <w:tc>
          <w:tcPr>
            <w:tcW w:type="dxa" w:w="6750"/>
            <w:shd w:fill="1F4E5C" w:color="auto" w:val="clear"/>
            <w:tcMar>
              <w:top w:type="dxa" w:w="80"/>
              <w:left w:type="dxa" w:w="100"/>
              <w:bottom w:type="dxa" w:w="80"/>
              <w:right w:type="dxa" w:w="100"/>
            </w:tcMar>
            <w:vAlign w:val="center"/>
          </w:tcPr>
          <w:p>
            <w:pPr>
              <w:jc w:val="left"/>
            </w:pPr>
            <w:r>
              <w:rPr>
                <w:b/>
                <w:bCs/>
                <w:color w:val="FFFFFF"/>
                <w:sz w:val="20"/>
                <w:szCs w:val="20"/>
              </w:rPr>
              <w:t xml:space="preserve">Function</w:t>
            </w:r>
          </w:p>
        </w:tc>
      </w:tr>
      <w:tr>
        <w:tc>
          <w:tcPr>
            <w:tcW w:type="dxa" w:w="2600"/>
            <w:shd w:fill="FFFFFF" w:color="auto" w:val="clear"/>
            <w:tcMar>
              <w:top w:type="dxa" w:w="80"/>
              <w:left w:type="dxa" w:w="100"/>
              <w:bottom w:type="dxa" w:w="80"/>
              <w:right w:type="dxa" w:w="100"/>
            </w:tcMar>
            <w:vAlign w:val="center"/>
          </w:tcPr>
          <w:p>
            <w:pPr>
              <w:jc w:val="left"/>
            </w:pPr>
            <w:r>
              <w:rPr>
                <w:b/>
                <w:bCs/>
                <w:sz w:val="20"/>
                <w:szCs w:val="20"/>
              </w:rPr>
              <w:t xml:space="preserve">1. Ingestion &amp; Normalisation</w:t>
            </w:r>
          </w:p>
        </w:tc>
        <w:tc>
          <w:tcPr>
            <w:tcW w:type="dxa" w:w="6750"/>
            <w:shd w:fill="FFFFFF" w:color="auto" w:val="clear"/>
            <w:tcMar>
              <w:top w:type="dxa" w:w="80"/>
              <w:left w:type="dxa" w:w="100"/>
              <w:bottom w:type="dxa" w:w="80"/>
              <w:right w:type="dxa" w:w="100"/>
            </w:tcMar>
            <w:vAlign w:val="center"/>
          </w:tcPr>
          <w:p>
            <w:pPr>
              <w:jc w:val="left"/>
            </w:pPr>
            <w:r>
              <w:rPr>
                <w:b w:val="false"/>
                <w:bCs w:val="false"/>
                <w:sz w:val="20"/>
                <w:szCs w:val="20"/>
              </w:rPr>
              <w:t xml:space="preserve">Scheduled or on-demand import (CSV/Excel/API) from each department; schema mapping; name, address and date normalisation; Hindi/English transliteration handling; validation and rejection reports sent back to the source department.</w:t>
            </w:r>
          </w:p>
        </w:tc>
      </w:tr>
      <w:tr>
        <w:tc>
          <w:tcPr>
            <w:tcW w:type="dxa" w:w="2600"/>
            <w:shd w:fill="EAF1F2" w:color="auto" w:val="clear"/>
            <w:tcMar>
              <w:top w:type="dxa" w:w="80"/>
              <w:left w:type="dxa" w:w="100"/>
              <w:bottom w:type="dxa" w:w="80"/>
              <w:right w:type="dxa" w:w="100"/>
            </w:tcMar>
            <w:vAlign w:val="center"/>
          </w:tcPr>
          <w:p>
            <w:pPr>
              <w:jc w:val="left"/>
            </w:pPr>
            <w:r>
              <w:rPr>
                <w:b/>
                <w:bCs/>
                <w:sz w:val="20"/>
                <w:szCs w:val="20"/>
              </w:rPr>
              <w:t xml:space="preserve">2. Privacy-Preserving Identity Resolution</w:t>
            </w:r>
          </w:p>
        </w:tc>
        <w:tc>
          <w:tcPr>
            <w:tcW w:type="dxa" w:w="6750"/>
            <w:shd w:fill="EAF1F2" w:color="auto" w:val="clear"/>
            <w:tcMar>
              <w:top w:type="dxa" w:w="80"/>
              <w:left w:type="dxa" w:w="100"/>
              <w:bottom w:type="dxa" w:w="80"/>
              <w:right w:type="dxa" w:w="100"/>
            </w:tcMar>
            <w:vAlign w:val="center"/>
          </w:tcPr>
          <w:p>
            <w:pPr>
              <w:jc w:val="left"/>
            </w:pPr>
            <w:r>
              <w:rPr>
                <w:b w:val="false"/>
                <w:bCs w:val="false"/>
                <w:sz w:val="20"/>
                <w:szCs w:val="20"/>
              </w:rPr>
              <w:t xml:space="preserve">Each department computes salted, hashed tokens from identifying fields (Aadhaar/UID, name, DOB, address) locally before anything leaves its environment. DRISHTI compares these blinded tokens using Bloom-filter / private set-intersection-style matching and fuzzy scoring (edit distance, phonetic matching) to link probable same-person records without ever holding two departments' raw identity fields side by side.</w:t>
            </w:r>
          </w:p>
        </w:tc>
      </w:tr>
      <w:tr>
        <w:tc>
          <w:tcPr>
            <w:tcW w:type="dxa" w:w="2600"/>
            <w:shd w:fill="FFFFFF" w:color="auto" w:val="clear"/>
            <w:tcMar>
              <w:top w:type="dxa" w:w="80"/>
              <w:left w:type="dxa" w:w="100"/>
              <w:bottom w:type="dxa" w:w="80"/>
              <w:right w:type="dxa" w:w="100"/>
            </w:tcMar>
            <w:vAlign w:val="center"/>
          </w:tcPr>
          <w:p>
            <w:pPr>
              <w:jc w:val="left"/>
            </w:pPr>
            <w:r>
              <w:rPr>
                <w:b/>
                <w:bCs/>
                <w:sz w:val="20"/>
                <w:szCs w:val="20"/>
              </w:rPr>
              <w:t xml:space="preserve">3. Eligibility &amp; Exclusion Rule Engine</w:t>
            </w:r>
          </w:p>
        </w:tc>
        <w:tc>
          <w:tcPr>
            <w:tcW w:type="dxa" w:w="6750"/>
            <w:shd w:fill="FFFFFF" w:color="auto" w:val="clear"/>
            <w:tcMar>
              <w:top w:type="dxa" w:w="80"/>
              <w:left w:type="dxa" w:w="100"/>
              <w:bottom w:type="dxa" w:w="80"/>
              <w:right w:type="dxa" w:w="100"/>
            </w:tcMar>
            <w:vAlign w:val="center"/>
          </w:tcPr>
          <w:p>
            <w:pPr>
              <w:jc w:val="left"/>
            </w:pPr>
            <w:r>
              <w:rPr>
                <w:b w:val="false"/>
                <w:bCs w:val="false"/>
                <w:sz w:val="20"/>
                <w:szCs w:val="20"/>
              </w:rPr>
              <w:t xml:space="preserve">A declarative, versioned rule set (JSON/YAML) encodes each scheme's eligibility criteria. Every citizen's linked record is evaluated against every scheme's rules; the engine outputs a ranked list of likely-eligible-but-unenrolled citizens, each with a plain-language trace of which criteria were met, from which record, and what is missing.</w:t>
            </w:r>
          </w:p>
        </w:tc>
      </w:tr>
      <w:tr>
        <w:tc>
          <w:tcPr>
            <w:tcW w:type="dxa" w:w="2600"/>
            <w:shd w:fill="EAF1F2" w:color="auto" w:val="clear"/>
            <w:tcMar>
              <w:top w:type="dxa" w:w="80"/>
              <w:left w:type="dxa" w:w="100"/>
              <w:bottom w:type="dxa" w:w="80"/>
              <w:right w:type="dxa" w:w="100"/>
            </w:tcMar>
            <w:vAlign w:val="center"/>
          </w:tcPr>
          <w:p>
            <w:pPr>
              <w:jc w:val="left"/>
            </w:pPr>
            <w:r>
              <w:rPr>
                <w:b/>
                <w:bCs/>
                <w:sz w:val="20"/>
                <w:szCs w:val="20"/>
              </w:rPr>
              <w:t xml:space="preserve">4. Duplicate &amp; Integrity Detection</w:t>
            </w:r>
          </w:p>
        </w:tc>
        <w:tc>
          <w:tcPr>
            <w:tcW w:type="dxa" w:w="6750"/>
            <w:shd w:fill="EAF1F2" w:color="auto" w:val="clear"/>
            <w:tcMar>
              <w:top w:type="dxa" w:w="80"/>
              <w:left w:type="dxa" w:w="100"/>
              <w:bottom w:type="dxa" w:w="80"/>
              <w:right w:type="dxa" w:w="100"/>
            </w:tcMar>
            <w:vAlign w:val="center"/>
          </w:tcPr>
          <w:p>
            <w:pPr>
              <w:jc w:val="left"/>
            </w:pPr>
            <w:r>
              <w:rPr>
                <w:b w:val="false"/>
                <w:bCs w:val="false"/>
                <w:sz w:val="20"/>
                <w:szCs w:val="20"/>
              </w:rPr>
              <w:t xml:space="preserve">Entity-resolution scores above a configurable threshold surface as duplicate-enrolment or inconsistent-claim cases, shown with the underlying matching evidence side by side, for officer adjudication — never automatic deduplication.</w:t>
            </w:r>
          </w:p>
        </w:tc>
      </w:tr>
      <w:tr>
        <w:tc>
          <w:tcPr>
            <w:tcW w:type="dxa" w:w="2600"/>
            <w:shd w:fill="FFFFFF" w:color="auto" w:val="clear"/>
            <w:tcMar>
              <w:top w:type="dxa" w:w="80"/>
              <w:left w:type="dxa" w:w="100"/>
              <w:bottom w:type="dxa" w:w="80"/>
              <w:right w:type="dxa" w:w="100"/>
            </w:tcMar>
            <w:vAlign w:val="center"/>
          </w:tcPr>
          <w:p>
            <w:pPr>
              <w:jc w:val="left"/>
            </w:pPr>
            <w:r>
              <w:rPr>
                <w:b/>
                <w:bCs/>
                <w:sz w:val="20"/>
                <w:szCs w:val="20"/>
              </w:rPr>
              <w:t xml:space="preserve">5. Query-Layer Access Control</w:t>
            </w:r>
          </w:p>
        </w:tc>
        <w:tc>
          <w:tcPr>
            <w:tcW w:type="dxa" w:w="6750"/>
            <w:shd w:fill="FFFFFF" w:color="auto" w:val="clear"/>
            <w:tcMar>
              <w:top w:type="dxa" w:w="80"/>
              <w:left w:type="dxa" w:w="100"/>
              <w:bottom w:type="dxa" w:w="80"/>
              <w:right w:type="dxa" w:w="100"/>
            </w:tcMar>
            <w:vAlign w:val="center"/>
          </w:tcPr>
          <w:p>
            <w:pPr>
              <w:jc w:val="left"/>
            </w:pPr>
            <w:r>
              <w:rPr>
                <w:b w:val="false"/>
                <w:bCs w:val="false"/>
                <w:sz w:val="20"/>
                <w:szCs w:val="20"/>
              </w:rPr>
              <w:t xml:space="preserve">Authorisation is enforced where the data is read, not only in the UI: row-level security scopes every query to the caller's department and role; identifying fields stay masked until an officer opens a specific case with a logged reason; cross-department views return aggregate or blinded results only.</w:t>
            </w:r>
          </w:p>
        </w:tc>
      </w:tr>
      <w:tr>
        <w:tc>
          <w:tcPr>
            <w:tcW w:type="dxa" w:w="2600"/>
            <w:shd w:fill="EAF1F2" w:color="auto" w:val="clear"/>
            <w:tcMar>
              <w:top w:type="dxa" w:w="80"/>
              <w:left w:type="dxa" w:w="100"/>
              <w:bottom w:type="dxa" w:w="80"/>
              <w:right w:type="dxa" w:w="100"/>
            </w:tcMar>
            <w:vAlign w:val="center"/>
          </w:tcPr>
          <w:p>
            <w:pPr>
              <w:jc w:val="left"/>
            </w:pPr>
            <w:r>
              <w:rPr>
                <w:b/>
                <w:bCs/>
                <w:sz w:val="20"/>
                <w:szCs w:val="20"/>
              </w:rPr>
              <w:t xml:space="preserve">6. Audit &amp; Oversight Layer</w:t>
            </w:r>
          </w:p>
        </w:tc>
        <w:tc>
          <w:tcPr>
            <w:tcW w:type="dxa" w:w="6750"/>
            <w:shd w:fill="EAF1F2" w:color="auto" w:val="clear"/>
            <w:tcMar>
              <w:top w:type="dxa" w:w="80"/>
              <w:left w:type="dxa" w:w="100"/>
              <w:bottom w:type="dxa" w:w="80"/>
              <w:right w:type="dxa" w:w="100"/>
            </w:tcMar>
            <w:vAlign w:val="center"/>
          </w:tcPr>
          <w:p>
            <w:pPr>
              <w:jc w:val="left"/>
            </w:pPr>
            <w:r>
              <w:rPr>
                <w:b w:val="false"/>
                <w:bCs w:val="false"/>
                <w:sz w:val="20"/>
                <w:szCs w:val="20"/>
              </w:rPr>
              <w:t xml:space="preserve">Append-only log of every query, unmask action and export, with a periodic “refused query” report so administrators can see not just what was accessed but what was correctly denied.</w:t>
            </w:r>
          </w:p>
        </w:tc>
      </w:tr>
      <w:tr>
        <w:tc>
          <w:tcPr>
            <w:tcW w:type="dxa" w:w="2600"/>
            <w:shd w:fill="FFFFFF" w:color="auto" w:val="clear"/>
            <w:tcMar>
              <w:top w:type="dxa" w:w="80"/>
              <w:left w:type="dxa" w:w="100"/>
              <w:bottom w:type="dxa" w:w="80"/>
              <w:right w:type="dxa" w:w="100"/>
            </w:tcMar>
            <w:vAlign w:val="center"/>
          </w:tcPr>
          <w:p>
            <w:pPr>
              <w:jc w:val="left"/>
            </w:pPr>
            <w:r>
              <w:rPr>
                <w:b/>
                <w:bCs/>
                <w:sz w:val="20"/>
                <w:szCs w:val="20"/>
              </w:rPr>
              <w:t xml:space="preserve">7. Dashboards &amp; Explanation Layer</w:t>
            </w:r>
          </w:p>
        </w:tc>
        <w:tc>
          <w:tcPr>
            <w:tcW w:type="dxa" w:w="6750"/>
            <w:shd w:fill="FFFFFF" w:color="auto" w:val="clear"/>
            <w:tcMar>
              <w:top w:type="dxa" w:w="80"/>
              <w:left w:type="dxa" w:w="100"/>
              <w:bottom w:type="dxa" w:w="80"/>
              <w:right w:type="dxa" w:w="100"/>
            </w:tcMar>
            <w:vAlign w:val="center"/>
          </w:tcPr>
          <w:p>
            <w:pPr>
              <w:jc w:val="left"/>
            </w:pPr>
            <w:r>
              <w:rPr>
                <w:b w:val="false"/>
                <w:bCs w:val="false"/>
                <w:sz w:val="20"/>
                <w:szCs w:val="20"/>
              </w:rPr>
              <w:t xml:space="preserve">Role-based dashboards (coverage, overlap, exclusion, integrity) built for each department's own data plus an aggregate cross-department view. A tightly scoped natural-language layer turns an already-computed, already-authorised finding into a one-paragraph explanation for the officer — it explains results, it does not generate them.</w:t>
            </w:r>
          </w:p>
        </w:tc>
      </w:tr>
    </w:tbl>
    <w:p>
      <w:pPr>
        <w:spacing w:after="200"/>
      </w:pPr>
    </w:p>
    <w:p>
      <w:pPr>
        <w:spacing w:after="160"/>
      </w:pPr>
      <w:r>
        <w:rPr>
          <w:i/>
          <w:iCs/>
          <w:color w:val="595959"/>
        </w:rPr>
        <w:t xml:space="preserve">Departments never send each other raw records. Data moves from a department into DRISHTI's ingestion layer only in blinded/hashed form for matching purposes; the readable version of a matched case is reconstructed only at the moment an authorised officer opens it, and that reconstruction itself is what gets logged.</w:t>
      </w:r>
    </w:p>
    <w:p>
      <w:pPr>
        <w:pStyle w:val="Heading1"/>
        <w:spacing w:after="140" w:before="280"/>
      </w:pPr>
      <w:r>
        <w:t xml:space="preserve">5. Capabilities Against the Brief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4950"/>
      </w:tblGrid>
      <w:tr>
        <w:trPr>
          <w:tblHeader/>
        </w:trPr>
        <w:tc>
          <w:tcPr>
            <w:tcW w:type="dxa" w:w="4400"/>
            <w:shd w:fill="1F4E5C" w:color="auto" w:val="clear"/>
            <w:tcMar>
              <w:top w:type="dxa" w:w="80"/>
              <w:left w:type="dxa" w:w="100"/>
              <w:bottom w:type="dxa" w:w="80"/>
              <w:right w:type="dxa" w:w="100"/>
            </w:tcMar>
            <w:vAlign w:val="center"/>
          </w:tcPr>
          <w:p>
            <w:pPr>
              <w:jc w:val="left"/>
            </w:pPr>
            <w:r>
              <w:rPr>
                <w:b/>
                <w:bCs/>
                <w:color w:val="FFFFFF"/>
                <w:sz w:val="20"/>
                <w:szCs w:val="20"/>
              </w:rPr>
              <w:t xml:space="preserve">Proposed Capability</w:t>
            </w:r>
          </w:p>
        </w:tc>
        <w:tc>
          <w:tcPr>
            <w:tcW w:type="dxa" w:w="4950"/>
            <w:shd w:fill="1F4E5C" w:color="auto" w:val="clear"/>
            <w:tcMar>
              <w:top w:type="dxa" w:w="80"/>
              <w:left w:type="dxa" w:w="100"/>
              <w:bottom w:type="dxa" w:w="80"/>
              <w:right w:type="dxa" w:w="100"/>
            </w:tcMar>
            <w:vAlign w:val="center"/>
          </w:tcPr>
          <w:p>
            <w:pPr>
              <w:jc w:val="left"/>
            </w:pPr>
            <w:r>
              <w:rPr>
                <w:b/>
                <w:bCs/>
                <w:color w:val="FFFFFF"/>
                <w:sz w:val="20"/>
                <w:szCs w:val="20"/>
              </w:rPr>
              <w:t xml:space="preserve">How DRISHTI Delivers It</w:t>
            </w:r>
          </w:p>
        </w:tc>
      </w:tr>
      <w:tr>
        <w:tc>
          <w:tcPr>
            <w:tcW w:type="dxa" w:w="4400"/>
            <w:shd w:fill="FFFFFF" w:color="auto" w:val="clear"/>
            <w:tcMar>
              <w:top w:type="dxa" w:w="80"/>
              <w:left w:type="dxa" w:w="100"/>
              <w:bottom w:type="dxa" w:w="80"/>
              <w:right w:type="dxa" w:w="100"/>
            </w:tcMar>
            <w:vAlign w:val="center"/>
          </w:tcPr>
          <w:p>
            <w:pPr>
              <w:jc w:val="left"/>
            </w:pPr>
            <w:r>
              <w:rPr>
                <w:b w:val="false"/>
                <w:bCs w:val="false"/>
                <w:sz w:val="20"/>
                <w:szCs w:val="20"/>
              </w:rPr>
              <w:t xml:space="preserve">Integrate beneficiary databases across departments and schemes</w:t>
            </w:r>
          </w:p>
        </w:tc>
        <w:tc>
          <w:tcPr>
            <w:tcW w:type="dxa" w:w="4950"/>
            <w:shd w:fill="FFFFFF" w:color="auto" w:val="clear"/>
            <w:tcMar>
              <w:top w:type="dxa" w:w="80"/>
              <w:left w:type="dxa" w:w="100"/>
              <w:bottom w:type="dxa" w:w="80"/>
              <w:right w:type="dxa" w:w="100"/>
            </w:tcMar>
            <w:vAlign w:val="center"/>
          </w:tcPr>
          <w:p>
            <w:pPr>
              <w:jc w:val="left"/>
            </w:pPr>
            <w:r>
              <w:rPr>
                <w:b w:val="false"/>
                <w:bCs w:val="false"/>
                <w:sz w:val="20"/>
                <w:szCs w:val="20"/>
              </w:rPr>
              <w:t xml:space="preserve">Layer 1–2: schema-mapped ingestion + blinded cross-department identity resolution.</w:t>
            </w:r>
          </w:p>
        </w:tc>
      </w:tr>
      <w:tr>
        <w:tc>
          <w:tcPr>
            <w:tcW w:type="dxa" w:w="4400"/>
            <w:shd w:fill="EAF1F2" w:color="auto" w:val="clear"/>
            <w:tcMar>
              <w:top w:type="dxa" w:w="80"/>
              <w:left w:type="dxa" w:w="100"/>
              <w:bottom w:type="dxa" w:w="80"/>
              <w:right w:type="dxa" w:w="100"/>
            </w:tcMar>
            <w:vAlign w:val="center"/>
          </w:tcPr>
          <w:p>
            <w:pPr>
              <w:jc w:val="left"/>
            </w:pPr>
            <w:r>
              <w:rPr>
                <w:b w:val="false"/>
                <w:bCs w:val="false"/>
                <w:sz w:val="20"/>
                <w:szCs w:val="20"/>
              </w:rPr>
              <w:t xml:space="preserve">Identify duplicate beneficiaries and potentially fraudulent claims</w:t>
            </w:r>
          </w:p>
        </w:tc>
        <w:tc>
          <w:tcPr>
            <w:tcW w:type="dxa" w:w="4950"/>
            <w:shd w:fill="EAF1F2" w:color="auto" w:val="clear"/>
            <w:tcMar>
              <w:top w:type="dxa" w:w="80"/>
              <w:left w:type="dxa" w:w="100"/>
              <w:bottom w:type="dxa" w:w="80"/>
              <w:right w:type="dxa" w:w="100"/>
            </w:tcMar>
            <w:vAlign w:val="center"/>
          </w:tcPr>
          <w:p>
            <w:pPr>
              <w:jc w:val="left"/>
            </w:pPr>
            <w:r>
              <w:rPr>
                <w:b w:val="false"/>
                <w:bCs w:val="false"/>
                <w:sz w:val="20"/>
                <w:szCs w:val="20"/>
              </w:rPr>
              <w:t xml:space="preserve">Layer 4: entity-resolution scoring surfaces duplicate/inconsistent cases with evidence, for officer adjudication.</w:t>
            </w:r>
          </w:p>
        </w:tc>
      </w:tr>
      <w:tr>
        <w:tc>
          <w:tcPr>
            <w:tcW w:type="dxa" w:w="4400"/>
            <w:shd w:fill="FFFFFF" w:color="auto" w:val="clear"/>
            <w:tcMar>
              <w:top w:type="dxa" w:w="80"/>
              <w:left w:type="dxa" w:w="100"/>
              <w:bottom w:type="dxa" w:w="80"/>
              <w:right w:type="dxa" w:w="100"/>
            </w:tcMar>
            <w:vAlign w:val="center"/>
          </w:tcPr>
          <w:p>
            <w:pPr>
              <w:jc w:val="left"/>
            </w:pPr>
            <w:r>
              <w:rPr>
                <w:b w:val="false"/>
                <w:bCs w:val="false"/>
                <w:sz w:val="20"/>
                <w:szCs w:val="20"/>
              </w:rPr>
              <w:t xml:space="preserve">Highlight eligible citizens who are excluded from relevant schemes</w:t>
            </w:r>
          </w:p>
        </w:tc>
        <w:tc>
          <w:tcPr>
            <w:tcW w:type="dxa" w:w="4950"/>
            <w:shd w:fill="FFFFFF" w:color="auto" w:val="clear"/>
            <w:tcMar>
              <w:top w:type="dxa" w:w="80"/>
              <w:left w:type="dxa" w:w="100"/>
              <w:bottom w:type="dxa" w:w="80"/>
              <w:right w:type="dxa" w:w="100"/>
            </w:tcMar>
            <w:vAlign w:val="center"/>
          </w:tcPr>
          <w:p>
            <w:pPr>
              <w:jc w:val="left"/>
            </w:pPr>
            <w:r>
              <w:rPr>
                <w:b w:val="false"/>
                <w:bCs w:val="false"/>
                <w:sz w:val="20"/>
                <w:szCs w:val="20"/>
              </w:rPr>
              <w:t xml:space="preserve">Layer 3: rule engine ranks likely-eligible-but-unenrolled citizens with a full eligibility trace — the platform's primary capability.</w:t>
            </w:r>
          </w:p>
        </w:tc>
      </w:tr>
      <w:tr>
        <w:tc>
          <w:tcPr>
            <w:tcW w:type="dxa" w:w="4400"/>
            <w:shd w:fill="EAF1F2" w:color="auto" w:val="clear"/>
            <w:tcMar>
              <w:top w:type="dxa" w:w="80"/>
              <w:left w:type="dxa" w:w="100"/>
              <w:bottom w:type="dxa" w:w="80"/>
              <w:right w:type="dxa" w:w="100"/>
            </w:tcMar>
            <w:vAlign w:val="center"/>
          </w:tcPr>
          <w:p>
            <w:pPr>
              <w:jc w:val="left"/>
            </w:pPr>
            <w:r>
              <w:rPr>
                <w:b w:val="false"/>
                <w:bCs w:val="false"/>
                <w:sz w:val="20"/>
                <w:szCs w:val="20"/>
              </w:rPr>
              <w:t xml:space="preserve">Detect overlap among welfare programmes</w:t>
            </w:r>
          </w:p>
        </w:tc>
        <w:tc>
          <w:tcPr>
            <w:tcW w:type="dxa" w:w="4950"/>
            <w:shd w:fill="EAF1F2" w:color="auto" w:val="clear"/>
            <w:tcMar>
              <w:top w:type="dxa" w:w="80"/>
              <w:left w:type="dxa" w:w="100"/>
              <w:bottom w:type="dxa" w:w="80"/>
              <w:right w:type="dxa" w:w="100"/>
            </w:tcMar>
            <w:vAlign w:val="center"/>
          </w:tcPr>
          <w:p>
            <w:pPr>
              <w:jc w:val="left"/>
            </w:pPr>
            <w:r>
              <w:rPr>
                <w:b w:val="false"/>
                <w:bCs w:val="false"/>
                <w:sz w:val="20"/>
                <w:szCs w:val="20"/>
              </w:rPr>
              <w:t xml:space="preserve">Layer 3–4 outputs feed scheme-to-scheme overlap and coverage-by-block/district views.</w:t>
            </w:r>
          </w:p>
        </w:tc>
      </w:tr>
      <w:tr>
        <w:tc>
          <w:tcPr>
            <w:tcW w:type="dxa" w:w="4400"/>
            <w:shd w:fill="FFFFFF" w:color="auto" w:val="clear"/>
            <w:tcMar>
              <w:top w:type="dxa" w:w="80"/>
              <w:left w:type="dxa" w:w="100"/>
              <w:bottom w:type="dxa" w:w="80"/>
              <w:right w:type="dxa" w:w="100"/>
            </w:tcMar>
            <w:vAlign w:val="center"/>
          </w:tcPr>
          <w:p>
            <w:pPr>
              <w:jc w:val="left"/>
            </w:pPr>
            <w:r>
              <w:rPr>
                <w:b w:val="false"/>
                <w:bCs w:val="false"/>
                <w:sz w:val="20"/>
                <w:szCs w:val="20"/>
              </w:rPr>
              <w:t xml:space="preserve">Provide role-based, department-wise dashboards</w:t>
            </w:r>
          </w:p>
        </w:tc>
        <w:tc>
          <w:tcPr>
            <w:tcW w:type="dxa" w:w="4950"/>
            <w:shd w:fill="FFFFFF" w:color="auto" w:val="clear"/>
            <w:tcMar>
              <w:top w:type="dxa" w:w="80"/>
              <w:left w:type="dxa" w:w="100"/>
              <w:bottom w:type="dxa" w:w="80"/>
              <w:right w:type="dxa" w:w="100"/>
            </w:tcMar>
            <w:vAlign w:val="center"/>
          </w:tcPr>
          <w:p>
            <w:pPr>
              <w:jc w:val="left"/>
            </w:pPr>
            <w:r>
              <w:rPr>
                <w:b w:val="false"/>
                <w:bCs w:val="false"/>
                <w:sz w:val="20"/>
                <w:szCs w:val="20"/>
              </w:rPr>
              <w:t xml:space="preserve">Layer 5–7: query-layer RBAC plus per-department and aggregate dashboards.</w:t>
            </w:r>
          </w:p>
        </w:tc>
      </w:tr>
    </w:tbl>
    <w:p>
      <w:pPr>
        <w:pStyle w:val="Heading1"/>
        <w:spacing w:after="140" w:before="280"/>
      </w:pPr>
      <w:r>
        <w:t xml:space="preserve">6. Privacy &amp; Security Model</w:t>
      </w:r>
    </w:p>
    <w:p>
      <w:pPr>
        <w:spacing w:after="160"/>
      </w:pPr>
      <w:r>
        <w:t xml:space="preserve">Privacy is demonstrated in DRISHTI, not asserted. Four mechanisms work together:</w:t>
      </w:r>
    </w:p>
    <w:p>
      <w:pPr>
        <w:pStyle w:val="Heading2"/>
        <w:spacing w:after="140" w:before="280"/>
      </w:pPr>
      <w:r>
        <w:t xml:space="preserve">6.1 Blinded Cross-Department Matching</w:t>
      </w:r>
    </w:p>
    <w:p>
      <w:pPr>
        <w:spacing w:after="160"/>
      </w:pPr>
      <w:r>
        <w:t xml:space="preserve">Identity fields are salted and hashed at the department boundary before they reach the matching layer. A match between two departments' records returns a similarity score and a case reference — never one department's raw beneficiary list handed to another.</w:t>
      </w:r>
    </w:p>
    <w:p>
      <w:pPr>
        <w:pStyle w:val="Heading2"/>
        <w:spacing w:after="140" w:before="280"/>
      </w:pPr>
      <w:r>
        <w:t xml:space="preserve">6.2 Query-Layer Authorisation</w:t>
      </w:r>
    </w:p>
    <w:p>
      <w:pPr>
        <w:spacing w:after="160"/>
      </w:pPr>
      <w:r>
        <w:t xml:space="preserve">Row-level security and field masking are enforced in the data layer itself, so authorisation cannot be bypassed by a different screen, report, or API call. An officer's role determines which rows and which fields a query can return at all — not just what the interface chooses to display.</w:t>
      </w:r>
    </w:p>
    <w:p>
      <w:pPr>
        <w:pStyle w:val="Heading2"/>
        <w:spacing w:after="140" w:before="280"/>
      </w:pPr>
      <w:r>
        <w:t xml:space="preserve">6.3 Progressive Unmasking with Justification</w:t>
      </w:r>
    </w:p>
    <w:p>
      <w:pPr>
        <w:spacing w:after="160"/>
      </w:pPr>
      <w:r>
        <w:t xml:space="preserve">Identifying fields (name, address, Aadhaar-linked reference) stay masked by default, even for authorised officers, until they open a specific case and record a reason. That unmask event is itself the audit record.</w:t>
      </w:r>
    </w:p>
    <w:p>
      <w:pPr>
        <w:pStyle w:val="Heading2"/>
        <w:spacing w:after="140" w:before="280"/>
      </w:pPr>
      <w:r>
        <w:t xml:space="preserve">6.4 Append-Only Audit Trail</w:t>
      </w:r>
    </w:p>
    <w:p>
      <w:pPr>
        <w:spacing w:after="160"/>
      </w:pPr>
      <w:r>
        <w:t xml:space="preserve">Every query, unmask and export is logged in an append-only store. Administrators receive a periodic report of refused queries as well as granted ones, so denial-by-design is visible and verifiable, not just claimed.</w:t>
      </w:r>
    </w:p>
    <w:p>
      <w:pPr>
        <w:pStyle w:val="Heading2"/>
        <w:spacing w:after="140" w:before="280"/>
      </w:pPr>
      <w:r>
        <w:t xml:space="preserve">6.5 Aggregation Thresholds</w:t>
      </w:r>
    </w:p>
    <w:p>
      <w:pPr>
        <w:spacing w:after="160"/>
      </w:pPr>
      <w:r>
        <w:t xml:space="preserve">Cross-department analytical views (coverage by block, overlap by scheme) apply minimum-cell-size thresholds so that small counts — which could re-identify an individual in a sparsely populated area — are suppressed or grouped rather than displayed exactly.</w:t>
      </w:r>
    </w:p>
    <w:p>
      <w:pPr>
        <w:pStyle w:val="Heading1"/>
        <w:spacing w:after="140" w:before="280"/>
      </w:pPr>
      <w:r>
        <w:t xml:space="preserve">7. Exclusion Detection: The Core Differentiator</w:t>
      </w:r>
    </w:p>
    <w:p>
      <w:pPr>
        <w:spacing w:after="160"/>
      </w:pPr>
      <w:r>
        <w:t xml:space="preserve">Most integration platforms are built to catch duplication because duplication is easy to define and easy to demo. Exclusion — the citizen who is entitled but not receiving — is harder because it requires reasoning about absence, and it is far more valuable because it is usually the larger population.</w:t>
      </w:r>
    </w:p>
    <w:p>
      <w:pPr>
        <w:spacing w:after="160"/>
      </w:pPr>
      <w:r>
        <w:t xml:space="preserve">DRISHTI treats each scheme's eligibility criteria as a first-class, versioned artefact rather than logic buried in code:</w:t>
      </w:r>
    </w:p>
    <w:p>
      <w:pPr>
        <w:pStyle w:val="ListParagraph"/>
        <w:numPr>
          <w:ilvl w:val="0"/>
          <w:numId w:val="1"/>
        </w:numPr>
        <w:spacing w:after="80"/>
      </w:pPr>
      <w:r>
        <w:t xml:space="preserve">Department officials define or update eligibility rules through a configuration interface, not by filing a change request with developers.</w:t>
      </w:r>
    </w:p>
    <w:p>
      <w:pPr>
        <w:pStyle w:val="ListParagraph"/>
        <w:numPr>
          <w:ilvl w:val="0"/>
          <w:numId w:val="1"/>
        </w:numPr>
        <w:spacing w:after="80"/>
      </w:pPr>
      <w:r>
        <w:t xml:space="preserve">The rule engine evaluates every linked citizen record against every active scheme and produces a ranked exclusion list, prioritised by confidence and, optionally, by vulnerability indicators the department chooses to weight (e.g. single-headed households, disability status already on record).</w:t>
      </w:r>
    </w:p>
    <w:p>
      <w:pPr>
        <w:pStyle w:val="ListParagraph"/>
        <w:numPr>
          <w:ilvl w:val="0"/>
          <w:numId w:val="1"/>
        </w:numPr>
        <w:spacing w:after="80"/>
      </w:pPr>
      <w:r>
        <w:t xml:space="preserve">Every entry carries a plain-language trace: which criteria were satisfied, from which department's record, and exactly what field or document is missing to complete enrolment — so a field officer knows the next action, not just the score.</w:t>
      </w:r>
    </w:p>
    <w:p>
      <w:pPr>
        <w:pStyle w:val="ListParagraph"/>
        <w:numPr>
          <w:ilvl w:val="0"/>
          <w:numId w:val="1"/>
        </w:numPr>
        <w:spacing w:after="80"/>
      </w:pPr>
      <w:r>
        <w:t xml:space="preserve">Because the logic is declarative rules rather than a trained model, an auditor can read the exact criteria that produced any specific recommendation, with no explainability gap.</w:t>
      </w:r>
    </w:p>
    <w:p>
      <w:pPr>
        <w:pStyle w:val="Heading1"/>
        <w:spacing w:after="140" w:before="280"/>
      </w:pPr>
      <w:r>
        <w:t xml:space="preserve">8.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4E5C" w:color="auto" w:val="clear"/>
            <w:tcMar>
              <w:top w:type="dxa" w:w="80"/>
              <w:left w:type="dxa" w:w="100"/>
              <w:bottom w:type="dxa" w:w="80"/>
              <w:right w:type="dxa" w:w="100"/>
            </w:tcMar>
            <w:vAlign w:val="center"/>
          </w:tcPr>
          <w:p>
            <w:pPr>
              <w:jc w:val="left"/>
            </w:pPr>
            <w:r>
              <w:rPr>
                <w:b/>
                <w:bCs/>
                <w:color w:val="FFFFFF"/>
                <w:sz w:val="20"/>
                <w:szCs w:val="20"/>
              </w:rPr>
              <w:t xml:space="preserve">Component</w:t>
            </w:r>
          </w:p>
        </w:tc>
        <w:tc>
          <w:tcPr>
            <w:tcW w:type="dxa" w:w="6550"/>
            <w:shd w:fill="1F4E5C" w:color="auto" w:val="clear"/>
            <w:tcMar>
              <w:top w:type="dxa" w:w="80"/>
              <w:left w:type="dxa" w:w="100"/>
              <w:bottom w:type="dxa" w:w="80"/>
              <w:right w:type="dxa" w:w="100"/>
            </w:tcMar>
            <w:vAlign w:val="center"/>
          </w:tcPr>
          <w:p>
            <w:pPr>
              <w:jc w:val="left"/>
            </w:pPr>
            <w:r>
              <w:rPr>
                <w:b/>
                <w:bCs/>
                <w:color w:val="FFFFFF"/>
                <w:sz w:val="20"/>
                <w:szCs w:val="20"/>
              </w:rPr>
              <w:t xml:space="preserve">Choice &amp; Rationale</w:t>
            </w:r>
          </w:p>
        </w:tc>
      </w:tr>
      <w:tr>
        <w:tc>
          <w:tcPr>
            <w:tcW w:type="dxa" w:w="2800"/>
            <w:shd w:fill="FFFFFF" w:color="auto" w:val="clear"/>
            <w:tcMar>
              <w:top w:type="dxa" w:w="80"/>
              <w:left w:type="dxa" w:w="100"/>
              <w:bottom w:type="dxa" w:w="80"/>
              <w:right w:type="dxa" w:w="100"/>
            </w:tcMar>
            <w:vAlign w:val="center"/>
          </w:tcPr>
          <w:p>
            <w:pPr>
              <w:jc w:val="left"/>
            </w:pPr>
            <w:r>
              <w:rPr>
                <w:b/>
                <w:bCs/>
                <w:sz w:val="20"/>
                <w:szCs w:val="20"/>
              </w:rPr>
              <w:t xml:space="preserve">Frontend</w:t>
            </w:r>
          </w:p>
        </w:tc>
        <w:tc>
          <w:tcPr>
            <w:tcW w:type="dxa" w:w="6550"/>
            <w:shd w:fill="FFFFFF" w:color="auto" w:val="clear"/>
            <w:tcMar>
              <w:top w:type="dxa" w:w="80"/>
              <w:left w:type="dxa" w:w="100"/>
              <w:bottom w:type="dxa" w:w="80"/>
              <w:right w:type="dxa" w:w="100"/>
            </w:tcMar>
            <w:vAlign w:val="center"/>
          </w:tcPr>
          <w:p>
            <w:pPr>
              <w:jc w:val="left"/>
            </w:pPr>
            <w:r>
              <w:rPr>
                <w:b w:val="false"/>
                <w:bCs w:val="false"/>
                <w:sz w:val="20"/>
                <w:szCs w:val="20"/>
              </w:rPr>
              <w:t xml:space="preserve">Next.js (React) + Tailwind CSS — dashboards, case review UI, rule configuration screens</w:t>
            </w:r>
          </w:p>
        </w:tc>
      </w:tr>
      <w:tr>
        <w:tc>
          <w:tcPr>
            <w:tcW w:type="dxa" w:w="2800"/>
            <w:shd w:fill="EAF1F2" w:color="auto" w:val="clear"/>
            <w:tcMar>
              <w:top w:type="dxa" w:w="80"/>
              <w:left w:type="dxa" w:w="100"/>
              <w:bottom w:type="dxa" w:w="80"/>
              <w:right w:type="dxa" w:w="100"/>
            </w:tcMar>
            <w:vAlign w:val="center"/>
          </w:tcPr>
          <w:p>
            <w:pPr>
              <w:jc w:val="left"/>
            </w:pPr>
            <w:r>
              <w:rPr>
                <w:b/>
                <w:bCs/>
                <w:sz w:val="20"/>
                <w:szCs w:val="20"/>
              </w:rPr>
              <w:t xml:space="preserve">Backend / API</w:t>
            </w:r>
          </w:p>
        </w:tc>
        <w:tc>
          <w:tcPr>
            <w:tcW w:type="dxa" w:w="6550"/>
            <w:shd w:fill="EAF1F2" w:color="auto" w:val="clear"/>
            <w:tcMar>
              <w:top w:type="dxa" w:w="80"/>
              <w:left w:type="dxa" w:w="100"/>
              <w:bottom w:type="dxa" w:w="80"/>
              <w:right w:type="dxa" w:w="100"/>
            </w:tcMar>
            <w:vAlign w:val="center"/>
          </w:tcPr>
          <w:p>
            <w:pPr>
              <w:jc w:val="left"/>
            </w:pPr>
            <w:r>
              <w:rPr>
                <w:b w:val="false"/>
                <w:bCs w:val="false"/>
                <w:sz w:val="20"/>
                <w:szCs w:val="20"/>
              </w:rPr>
              <w:t xml:space="preserve">Node.js (Express / Next.js API routes) for application logic; row-level security enforced at the database layer</w:t>
            </w:r>
          </w:p>
        </w:tc>
      </w:tr>
      <w:tr>
        <w:tc>
          <w:tcPr>
            <w:tcW w:type="dxa" w:w="2800"/>
            <w:shd w:fill="FFFFFF" w:color="auto" w:val="clear"/>
            <w:tcMar>
              <w:top w:type="dxa" w:w="80"/>
              <w:left w:type="dxa" w:w="100"/>
              <w:bottom w:type="dxa" w:w="80"/>
              <w:right w:type="dxa" w:w="100"/>
            </w:tcMar>
            <w:vAlign w:val="center"/>
          </w:tcPr>
          <w:p>
            <w:pPr>
              <w:jc w:val="left"/>
            </w:pPr>
            <w:r>
              <w:rPr>
                <w:b/>
                <w:bCs/>
                <w:sz w:val="20"/>
                <w:szCs w:val="20"/>
              </w:rPr>
              <w:t xml:space="preserve">Database</w:t>
            </w:r>
          </w:p>
        </w:tc>
        <w:tc>
          <w:tcPr>
            <w:tcW w:type="dxa" w:w="6550"/>
            <w:shd w:fill="FFFFFF" w:color="auto" w:val="clear"/>
            <w:tcMar>
              <w:top w:type="dxa" w:w="80"/>
              <w:left w:type="dxa" w:w="100"/>
              <w:bottom w:type="dxa" w:w="80"/>
              <w:right w:type="dxa" w:w="100"/>
            </w:tcMar>
            <w:vAlign w:val="center"/>
          </w:tcPr>
          <w:p>
            <w:pPr>
              <w:jc w:val="left"/>
            </w:pPr>
            <w:r>
              <w:rPr>
                <w:b w:val="false"/>
                <w:bCs w:val="false"/>
                <w:sz w:val="20"/>
                <w:szCs w:val="20"/>
              </w:rPr>
              <w:t xml:space="preserve">PostgreSQL with row-level security (RLS) policies per department/role; append-only audit table</w:t>
            </w:r>
          </w:p>
        </w:tc>
      </w:tr>
      <w:tr>
        <w:tc>
          <w:tcPr>
            <w:tcW w:type="dxa" w:w="2800"/>
            <w:shd w:fill="EAF1F2" w:color="auto" w:val="clear"/>
            <w:tcMar>
              <w:top w:type="dxa" w:w="80"/>
              <w:left w:type="dxa" w:w="100"/>
              <w:bottom w:type="dxa" w:w="80"/>
              <w:right w:type="dxa" w:w="100"/>
            </w:tcMar>
            <w:vAlign w:val="center"/>
          </w:tcPr>
          <w:p>
            <w:pPr>
              <w:jc w:val="left"/>
            </w:pPr>
            <w:r>
              <w:rPr>
                <w:b/>
                <w:bCs/>
                <w:sz w:val="20"/>
                <w:szCs w:val="20"/>
              </w:rPr>
              <w:t xml:space="preserve">Entity Resolution</w:t>
            </w:r>
          </w:p>
        </w:tc>
        <w:tc>
          <w:tcPr>
            <w:tcW w:type="dxa" w:w="6550"/>
            <w:shd w:fill="EAF1F2" w:color="auto" w:val="clear"/>
            <w:tcMar>
              <w:top w:type="dxa" w:w="80"/>
              <w:left w:type="dxa" w:w="100"/>
              <w:bottom w:type="dxa" w:w="80"/>
              <w:right w:type="dxa" w:w="100"/>
            </w:tcMar>
            <w:vAlign w:val="center"/>
          </w:tcPr>
          <w:p>
            <w:pPr>
              <w:jc w:val="left"/>
            </w:pPr>
            <w:r>
              <w:rPr>
                <w:b w:val="false"/>
                <w:bCs w:val="false"/>
                <w:sz w:val="20"/>
                <w:szCs w:val="20"/>
              </w:rPr>
              <w:t xml:space="preserve">Python microservice — RapidFuzz for fuzzy string matching, Bloom-filter / hashed-token comparison for privacy-preserving linkage, scikit-learn for match-score calibration</w:t>
            </w:r>
          </w:p>
        </w:tc>
      </w:tr>
      <w:tr>
        <w:tc>
          <w:tcPr>
            <w:tcW w:type="dxa" w:w="2800"/>
            <w:shd w:fill="FFFFFF" w:color="auto" w:val="clear"/>
            <w:tcMar>
              <w:top w:type="dxa" w:w="80"/>
              <w:left w:type="dxa" w:w="100"/>
              <w:bottom w:type="dxa" w:w="80"/>
              <w:right w:type="dxa" w:w="100"/>
            </w:tcMar>
            <w:vAlign w:val="center"/>
          </w:tcPr>
          <w:p>
            <w:pPr>
              <w:jc w:val="left"/>
            </w:pPr>
            <w:r>
              <w:rPr>
                <w:b/>
                <w:bCs/>
                <w:sz w:val="20"/>
                <w:szCs w:val="20"/>
              </w:rPr>
              <w:t xml:space="preserve">Rule Engine</w:t>
            </w:r>
          </w:p>
        </w:tc>
        <w:tc>
          <w:tcPr>
            <w:tcW w:type="dxa" w:w="6550"/>
            <w:shd w:fill="FFFFFF" w:color="auto" w:val="clear"/>
            <w:tcMar>
              <w:top w:type="dxa" w:w="80"/>
              <w:left w:type="dxa" w:w="100"/>
              <w:bottom w:type="dxa" w:w="80"/>
              <w:right w:type="dxa" w:w="100"/>
            </w:tcMar>
            <w:vAlign w:val="center"/>
          </w:tcPr>
          <w:p>
            <w:pPr>
              <w:jc w:val="left"/>
            </w:pPr>
            <w:r>
              <w:rPr>
                <w:b w:val="false"/>
                <w:bCs w:val="false"/>
                <w:sz w:val="20"/>
                <w:szCs w:val="20"/>
              </w:rPr>
              <w:t xml:space="preserve">Declarative JSON/YAML rule definitions evaluated by a lightweight, versioned rules service — auditable and hot-reloadable without redeploying the platform</w:t>
            </w:r>
          </w:p>
        </w:tc>
      </w:tr>
      <w:tr>
        <w:tc>
          <w:tcPr>
            <w:tcW w:type="dxa" w:w="2800"/>
            <w:shd w:fill="EAF1F2" w:color="auto" w:val="clear"/>
            <w:tcMar>
              <w:top w:type="dxa" w:w="80"/>
              <w:left w:type="dxa" w:w="100"/>
              <w:bottom w:type="dxa" w:w="80"/>
              <w:right w:type="dxa" w:w="100"/>
            </w:tcMar>
            <w:vAlign w:val="center"/>
          </w:tcPr>
          <w:p>
            <w:pPr>
              <w:jc w:val="left"/>
            </w:pPr>
            <w:r>
              <w:rPr>
                <w:b/>
                <w:bCs/>
                <w:sz w:val="20"/>
                <w:szCs w:val="20"/>
              </w:rPr>
              <w:t xml:space="preserve">Explanation Layer (optional, scoped)</w:t>
            </w:r>
          </w:p>
        </w:tc>
        <w:tc>
          <w:tcPr>
            <w:tcW w:type="dxa" w:w="6550"/>
            <w:shd w:fill="EAF1F2" w:color="auto" w:val="clear"/>
            <w:tcMar>
              <w:top w:type="dxa" w:w="80"/>
              <w:left w:type="dxa" w:w="100"/>
              <w:bottom w:type="dxa" w:w="80"/>
              <w:right w:type="dxa" w:w="100"/>
            </w:tcMar>
            <w:vAlign w:val="center"/>
          </w:tcPr>
          <w:p>
            <w:pPr>
              <w:jc w:val="left"/>
            </w:pPr>
            <w:r>
              <w:rPr>
                <w:b w:val="false"/>
                <w:bCs w:val="false"/>
                <w:sz w:val="20"/>
                <w:szCs w:val="20"/>
              </w:rPr>
              <w:t xml:space="preserve">LLM API called only on already-computed, already-authorised results to phrase a plain-language summary for the officer — never used for matching, scoring or eligibility decisions</w:t>
            </w:r>
          </w:p>
        </w:tc>
      </w:tr>
      <w:tr>
        <w:tc>
          <w:tcPr>
            <w:tcW w:type="dxa" w:w="2800"/>
            <w:shd w:fill="FFFFFF" w:color="auto" w:val="clear"/>
            <w:tcMar>
              <w:top w:type="dxa" w:w="80"/>
              <w:left w:type="dxa" w:w="100"/>
              <w:bottom w:type="dxa" w:w="80"/>
              <w:right w:type="dxa" w:w="100"/>
            </w:tcMar>
            <w:vAlign w:val="center"/>
          </w:tcPr>
          <w:p>
            <w:pPr>
              <w:jc w:val="left"/>
            </w:pPr>
            <w:r>
              <w:rPr>
                <w:b/>
                <w:bCs/>
                <w:sz w:val="20"/>
                <w:szCs w:val="20"/>
              </w:rPr>
              <w:t xml:space="preserve">Infrastructure</w:t>
            </w:r>
          </w:p>
        </w:tc>
        <w:tc>
          <w:tcPr>
            <w:tcW w:type="dxa" w:w="6550"/>
            <w:shd w:fill="FFFFFF" w:color="auto" w:val="clear"/>
            <w:tcMar>
              <w:top w:type="dxa" w:w="80"/>
              <w:left w:type="dxa" w:w="100"/>
              <w:bottom w:type="dxa" w:w="80"/>
              <w:right w:type="dxa" w:w="100"/>
            </w:tcMar>
            <w:vAlign w:val="center"/>
          </w:tcPr>
          <w:p>
            <w:pPr>
              <w:jc w:val="left"/>
            </w:pPr>
            <w:r>
              <w:rPr>
                <w:b w:val="false"/>
                <w:bCs w:val="false"/>
                <w:sz w:val="20"/>
                <w:szCs w:val="20"/>
              </w:rPr>
              <w:t xml:space="preserve">In-region hosting, containerised services, no third-party data egress for identifying fields; synthetic data used for all demonstration and testing</w:t>
            </w:r>
          </w:p>
        </w:tc>
      </w:tr>
    </w:tbl>
    <w:p>
      <w:pPr>
        <w:spacing w:after="200"/>
      </w:pPr>
    </w:p>
    <w:p>
      <w:pPr>
        <w:spacing w:after="160"/>
      </w:pPr>
      <w:r>
        <w:rPr>
          <w:i/>
          <w:iCs/>
          <w:color w:val="595959"/>
        </w:rPr>
        <w:t xml:space="preserve">Generative AI is deliberately confined to explanation, not decision-making. Matching is Bloom-filter / fuzzy-score based and eligibility is rule-based, so every output remains deterministic and reproducible — an auditor re-running the same input always gets the same result, which a citizen-entitlement system needs and a raw LLM cannot reliably guarantee.</w:t>
      </w:r>
    </w:p>
    <w:p>
      <w:pPr>
        <w:pStyle w:val="Heading1"/>
        <w:spacing w:after="140" w:before="280"/>
      </w:pPr>
      <w:r>
        <w:t xml:space="preserve">9. Implementation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4E5C" w:color="auto" w:val="clear"/>
            <w:tcMar>
              <w:top w:type="dxa" w:w="80"/>
              <w:left w:type="dxa" w:w="100"/>
              <w:bottom w:type="dxa" w:w="80"/>
              <w:right w:type="dxa" w:w="100"/>
            </w:tcMar>
            <w:vAlign w:val="center"/>
          </w:tcPr>
          <w:p>
            <w:pPr>
              <w:jc w:val="left"/>
            </w:pPr>
            <w:r>
              <w:rPr>
                <w:b/>
                <w:bCs/>
                <w:color w:val="FFFFFF"/>
                <w:sz w:val="20"/>
                <w:szCs w:val="20"/>
              </w:rPr>
              <w:t xml:space="preserve">Phase</w:t>
            </w:r>
          </w:p>
        </w:tc>
        <w:tc>
          <w:tcPr>
            <w:tcW w:type="dxa" w:w="6150"/>
            <w:shd w:fill="1F4E5C" w:color="auto" w:val="clear"/>
            <w:tcMar>
              <w:top w:type="dxa" w:w="80"/>
              <w:left w:type="dxa" w:w="100"/>
              <w:bottom w:type="dxa" w:w="80"/>
              <w:right w:type="dxa" w:w="100"/>
            </w:tcMar>
            <w:vAlign w:val="center"/>
          </w:tcPr>
          <w:p>
            <w:pPr>
              <w:jc w:val="left"/>
            </w:pPr>
            <w:r>
              <w:rPr>
                <w:b/>
                <w:bCs/>
                <w:color w:val="FFFFFF"/>
                <w:sz w:val="20"/>
                <w:szCs w:val="20"/>
              </w:rPr>
              <w:t xml:space="preserve">Deliverables</w:t>
            </w:r>
          </w:p>
        </w:tc>
      </w:tr>
      <w:tr>
        <w:tc>
          <w:tcPr>
            <w:tcW w:type="dxa" w:w="3200"/>
            <w:shd w:fill="FFFFFF" w:color="auto" w:val="clear"/>
            <w:tcMar>
              <w:top w:type="dxa" w:w="80"/>
              <w:left w:type="dxa" w:w="100"/>
              <w:bottom w:type="dxa" w:w="80"/>
              <w:right w:type="dxa" w:w="100"/>
            </w:tcMar>
            <w:vAlign w:val="center"/>
          </w:tcPr>
          <w:p>
            <w:pPr>
              <w:jc w:val="left"/>
            </w:pPr>
            <w:r>
              <w:rPr>
                <w:b/>
                <w:bCs/>
                <w:sz w:val="20"/>
                <w:szCs w:val="20"/>
              </w:rPr>
              <w:t xml:space="preserve">Phase 1 — Foundation (Weeks 1–2)</w:t>
            </w:r>
          </w:p>
        </w:tc>
        <w:tc>
          <w:tcPr>
            <w:tcW w:type="dxa" w:w="6150"/>
            <w:shd w:fill="FFFFFF" w:color="auto" w:val="clear"/>
            <w:tcMar>
              <w:top w:type="dxa" w:w="80"/>
              <w:left w:type="dxa" w:w="100"/>
              <w:bottom w:type="dxa" w:w="80"/>
              <w:right w:type="dxa" w:w="100"/>
            </w:tcMar>
            <w:vAlign w:val="center"/>
          </w:tcPr>
          <w:p>
            <w:pPr>
              <w:jc w:val="left"/>
            </w:pPr>
            <w:r>
              <w:rPr>
                <w:b w:val="false"/>
                <w:bCs w:val="false"/>
                <w:sz w:val="20"/>
                <w:szCs w:val="20"/>
              </w:rPr>
              <w:t xml:space="preserve">Schema mapping for Social Welfare, Housing, Agriculture and Rural Development; synthetic dataset generation; ingestion and normalisation pipeline</w:t>
            </w:r>
          </w:p>
        </w:tc>
      </w:tr>
      <w:tr>
        <w:tc>
          <w:tcPr>
            <w:tcW w:type="dxa" w:w="3200"/>
            <w:shd w:fill="EAF1F2" w:color="auto" w:val="clear"/>
            <w:tcMar>
              <w:top w:type="dxa" w:w="80"/>
              <w:left w:type="dxa" w:w="100"/>
              <w:bottom w:type="dxa" w:w="80"/>
              <w:right w:type="dxa" w:w="100"/>
            </w:tcMar>
            <w:vAlign w:val="center"/>
          </w:tcPr>
          <w:p>
            <w:pPr>
              <w:jc w:val="left"/>
            </w:pPr>
            <w:r>
              <w:rPr>
                <w:b/>
                <w:bCs/>
                <w:sz w:val="20"/>
                <w:szCs w:val="20"/>
              </w:rPr>
              <w:t xml:space="preserve">Phase 2 — Linkage &amp; Rules (Weeks 3–4)</w:t>
            </w:r>
          </w:p>
        </w:tc>
        <w:tc>
          <w:tcPr>
            <w:tcW w:type="dxa" w:w="6150"/>
            <w:shd w:fill="EAF1F2" w:color="auto" w:val="clear"/>
            <w:tcMar>
              <w:top w:type="dxa" w:w="80"/>
              <w:left w:type="dxa" w:w="100"/>
              <w:bottom w:type="dxa" w:w="80"/>
              <w:right w:type="dxa" w:w="100"/>
            </w:tcMar>
            <w:vAlign w:val="center"/>
          </w:tcPr>
          <w:p>
            <w:pPr>
              <w:jc w:val="left"/>
            </w:pPr>
            <w:r>
              <w:rPr>
                <w:b w:val="false"/>
                <w:bCs w:val="false"/>
                <w:sz w:val="20"/>
                <w:szCs w:val="20"/>
              </w:rPr>
              <w:t xml:space="preserve">Blinded identity resolution; duplicate/integrity scoring; declarative rule engine for 2–3 pilot schemes</w:t>
            </w:r>
          </w:p>
        </w:tc>
      </w:tr>
      <w:tr>
        <w:tc>
          <w:tcPr>
            <w:tcW w:type="dxa" w:w="3200"/>
            <w:shd w:fill="FFFFFF" w:color="auto" w:val="clear"/>
            <w:tcMar>
              <w:top w:type="dxa" w:w="80"/>
              <w:left w:type="dxa" w:w="100"/>
              <w:bottom w:type="dxa" w:w="80"/>
              <w:right w:type="dxa" w:w="100"/>
            </w:tcMar>
            <w:vAlign w:val="center"/>
          </w:tcPr>
          <w:p>
            <w:pPr>
              <w:jc w:val="left"/>
            </w:pPr>
            <w:r>
              <w:rPr>
                <w:b/>
                <w:bCs/>
                <w:sz w:val="20"/>
                <w:szCs w:val="20"/>
              </w:rPr>
              <w:t xml:space="preserve">Phase 3 — Governance Layer (Weeks 5–6)</w:t>
            </w:r>
          </w:p>
        </w:tc>
        <w:tc>
          <w:tcPr>
            <w:tcW w:type="dxa" w:w="6150"/>
            <w:shd w:fill="FFFFFF" w:color="auto" w:val="clear"/>
            <w:tcMar>
              <w:top w:type="dxa" w:w="80"/>
              <w:left w:type="dxa" w:w="100"/>
              <w:bottom w:type="dxa" w:w="80"/>
              <w:right w:type="dxa" w:w="100"/>
            </w:tcMar>
            <w:vAlign w:val="center"/>
          </w:tcPr>
          <w:p>
            <w:pPr>
              <w:jc w:val="left"/>
            </w:pPr>
            <w:r>
              <w:rPr>
                <w:b w:val="false"/>
                <w:bCs w:val="false"/>
                <w:sz w:val="20"/>
                <w:szCs w:val="20"/>
              </w:rPr>
              <w:t xml:space="preserve">Row-level security, masking, unmask-with-justification flow, append-only audit logging</w:t>
            </w:r>
          </w:p>
        </w:tc>
      </w:tr>
      <w:tr>
        <w:tc>
          <w:tcPr>
            <w:tcW w:type="dxa" w:w="3200"/>
            <w:shd w:fill="EAF1F2" w:color="auto" w:val="clear"/>
            <w:tcMar>
              <w:top w:type="dxa" w:w="80"/>
              <w:left w:type="dxa" w:w="100"/>
              <w:bottom w:type="dxa" w:w="80"/>
              <w:right w:type="dxa" w:w="100"/>
            </w:tcMar>
            <w:vAlign w:val="center"/>
          </w:tcPr>
          <w:p>
            <w:pPr>
              <w:jc w:val="left"/>
            </w:pPr>
            <w:r>
              <w:rPr>
                <w:b/>
                <w:bCs/>
                <w:sz w:val="20"/>
                <w:szCs w:val="20"/>
              </w:rPr>
              <w:t xml:space="preserve">Phase 4 — Dashboards &amp; Explanation (Weeks 7–8)</w:t>
            </w:r>
          </w:p>
        </w:tc>
        <w:tc>
          <w:tcPr>
            <w:tcW w:type="dxa" w:w="6150"/>
            <w:shd w:fill="EAF1F2" w:color="auto" w:val="clear"/>
            <w:tcMar>
              <w:top w:type="dxa" w:w="80"/>
              <w:left w:type="dxa" w:w="100"/>
              <w:bottom w:type="dxa" w:w="80"/>
              <w:right w:type="dxa" w:w="100"/>
            </w:tcMar>
            <w:vAlign w:val="center"/>
          </w:tcPr>
          <w:p>
            <w:pPr>
              <w:jc w:val="left"/>
            </w:pPr>
            <w:r>
              <w:rPr>
                <w:b w:val="false"/>
                <w:bCs w:val="false"/>
                <w:sz w:val="20"/>
                <w:szCs w:val="20"/>
              </w:rPr>
              <w:t xml:space="preserve">Role-based dashboards per department; aggregate view with cell-size suppression; scoped explanation layer</w:t>
            </w:r>
          </w:p>
        </w:tc>
      </w:tr>
      <w:tr>
        <w:tc>
          <w:tcPr>
            <w:tcW w:type="dxa" w:w="3200"/>
            <w:shd w:fill="FFFFFF" w:color="auto" w:val="clear"/>
            <w:tcMar>
              <w:top w:type="dxa" w:w="80"/>
              <w:left w:type="dxa" w:w="100"/>
              <w:bottom w:type="dxa" w:w="80"/>
              <w:right w:type="dxa" w:w="100"/>
            </w:tcMar>
            <w:vAlign w:val="center"/>
          </w:tcPr>
          <w:p>
            <w:pPr>
              <w:jc w:val="left"/>
            </w:pPr>
            <w:r>
              <w:rPr>
                <w:b/>
                <w:bCs/>
                <w:sz w:val="20"/>
                <w:szCs w:val="20"/>
              </w:rPr>
              <w:t xml:space="preserve">Phase 5 — Pilot &amp; Validation (Weeks 9–12)</w:t>
            </w:r>
          </w:p>
        </w:tc>
        <w:tc>
          <w:tcPr>
            <w:tcW w:type="dxa" w:w="6150"/>
            <w:shd w:fill="FFFFFF" w:color="auto" w:val="clear"/>
            <w:tcMar>
              <w:top w:type="dxa" w:w="80"/>
              <w:left w:type="dxa" w:w="100"/>
              <w:bottom w:type="dxa" w:w="80"/>
              <w:right w:type="dxa" w:w="100"/>
            </w:tcMar>
            <w:vAlign w:val="center"/>
          </w:tcPr>
          <w:p>
            <w:pPr>
              <w:jc w:val="left"/>
            </w:pPr>
            <w:r>
              <w:rPr>
                <w:b w:val="false"/>
                <w:bCs w:val="false"/>
                <w:sz w:val="20"/>
                <w:szCs w:val="20"/>
              </w:rPr>
              <w:t xml:space="preserve">Controlled pilot with two departments on synthetic-then-sandboxed data; precision/recall measurement against known ground truth; officer feedback loop</w:t>
            </w:r>
          </w:p>
        </w:tc>
      </w:tr>
    </w:tbl>
    <w:p>
      <w:pPr>
        <w:pStyle w:val="Heading1"/>
        <w:spacing w:after="140" w:before="280"/>
      </w:pPr>
      <w:r>
        <w:t xml:space="preserve">10. Validation &amp; Success Metrics</w:t>
      </w:r>
    </w:p>
    <w:p>
      <w:pPr>
        <w:spacing w:after="160"/>
      </w:pPr>
      <w:r>
        <w:t xml:space="preserve">The prototype will be validated on a synthetic population with realistic distortion (misspellings, inconsistent transliteration, incomplete addresses, date-format variance) and a planted ground truth, so linkage accuracy can be measured directly rather than asserted:</w:t>
      </w:r>
    </w:p>
    <w:p>
      <w:pPr>
        <w:pStyle w:val="ListParagraph"/>
        <w:numPr>
          <w:ilvl w:val="0"/>
          <w:numId w:val="1"/>
        </w:numPr>
        <w:spacing w:after="80"/>
      </w:pPr>
      <w:r>
        <w:t xml:space="preserve">Linkage precision and recall against planted ground-truth matches</w:t>
      </w:r>
    </w:p>
    <w:p>
      <w:pPr>
        <w:pStyle w:val="ListParagraph"/>
        <w:numPr>
          <w:ilvl w:val="0"/>
          <w:numId w:val="1"/>
        </w:numPr>
        <w:spacing w:after="80"/>
      </w:pPr>
      <w:r>
        <w:t xml:space="preserve">Exclusion-list precision: proportion of flagged “likely eligible, not enrolled” citizens confirmed eligible on manual review</w:t>
      </w:r>
    </w:p>
    <w:p>
      <w:pPr>
        <w:pStyle w:val="ListParagraph"/>
        <w:numPr>
          <w:ilvl w:val="0"/>
          <w:numId w:val="1"/>
        </w:numPr>
        <w:spacing w:after="80"/>
      </w:pPr>
      <w:r>
        <w:t xml:space="preserve">Access-control correctness: identical queries run under different officer roles must return correctly different result sets, with every denial logged</w:t>
      </w:r>
    </w:p>
    <w:p>
      <w:pPr>
        <w:pStyle w:val="ListParagraph"/>
        <w:numPr>
          <w:ilvl w:val="0"/>
          <w:numId w:val="1"/>
        </w:numPr>
        <w:spacing w:after="80"/>
      </w:pPr>
      <w:r>
        <w:t xml:space="preserve">Audit completeness: every unmask and export action traceable to a specific officer, case and justification</w:t>
      </w:r>
    </w:p>
    <w:p>
      <w:pPr>
        <w:pStyle w:val="ListParagraph"/>
        <w:numPr>
          <w:ilvl w:val="0"/>
          <w:numId w:val="1"/>
        </w:numPr>
        <w:spacing w:after="80"/>
      </w:pPr>
      <w:r>
        <w:t xml:space="preserve">No live citizen data used at any stage of development or demonstration</w:t>
      </w:r>
    </w:p>
    <w:p>
      <w:pPr>
        <w:pStyle w:val="Heading1"/>
        <w:spacing w:after="140" w:before="280"/>
      </w:pPr>
      <w:r>
        <w:t xml:space="preserve">11. Risk Mitigation &amp; Ethical Safeguards</w:t>
      </w:r>
    </w:p>
    <w:p>
      <w:pPr>
        <w:pStyle w:val="ListParagraph"/>
        <w:numPr>
          <w:ilvl w:val="0"/>
          <w:numId w:val="1"/>
        </w:numPr>
        <w:spacing w:after="80"/>
      </w:pPr>
      <w:r>
        <w:t xml:space="preserve">Human-in-the-loop enforcement: no automated enrolment, deregistration, or benefit change — every output is a recommendation for officer verification.</w:t>
      </w:r>
    </w:p>
    <w:p>
      <w:pPr>
        <w:pStyle w:val="ListParagraph"/>
        <w:numPr>
          <w:ilvl w:val="0"/>
          <w:numId w:val="1"/>
        </w:numPr>
        <w:spacing w:after="80"/>
      </w:pPr>
      <w:r>
        <w:t xml:space="preserve">Bias review of rule weighting: any vulnerability-based prioritisation in the exclusion engine is reviewed by the department before deployment, and is fully visible/auditable since it is declarative, not learned.</w:t>
      </w:r>
    </w:p>
    <w:p>
      <w:pPr>
        <w:pStyle w:val="ListParagraph"/>
        <w:numPr>
          <w:ilvl w:val="0"/>
          <w:numId w:val="1"/>
        </w:numPr>
        <w:spacing w:after="80"/>
      </w:pPr>
      <w:r>
        <w:t xml:space="preserve">Data minimisation by default: DRISHTI stores resolved links, scores and audit trails — not a duplicate mirror of every department's full database.</w:t>
      </w:r>
    </w:p>
    <w:p>
      <w:pPr>
        <w:pStyle w:val="ListParagraph"/>
        <w:numPr>
          <w:ilvl w:val="0"/>
          <w:numId w:val="1"/>
        </w:numPr>
        <w:spacing w:after="80"/>
      </w:pPr>
      <w:r>
        <w:t xml:space="preserve">Graceful degradation: if the explanation layer (LLM) is unavailable, the platform continues to function on rules and scores alone — the explanation layer is a convenience, never a dependency.</w:t>
      </w:r>
    </w:p>
    <w:p>
      <w:pPr>
        <w:pStyle w:val="ListParagraph"/>
        <w:numPr>
          <w:ilvl w:val="0"/>
          <w:numId w:val="1"/>
        </w:numPr>
        <w:spacing w:after="80"/>
      </w:pPr>
      <w:r>
        <w:t xml:space="preserve">Grievance &amp; correction path: a citizen or officer can contest a flagged duplicate or a missed exclusion, with the correction logged and fed back to improve matching thresholds over time.</w:t>
      </w:r>
    </w:p>
    <w:p>
      <w:pPr>
        <w:pStyle w:val="Heading1"/>
        <w:spacing w:after="140" w:before="280"/>
      </w:pPr>
      <w:r>
        <w:t xml:space="preserve">12. Expected Outcomes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F4E5C" w:color="auto" w:val="clear"/>
            <w:tcMar>
              <w:top w:type="dxa" w:w="80"/>
              <w:left w:type="dxa" w:w="100"/>
              <w:bottom w:type="dxa" w:w="80"/>
              <w:right w:type="dxa" w:w="100"/>
            </w:tcMar>
            <w:vAlign w:val="center"/>
          </w:tcPr>
          <w:p>
            <w:pPr>
              <w:jc w:val="left"/>
            </w:pPr>
            <w:r>
              <w:rPr>
                <w:b/>
                <w:bCs/>
                <w:color w:val="FFFFFF"/>
                <w:sz w:val="20"/>
                <w:szCs w:val="20"/>
              </w:rPr>
              <w:t xml:space="preserve">Brief's Expected Outcome</w:t>
            </w:r>
          </w:p>
        </w:tc>
        <w:tc>
          <w:tcPr>
            <w:tcW w:type="dxa" w:w="5750"/>
            <w:shd w:fill="1F4E5C" w:color="auto" w:val="clear"/>
            <w:tcMar>
              <w:top w:type="dxa" w:w="80"/>
              <w:left w:type="dxa" w:w="100"/>
              <w:bottom w:type="dxa" w:w="80"/>
              <w:right w:type="dxa" w:w="100"/>
            </w:tcMar>
            <w:vAlign w:val="center"/>
          </w:tcPr>
          <w:p>
            <w:pPr>
              <w:jc w:val="left"/>
            </w:pPr>
            <w:r>
              <w:rPr>
                <w:b/>
                <w:bCs/>
                <w:color w:val="FFFFFF"/>
                <w:sz w:val="20"/>
                <w:szCs w:val="20"/>
              </w:rPr>
              <w:t xml:space="preserve">How DRISHTI Achieves It</w:t>
            </w:r>
          </w:p>
        </w:tc>
      </w:tr>
      <w:tr>
        <w:tc>
          <w:tcPr>
            <w:tcW w:type="dxa" w:w="3600"/>
            <w:shd w:fill="FFFFFF" w:color="auto" w:val="clear"/>
            <w:tcMar>
              <w:top w:type="dxa" w:w="80"/>
              <w:left w:type="dxa" w:w="100"/>
              <w:bottom w:type="dxa" w:w="80"/>
              <w:right w:type="dxa" w:w="100"/>
            </w:tcMar>
            <w:vAlign w:val="center"/>
          </w:tcPr>
          <w:p>
            <w:pPr>
              <w:jc w:val="left"/>
            </w:pPr>
            <w:r>
              <w:rPr>
                <w:b/>
                <w:bCs/>
                <w:sz w:val="20"/>
                <w:szCs w:val="20"/>
              </w:rPr>
              <w:t xml:space="preserve">Better targeting of welfare schemes</w:t>
            </w:r>
          </w:p>
        </w:tc>
        <w:tc>
          <w:tcPr>
            <w:tcW w:type="dxa" w:w="5750"/>
            <w:shd w:fill="FFFFFF" w:color="auto" w:val="clear"/>
            <w:tcMar>
              <w:top w:type="dxa" w:w="80"/>
              <w:left w:type="dxa" w:w="100"/>
              <w:bottom w:type="dxa" w:w="80"/>
              <w:right w:type="dxa" w:w="100"/>
            </w:tcMar>
            <w:vAlign w:val="center"/>
          </w:tcPr>
          <w:p>
            <w:pPr>
              <w:jc w:val="left"/>
            </w:pPr>
            <w:r>
              <w:rPr>
                <w:b w:val="false"/>
                <w:bCs w:val="false"/>
                <w:sz w:val="20"/>
                <w:szCs w:val="20"/>
              </w:rPr>
              <w:t xml:space="preserve">Ranked, evidence-backed exclusion lists let officers proactively enrol eligible citizens instead of waiting for applications.</w:t>
            </w:r>
          </w:p>
        </w:tc>
      </w:tr>
      <w:tr>
        <w:tc>
          <w:tcPr>
            <w:tcW w:type="dxa" w:w="3600"/>
            <w:shd w:fill="EAF1F2" w:color="auto" w:val="clear"/>
            <w:tcMar>
              <w:top w:type="dxa" w:w="80"/>
              <w:left w:type="dxa" w:w="100"/>
              <w:bottom w:type="dxa" w:w="80"/>
              <w:right w:type="dxa" w:w="100"/>
            </w:tcMar>
            <w:vAlign w:val="center"/>
          </w:tcPr>
          <w:p>
            <w:pPr>
              <w:jc w:val="left"/>
            </w:pPr>
            <w:r>
              <w:rPr>
                <w:b/>
                <w:bCs/>
                <w:sz w:val="20"/>
                <w:szCs w:val="20"/>
              </w:rPr>
              <w:t xml:space="preserve">Reduced leakages and duplicate benefits</w:t>
            </w:r>
          </w:p>
        </w:tc>
        <w:tc>
          <w:tcPr>
            <w:tcW w:type="dxa" w:w="5750"/>
            <w:shd w:fill="EAF1F2" w:color="auto" w:val="clear"/>
            <w:tcMar>
              <w:top w:type="dxa" w:w="80"/>
              <w:left w:type="dxa" w:w="100"/>
              <w:bottom w:type="dxa" w:w="80"/>
              <w:right w:type="dxa" w:w="100"/>
            </w:tcMar>
            <w:vAlign w:val="center"/>
          </w:tcPr>
          <w:p>
            <w:pPr>
              <w:jc w:val="left"/>
            </w:pPr>
            <w:r>
              <w:rPr>
                <w:b w:val="false"/>
                <w:bCs w:val="false"/>
                <w:sz w:val="20"/>
                <w:szCs w:val="20"/>
              </w:rPr>
              <w:t xml:space="preserve">Cross-department duplicate/integrity detection surfaces inconsistent claims for review with full matching evidence.</w:t>
            </w:r>
          </w:p>
        </w:tc>
      </w:tr>
      <w:tr>
        <w:tc>
          <w:tcPr>
            <w:tcW w:type="dxa" w:w="3600"/>
            <w:shd w:fill="FFFFFF" w:color="auto" w:val="clear"/>
            <w:tcMar>
              <w:top w:type="dxa" w:w="80"/>
              <w:left w:type="dxa" w:w="100"/>
              <w:bottom w:type="dxa" w:w="80"/>
              <w:right w:type="dxa" w:w="100"/>
            </w:tcMar>
            <w:vAlign w:val="center"/>
          </w:tcPr>
          <w:p>
            <w:pPr>
              <w:jc w:val="left"/>
            </w:pPr>
            <w:r>
              <w:rPr>
                <w:b/>
                <w:bCs/>
                <w:sz w:val="20"/>
                <w:szCs w:val="20"/>
              </w:rPr>
              <w:t xml:space="preserve">Increased transparency</w:t>
            </w:r>
          </w:p>
        </w:tc>
        <w:tc>
          <w:tcPr>
            <w:tcW w:type="dxa" w:w="5750"/>
            <w:shd w:fill="FFFFFF" w:color="auto" w:val="clear"/>
            <w:tcMar>
              <w:top w:type="dxa" w:w="80"/>
              <w:left w:type="dxa" w:w="100"/>
              <w:bottom w:type="dxa" w:w="80"/>
              <w:right w:type="dxa" w:w="100"/>
            </w:tcMar>
            <w:vAlign w:val="center"/>
          </w:tcPr>
          <w:p>
            <w:pPr>
              <w:jc w:val="left"/>
            </w:pPr>
            <w:r>
              <w:rPr>
                <w:b w:val="false"/>
                <w:bCs w:val="false"/>
                <w:sz w:val="20"/>
                <w:szCs w:val="20"/>
              </w:rPr>
              <w:t xml:space="preserve">Every match, overlap and exclusion flag carries a plain-language, rule-based trace; every data access is logged and auditable.</w:t>
            </w:r>
          </w:p>
        </w:tc>
      </w:tr>
      <w:tr>
        <w:tc>
          <w:tcPr>
            <w:tcW w:type="dxa" w:w="3600"/>
            <w:shd w:fill="EAF1F2" w:color="auto" w:val="clear"/>
            <w:tcMar>
              <w:top w:type="dxa" w:w="80"/>
              <w:left w:type="dxa" w:w="100"/>
              <w:bottom w:type="dxa" w:w="80"/>
              <w:right w:type="dxa" w:w="100"/>
            </w:tcMar>
            <w:vAlign w:val="center"/>
          </w:tcPr>
          <w:p>
            <w:pPr>
              <w:jc w:val="left"/>
            </w:pPr>
            <w:r>
              <w:rPr>
                <w:b/>
                <w:bCs/>
                <w:sz w:val="20"/>
                <w:szCs w:val="20"/>
              </w:rPr>
              <w:t xml:space="preserve">Improved evidence-based policy planning</w:t>
            </w:r>
          </w:p>
        </w:tc>
        <w:tc>
          <w:tcPr>
            <w:tcW w:type="dxa" w:w="5750"/>
            <w:shd w:fill="EAF1F2" w:color="auto" w:val="clear"/>
            <w:tcMar>
              <w:top w:type="dxa" w:w="80"/>
              <w:left w:type="dxa" w:w="100"/>
              <w:bottom w:type="dxa" w:w="80"/>
              <w:right w:type="dxa" w:w="100"/>
            </w:tcMar>
            <w:vAlign w:val="center"/>
          </w:tcPr>
          <w:p>
            <w:pPr>
              <w:jc w:val="left"/>
            </w:pPr>
            <w:r>
              <w:rPr>
                <w:b w:val="false"/>
                <w:bCs w:val="false"/>
                <w:sz w:val="20"/>
                <w:szCs w:val="20"/>
              </w:rPr>
              <w:t xml:space="preserve">Aggregate, privacy-preserving dashboards give planners scheme overlap, coverage gaps and concentration data without exposing individual records.</w:t>
            </w:r>
          </w:p>
        </w:tc>
      </w:tr>
    </w:tbl>
    <w:p>
      <w:pPr>
        <w:pStyle w:val="Heading1"/>
        <w:spacing w:after="140" w:before="280"/>
      </w:pPr>
      <w:r>
        <w:t xml:space="preserve">13. Team &amp; Roles</w:t>
      </w:r>
    </w:p>
    <w:p>
      <w:pPr>
        <w:spacing w:after="160"/>
      </w:pPr>
      <w:r>
        <w:rPr>
          <w:i/>
          <w:iCs/>
          <w:color w:val="595959"/>
        </w:rPr>
        <w:t xml:space="preserve">[ Replace the placeholders below with your team's details. A 2–4 person team can cover these roles by combining two or more per person.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0"/>
      </w:tblGrid>
      <w:tr>
        <w:trPr>
          <w:tblHeader/>
        </w:trPr>
        <w:tc>
          <w:tcPr>
            <w:tcW w:type="dxa" w:w="2600"/>
            <w:shd w:fill="1F4E5C" w:color="auto" w:val="clear"/>
            <w:tcMar>
              <w:top w:type="dxa" w:w="80"/>
              <w:left w:type="dxa" w:w="100"/>
              <w:bottom w:type="dxa" w:w="80"/>
              <w:right w:type="dxa" w:w="100"/>
            </w:tcMar>
            <w:vAlign w:val="center"/>
          </w:tcPr>
          <w:p>
            <w:pPr>
              <w:jc w:val="left"/>
            </w:pPr>
            <w:r>
              <w:rPr>
                <w:b/>
                <w:bCs/>
                <w:color w:val="FFFFFF"/>
                <w:sz w:val="20"/>
                <w:szCs w:val="20"/>
              </w:rPr>
              <w:t xml:space="preserve">Name</w:t>
            </w:r>
          </w:p>
        </w:tc>
        <w:tc>
          <w:tcPr>
            <w:tcW w:type="dxa" w:w="3200"/>
            <w:shd w:fill="1F4E5C" w:color="auto" w:val="clear"/>
            <w:tcMar>
              <w:top w:type="dxa" w:w="80"/>
              <w:left w:type="dxa" w:w="100"/>
              <w:bottom w:type="dxa" w:w="80"/>
              <w:right w:type="dxa" w:w="100"/>
            </w:tcMar>
            <w:vAlign w:val="center"/>
          </w:tcPr>
          <w:p>
            <w:pPr>
              <w:jc w:val="left"/>
            </w:pPr>
            <w:r>
              <w:rPr>
                <w:b/>
                <w:bCs/>
                <w:color w:val="FFFFFF"/>
                <w:sz w:val="20"/>
                <w:szCs w:val="20"/>
              </w:rPr>
              <w:t xml:space="preserve">Role</w:t>
            </w:r>
          </w:p>
        </w:tc>
        <w:tc>
          <w:tcPr>
            <w:tcW w:type="dxa" w:w="3550"/>
            <w:shd w:fill="1F4E5C" w:color="auto" w:val="clear"/>
            <w:tcMar>
              <w:top w:type="dxa" w:w="80"/>
              <w:left w:type="dxa" w:w="100"/>
              <w:bottom w:type="dxa" w:w="80"/>
              <w:right w:type="dxa" w:w="100"/>
            </w:tcMar>
            <w:vAlign w:val="center"/>
          </w:tcPr>
          <w:p>
            <w:pPr>
              <w:jc w:val="left"/>
            </w:pPr>
            <w:r>
              <w:rPr>
                <w:b/>
                <w:bCs/>
                <w:color w:val="FFFFFF"/>
                <w:sz w:val="20"/>
                <w:szCs w:val="20"/>
              </w:rPr>
              <w:t xml:space="preserve">Focus Area</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 Name 1 ]</w:t>
            </w:r>
          </w:p>
        </w:tc>
        <w:tc>
          <w:tcPr>
            <w:tcW w:type="dxa" w:w="3200"/>
            <w:tcMar>
              <w:top w:type="dxa" w:w="80"/>
              <w:left w:type="dxa" w:w="100"/>
              <w:bottom w:type="dxa" w:w="80"/>
              <w:right w:type="dxa" w:w="100"/>
            </w:tcMar>
            <w:vAlign w:val="center"/>
          </w:tcPr>
          <w:p>
            <w:pPr>
              <w:jc w:val="left"/>
            </w:pPr>
            <w:r>
              <w:rPr>
                <w:b w:val="false"/>
                <w:bCs w:val="false"/>
                <w:sz w:val="20"/>
                <w:szCs w:val="20"/>
              </w:rPr>
              <w:t xml:space="preserve">Team Lead / Backend &amp; Data</w:t>
            </w:r>
          </w:p>
        </w:tc>
        <w:tc>
          <w:tcPr>
            <w:tcW w:type="dxa" w:w="3550"/>
            <w:tcMar>
              <w:top w:type="dxa" w:w="80"/>
              <w:left w:type="dxa" w:w="100"/>
              <w:bottom w:type="dxa" w:w="80"/>
              <w:right w:type="dxa" w:w="100"/>
            </w:tcMar>
            <w:vAlign w:val="center"/>
          </w:tcPr>
          <w:p>
            <w:pPr>
              <w:jc w:val="left"/>
            </w:pPr>
            <w:r>
              <w:rPr>
                <w:b w:val="false"/>
                <w:bCs w:val="false"/>
                <w:sz w:val="20"/>
                <w:szCs w:val="20"/>
              </w:rPr>
              <w:t xml:space="preserve">Ingestion, identity resolution, rule engine</w:t>
            </w:r>
          </w:p>
        </w:tc>
      </w:tr>
      <w:tr>
        <w:tc>
          <w:tcPr>
            <w:tcW w:type="dxa" w:w="2600"/>
            <w:shd w:fill="EAF1F2" w:color="auto" w:val="clear"/>
            <w:tcMar>
              <w:top w:type="dxa" w:w="80"/>
              <w:left w:type="dxa" w:w="100"/>
              <w:bottom w:type="dxa" w:w="80"/>
              <w:right w:type="dxa" w:w="100"/>
            </w:tcMar>
            <w:vAlign w:val="center"/>
          </w:tcPr>
          <w:p>
            <w:pPr>
              <w:jc w:val="left"/>
            </w:pPr>
            <w:r>
              <w:rPr>
                <w:b w:val="false"/>
                <w:bCs w:val="false"/>
                <w:sz w:val="20"/>
                <w:szCs w:val="20"/>
              </w:rPr>
              <w:t xml:space="preserve">[ Name 2 ]</w:t>
            </w:r>
          </w:p>
        </w:tc>
        <w:tc>
          <w:tcPr>
            <w:tcW w:type="dxa" w:w="3200"/>
            <w:shd w:fill="EAF1F2" w:color="auto" w:val="clear"/>
            <w:tcMar>
              <w:top w:type="dxa" w:w="80"/>
              <w:left w:type="dxa" w:w="100"/>
              <w:bottom w:type="dxa" w:w="80"/>
              <w:right w:type="dxa" w:w="100"/>
            </w:tcMar>
            <w:vAlign w:val="center"/>
          </w:tcPr>
          <w:p>
            <w:pPr>
              <w:jc w:val="left"/>
            </w:pPr>
            <w:r>
              <w:rPr>
                <w:b w:val="false"/>
                <w:bCs w:val="false"/>
                <w:sz w:val="20"/>
                <w:szCs w:val="20"/>
              </w:rPr>
              <w:t xml:space="preserve">Frontend / Product</w:t>
            </w:r>
          </w:p>
        </w:tc>
        <w:tc>
          <w:tcPr>
            <w:tcW w:type="dxa" w:w="3550"/>
            <w:shd w:fill="EAF1F2" w:color="auto" w:val="clear"/>
            <w:tcMar>
              <w:top w:type="dxa" w:w="80"/>
              <w:left w:type="dxa" w:w="100"/>
              <w:bottom w:type="dxa" w:w="80"/>
              <w:right w:type="dxa" w:w="100"/>
            </w:tcMar>
            <w:vAlign w:val="center"/>
          </w:tcPr>
          <w:p>
            <w:pPr>
              <w:jc w:val="left"/>
            </w:pPr>
            <w:r>
              <w:rPr>
                <w:b w:val="false"/>
                <w:bCs w:val="false"/>
                <w:sz w:val="20"/>
                <w:szCs w:val="20"/>
              </w:rPr>
              <w:t xml:space="preserve">Dashboards, case-review UX</w:t>
            </w:r>
          </w:p>
        </w:tc>
      </w:tr>
      <w:tr>
        <w:tc>
          <w:tcPr>
            <w:tcW w:type="dxa" w:w="2600"/>
            <w:tcMar>
              <w:top w:type="dxa" w:w="80"/>
              <w:left w:type="dxa" w:w="100"/>
              <w:bottom w:type="dxa" w:w="80"/>
              <w:right w:type="dxa" w:w="100"/>
            </w:tcMar>
            <w:vAlign w:val="center"/>
          </w:tcPr>
          <w:p>
            <w:pPr>
              <w:jc w:val="left"/>
            </w:pPr>
            <w:r>
              <w:rPr>
                <w:b w:val="false"/>
                <w:bCs w:val="false"/>
                <w:sz w:val="20"/>
                <w:szCs w:val="20"/>
              </w:rPr>
              <w:t xml:space="preserve">[ Name 3 ]</w:t>
            </w:r>
          </w:p>
        </w:tc>
        <w:tc>
          <w:tcPr>
            <w:tcW w:type="dxa" w:w="3200"/>
            <w:tcMar>
              <w:top w:type="dxa" w:w="80"/>
              <w:left w:type="dxa" w:w="100"/>
              <w:bottom w:type="dxa" w:w="80"/>
              <w:right w:type="dxa" w:w="100"/>
            </w:tcMar>
            <w:vAlign w:val="center"/>
          </w:tcPr>
          <w:p>
            <w:pPr>
              <w:jc w:val="left"/>
            </w:pPr>
            <w:r>
              <w:rPr>
                <w:b w:val="false"/>
                <w:bCs w:val="false"/>
                <w:sz w:val="20"/>
                <w:szCs w:val="20"/>
              </w:rPr>
              <w:t xml:space="preserve">Privacy &amp; Security</w:t>
            </w:r>
          </w:p>
        </w:tc>
        <w:tc>
          <w:tcPr>
            <w:tcW w:type="dxa" w:w="3550"/>
            <w:tcMar>
              <w:top w:type="dxa" w:w="80"/>
              <w:left w:type="dxa" w:w="100"/>
              <w:bottom w:type="dxa" w:w="80"/>
              <w:right w:type="dxa" w:w="100"/>
            </w:tcMar>
            <w:vAlign w:val="center"/>
          </w:tcPr>
          <w:p>
            <w:pPr>
              <w:jc w:val="left"/>
            </w:pPr>
            <w:r>
              <w:rPr>
                <w:b w:val="false"/>
                <w:bCs w:val="false"/>
                <w:sz w:val="20"/>
                <w:szCs w:val="20"/>
              </w:rPr>
              <w:t xml:space="preserve">RLS design, audit logging, masking model</w:t>
            </w:r>
          </w:p>
        </w:tc>
      </w:tr>
      <w:tr>
        <w:tc>
          <w:tcPr>
            <w:tcW w:type="dxa" w:w="2600"/>
            <w:shd w:fill="EAF1F2" w:color="auto" w:val="clear"/>
            <w:tcMar>
              <w:top w:type="dxa" w:w="80"/>
              <w:left w:type="dxa" w:w="100"/>
              <w:bottom w:type="dxa" w:w="80"/>
              <w:right w:type="dxa" w:w="100"/>
            </w:tcMar>
            <w:vAlign w:val="center"/>
          </w:tcPr>
          <w:p>
            <w:pPr>
              <w:jc w:val="left"/>
            </w:pPr>
            <w:r>
              <w:rPr>
                <w:b w:val="false"/>
                <w:bCs w:val="false"/>
                <w:sz w:val="20"/>
                <w:szCs w:val="20"/>
              </w:rPr>
              <w:t xml:space="preserve">[ Name 4 ]</w:t>
            </w:r>
          </w:p>
        </w:tc>
        <w:tc>
          <w:tcPr>
            <w:tcW w:type="dxa" w:w="3200"/>
            <w:shd w:fill="EAF1F2" w:color="auto" w:val="clear"/>
            <w:tcMar>
              <w:top w:type="dxa" w:w="80"/>
              <w:left w:type="dxa" w:w="100"/>
              <w:bottom w:type="dxa" w:w="80"/>
              <w:right w:type="dxa" w:w="100"/>
            </w:tcMar>
            <w:vAlign w:val="center"/>
          </w:tcPr>
          <w:p>
            <w:pPr>
              <w:jc w:val="left"/>
            </w:pPr>
            <w:r>
              <w:rPr>
                <w:b w:val="false"/>
                <w:bCs w:val="false"/>
                <w:sz w:val="20"/>
                <w:szCs w:val="20"/>
              </w:rPr>
              <w:t xml:space="preserve">Domain / Policy Liaison</w:t>
            </w:r>
          </w:p>
        </w:tc>
        <w:tc>
          <w:tcPr>
            <w:tcW w:type="dxa" w:w="3550"/>
            <w:shd w:fill="EAF1F2" w:color="auto" w:val="clear"/>
            <w:tcMar>
              <w:top w:type="dxa" w:w="80"/>
              <w:left w:type="dxa" w:w="100"/>
              <w:bottom w:type="dxa" w:w="80"/>
              <w:right w:type="dxa" w:w="100"/>
            </w:tcMar>
            <w:vAlign w:val="center"/>
          </w:tcPr>
          <w:p>
            <w:pPr>
              <w:jc w:val="left"/>
            </w:pPr>
            <w:r>
              <w:rPr>
                <w:b w:val="false"/>
                <w:bCs w:val="false"/>
                <w:sz w:val="20"/>
                <w:szCs w:val="20"/>
              </w:rPr>
              <w:t xml:space="preserve">Scheme rules, department coordination, validation</w:t>
            </w:r>
          </w:p>
        </w:tc>
      </w:tr>
    </w:tbl>
    <w:p>
      <w:pPr>
        <w:pStyle w:val="Heading1"/>
        <w:spacing w:after="140" w:before="280"/>
      </w:pPr>
      <w:r>
        <w:t xml:space="preserve">14. Conclusion</w:t>
      </w:r>
    </w:p>
    <w:p>
      <w:pPr>
        <w:spacing w:after="160"/>
      </w:pPr>
      <w:r>
        <w:t xml:space="preserve">DRISHTI is designed to answer the Social Welfare Department's brief on its own terms: connect beneficiary data across departments without centralising raw identity, find the citizens who are missing out rather than only the ones drawing twice, and make every finding — and every access to sensitive data — fully explainable and auditable. The result is a platform officers can trust with entitlement recommendations precisely because it never makes entitlement decisions for them.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4E5C"/>
      <w:sz w:val="30"/>
      <w:szCs w:val="30"/>
    </w:rPr>
  </w:style>
  <w:style w:type="paragraph" w:styleId="Heading2">
    <w:name w:val="Heading 2"/>
    <w:basedOn w:val="Normal"/>
    <w:next w:val="Normal"/>
    <w:qFormat/>
    <w:pPr>
      <w:spacing w:after="120" w:before="220"/>
      <w:outlineLvl w:val="1"/>
    </w:pPr>
    <w:rPr>
      <w:b/>
      <w:bCs/>
      <w:color w:val="1F4E5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2026-09-15T03:04:07.071Z</dcterms:created>
  <dcterms:modified xsi:type="dcterms:W3CDTF">2026-09-15T03:04:07.082Z</dcterms:modified>
</cp:coreProperties>
</file>

<file path=docProps/custom.xml><?xml version="1.0" encoding="utf-8"?>
<Properties xmlns="http://schemas.openxmlformats.org/officeDocument/2006/custom-properties" xmlns:vt="http://schemas.openxmlformats.org/officeDocument/2006/docPropsVTypes"/>
</file>