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0E0F" w:rsidRDefault="00EE0E0F">
      <w:pPr>
        <w:spacing w:after="1200"/>
      </w:pPr>
    </w:p>
    <w:p w:rsidR="00EE0E0F" w:rsidRDefault="00104130">
      <w:pPr>
        <w:spacing w:after="100"/>
        <w:jc w:val="center"/>
      </w:pPr>
      <w:r>
        <w:rPr>
          <w:b/>
          <w:bCs/>
          <w:color w:val="2E5395"/>
          <w:sz w:val="24"/>
          <w:szCs w:val="24"/>
        </w:rPr>
        <w:t>BLUESTOCK FINTECH</w:t>
      </w:r>
    </w:p>
    <w:p w:rsidR="00EE0E0F" w:rsidRDefault="00104130">
      <w:pPr>
        <w:spacing w:after="800"/>
        <w:jc w:val="center"/>
      </w:pPr>
      <w:r>
        <w:rPr>
          <w:color w:val="595959"/>
        </w:rPr>
        <w:t>Data Analyst Internship Program</w:t>
      </w:r>
    </w:p>
    <w:p w:rsidR="00EE0E0F" w:rsidRDefault="00104130">
      <w:pPr>
        <w:spacing w:after="300"/>
        <w:jc w:val="center"/>
      </w:pPr>
      <w:r>
        <w:rPr>
          <w:b/>
          <w:bCs/>
          <w:color w:val="1F3864"/>
          <w:sz w:val="32"/>
          <w:szCs w:val="32"/>
        </w:rPr>
        <w:t>FINAL PROJECT REPORT</w:t>
      </w:r>
    </w:p>
    <w:p w:rsidR="00EE0E0F" w:rsidRDefault="00104130">
      <w:pPr>
        <w:spacing w:after="200"/>
        <w:jc w:val="center"/>
      </w:pPr>
      <w:proofErr w:type="spellStart"/>
      <w:r>
        <w:rPr>
          <w:b/>
          <w:bCs/>
          <w:color w:val="2E5395"/>
          <w:sz w:val="40"/>
          <w:szCs w:val="40"/>
        </w:rPr>
        <w:t>Bluestock</w:t>
      </w:r>
      <w:proofErr w:type="spellEnd"/>
      <w:r>
        <w:rPr>
          <w:b/>
          <w:bCs/>
          <w:color w:val="2E5395"/>
          <w:sz w:val="40"/>
          <w:szCs w:val="40"/>
        </w:rPr>
        <w:t xml:space="preserve"> Mutual Fund Analytics Capstone</w:t>
      </w:r>
    </w:p>
    <w:p w:rsidR="00EE0E0F" w:rsidRDefault="00104130">
      <w:pPr>
        <w:spacing w:after="1000"/>
        <w:jc w:val="center"/>
      </w:pPr>
      <w:r>
        <w:rPr>
          <w:i/>
          <w:iCs/>
          <w:color w:val="595959"/>
        </w:rPr>
        <w:t>An End-to-End ETL, SQL Database, Exploratory Data Analysis, Performance &amp; Risk Analytics, and Power BI Dashboard Project on the Indian Mutual Fund Industry</w:t>
      </w:r>
    </w:p>
    <w:p w:rsidR="00EE0E0F" w:rsidRDefault="00EE0E0F">
      <w:pPr>
        <w:spacing w:after="600"/>
      </w:pPr>
    </w:p>
    <w:p w:rsidR="00EE0E0F" w:rsidRDefault="00104130">
      <w:pPr>
        <w:spacing w:after="100"/>
        <w:jc w:val="center"/>
      </w:pPr>
      <w:r>
        <w:t>Submitted by</w:t>
      </w:r>
    </w:p>
    <w:p w:rsidR="00EE0E0F" w:rsidRDefault="00104130">
      <w:pPr>
        <w:spacing w:after="60"/>
        <w:jc w:val="center"/>
      </w:pPr>
      <w:proofErr w:type="spellStart"/>
      <w:r>
        <w:rPr>
          <w:b/>
          <w:bCs/>
          <w:sz w:val="26"/>
          <w:szCs w:val="26"/>
        </w:rPr>
        <w:t>Kapish</w:t>
      </w:r>
      <w:proofErr w:type="spellEnd"/>
    </w:p>
    <w:p w:rsidR="00EE0E0F" w:rsidRDefault="00104130">
      <w:pPr>
        <w:spacing w:after="800"/>
        <w:jc w:val="center"/>
      </w:pPr>
      <w:r>
        <w:t>Data Analyst Intern</w:t>
      </w:r>
    </w:p>
    <w:p w:rsidR="00EE0E0F" w:rsidRDefault="00104130">
      <w:pPr>
        <w:spacing w:after="1200"/>
        <w:jc w:val="center"/>
      </w:pPr>
      <w:r>
        <w:rPr>
          <w:color w:val="595959"/>
          <w:sz w:val="18"/>
          <w:szCs w:val="18"/>
        </w:rPr>
        <w:t xml:space="preserve">Tools &amp; Technologies: Python | Pandas | </w:t>
      </w:r>
      <w:proofErr w:type="spellStart"/>
      <w:r>
        <w:rPr>
          <w:color w:val="595959"/>
          <w:sz w:val="18"/>
          <w:szCs w:val="18"/>
        </w:rPr>
        <w:t>NumPy</w:t>
      </w:r>
      <w:proofErr w:type="spellEnd"/>
      <w:r>
        <w:rPr>
          <w:color w:val="595959"/>
          <w:sz w:val="18"/>
          <w:szCs w:val="18"/>
        </w:rPr>
        <w:t xml:space="preserve"> | SQLite | </w:t>
      </w:r>
      <w:proofErr w:type="spellStart"/>
      <w:r>
        <w:rPr>
          <w:color w:val="595959"/>
          <w:sz w:val="18"/>
          <w:szCs w:val="18"/>
        </w:rPr>
        <w:t>SQLAlchemy</w:t>
      </w:r>
      <w:proofErr w:type="spellEnd"/>
      <w:r>
        <w:rPr>
          <w:color w:val="595959"/>
          <w:sz w:val="18"/>
          <w:szCs w:val="18"/>
        </w:rPr>
        <w:t xml:space="preserve"> | SQL | </w:t>
      </w:r>
      <w:proofErr w:type="spellStart"/>
      <w:r>
        <w:rPr>
          <w:color w:val="595959"/>
          <w:sz w:val="18"/>
          <w:szCs w:val="18"/>
        </w:rPr>
        <w:t>Jupyter</w:t>
      </w:r>
      <w:proofErr w:type="spellEnd"/>
      <w:r>
        <w:rPr>
          <w:color w:val="595959"/>
          <w:sz w:val="18"/>
          <w:szCs w:val="18"/>
        </w:rPr>
        <w:t xml:space="preserve"> Notebook | </w:t>
      </w:r>
      <w:proofErr w:type="spellStart"/>
      <w:r>
        <w:rPr>
          <w:color w:val="595959"/>
          <w:sz w:val="18"/>
          <w:szCs w:val="18"/>
        </w:rPr>
        <w:t>Matplotlib</w:t>
      </w:r>
      <w:proofErr w:type="spellEnd"/>
      <w:r>
        <w:rPr>
          <w:color w:val="595959"/>
          <w:sz w:val="18"/>
          <w:szCs w:val="18"/>
        </w:rPr>
        <w:t xml:space="preserve"> | </w:t>
      </w:r>
      <w:proofErr w:type="spellStart"/>
      <w:r>
        <w:rPr>
          <w:color w:val="595959"/>
          <w:sz w:val="18"/>
          <w:szCs w:val="18"/>
        </w:rPr>
        <w:t>Seaborn</w:t>
      </w:r>
      <w:proofErr w:type="spellEnd"/>
      <w:r>
        <w:rPr>
          <w:color w:val="595959"/>
          <w:sz w:val="18"/>
          <w:szCs w:val="18"/>
        </w:rPr>
        <w:t xml:space="preserve"> | </w:t>
      </w:r>
      <w:proofErr w:type="spellStart"/>
      <w:r>
        <w:rPr>
          <w:color w:val="595959"/>
          <w:sz w:val="18"/>
          <w:szCs w:val="18"/>
        </w:rPr>
        <w:t>Plotly</w:t>
      </w:r>
      <w:proofErr w:type="spellEnd"/>
      <w:r>
        <w:rPr>
          <w:color w:val="595959"/>
          <w:sz w:val="18"/>
          <w:szCs w:val="18"/>
        </w:rPr>
        <w:t xml:space="preserve"> | </w:t>
      </w:r>
      <w:proofErr w:type="spellStart"/>
      <w:r>
        <w:rPr>
          <w:color w:val="595959"/>
          <w:sz w:val="18"/>
          <w:szCs w:val="18"/>
        </w:rPr>
        <w:t>SciPy</w:t>
      </w:r>
      <w:proofErr w:type="spellEnd"/>
      <w:r>
        <w:rPr>
          <w:color w:val="595959"/>
          <w:sz w:val="18"/>
          <w:szCs w:val="18"/>
        </w:rPr>
        <w:t xml:space="preserve"> | Power BI | </w:t>
      </w:r>
      <w:proofErr w:type="spellStart"/>
      <w:r>
        <w:rPr>
          <w:color w:val="595959"/>
          <w:sz w:val="18"/>
          <w:szCs w:val="18"/>
        </w:rPr>
        <w:t>Git</w:t>
      </w:r>
      <w:proofErr w:type="spellEnd"/>
      <w:r>
        <w:rPr>
          <w:color w:val="595959"/>
          <w:sz w:val="18"/>
          <w:szCs w:val="18"/>
        </w:rPr>
        <w:t xml:space="preserve"> &amp; </w:t>
      </w:r>
      <w:proofErr w:type="spellStart"/>
      <w:r>
        <w:rPr>
          <w:color w:val="595959"/>
          <w:sz w:val="18"/>
          <w:szCs w:val="18"/>
        </w:rPr>
        <w:t>GitHub</w:t>
      </w:r>
      <w:proofErr w:type="spellEnd"/>
    </w:p>
    <w:p w:rsidR="00EE0E0F" w:rsidRDefault="00104130">
      <w:pPr>
        <w:spacing w:after="40"/>
        <w:jc w:val="center"/>
      </w:pPr>
      <w:proofErr w:type="spellStart"/>
      <w:r>
        <w:rPr>
          <w:sz w:val="20"/>
          <w:szCs w:val="20"/>
        </w:rPr>
        <w:t>Bluestock</w:t>
      </w:r>
      <w:proofErr w:type="spellEnd"/>
      <w:r>
        <w:rPr>
          <w:sz w:val="20"/>
          <w:szCs w:val="20"/>
        </w:rPr>
        <w:t xml:space="preserve"> </w:t>
      </w:r>
      <w:proofErr w:type="spellStart"/>
      <w:r>
        <w:rPr>
          <w:sz w:val="20"/>
          <w:szCs w:val="20"/>
        </w:rPr>
        <w:t>Fintech</w:t>
      </w:r>
      <w:proofErr w:type="spellEnd"/>
      <w:r>
        <w:rPr>
          <w:sz w:val="20"/>
          <w:szCs w:val="20"/>
        </w:rPr>
        <w:t xml:space="preserve"> Internship Program</w:t>
      </w:r>
    </w:p>
    <w:p w:rsidR="00EE0E0F" w:rsidRDefault="00104130">
      <w:pPr>
        <w:jc w:val="center"/>
      </w:pPr>
      <w:r>
        <w:rPr>
          <w:sz w:val="20"/>
          <w:szCs w:val="20"/>
        </w:rPr>
        <w:t>2026</w:t>
      </w:r>
    </w:p>
    <w:p w:rsidR="00EE0E0F" w:rsidRDefault="00EE0E0F">
      <w:pPr>
        <w:sectPr w:rsidR="00EE0E0F">
          <w:pgSz w:w="12240" w:h="15840"/>
          <w:pgMar w:top="1440" w:right="1440" w:bottom="1440" w:left="1440" w:header="708" w:footer="708" w:gutter="0"/>
          <w:cols w:space="720"/>
          <w:docGrid w:linePitch="360"/>
        </w:sectPr>
      </w:pPr>
    </w:p>
    <w:p w:rsidR="00EE0E0F" w:rsidRDefault="00104130">
      <w:pPr>
        <w:pStyle w:val="Heading1"/>
        <w:spacing w:before="400"/>
      </w:pPr>
      <w:bookmarkStart w:id="0" w:name="_Toc234514534"/>
      <w:r>
        <w:lastRenderedPageBreak/>
        <w:t>Abstract</w:t>
      </w:r>
      <w:bookmarkEnd w:id="0"/>
    </w:p>
    <w:p w:rsidR="00EE0E0F" w:rsidRDefault="00104130">
      <w:pPr>
        <w:spacing w:after="160" w:line="300" w:lineRule="auto"/>
        <w:jc w:val="both"/>
      </w:pPr>
      <w:r>
        <w:t xml:space="preserve">The </w:t>
      </w:r>
      <w:proofErr w:type="spellStart"/>
      <w:r>
        <w:t>Bluestock</w:t>
      </w:r>
      <w:proofErr w:type="spellEnd"/>
      <w:r>
        <w:t xml:space="preserve"> Mutual Fund Analytics Capstone is an end-to-end data analytics project developed during the Data Analyst Internship at </w:t>
      </w:r>
      <w:proofErr w:type="spellStart"/>
      <w:r>
        <w:t>Bluestock</w:t>
      </w:r>
      <w:proofErr w:type="spellEnd"/>
      <w:r>
        <w:t xml:space="preserve"> </w:t>
      </w:r>
      <w:proofErr w:type="spellStart"/>
      <w:r>
        <w:t>Fintech</w:t>
      </w:r>
      <w:proofErr w:type="spellEnd"/>
      <w:r>
        <w:t>. The project simulates a real-world mutual fund analytics workflow, covering the complete data lifecycle from raw data ingestion through ETL processing, relational database design, exploratory data analysis, performance and risk analytics, and finally a Power BI dashboard for business consumption.</w:t>
      </w:r>
    </w:p>
    <w:p w:rsidR="00EE0E0F" w:rsidRDefault="00104130">
      <w:pPr>
        <w:spacing w:after="160" w:line="300" w:lineRule="auto"/>
        <w:jc w:val="both"/>
      </w:pPr>
      <w:r>
        <w:t xml:space="preserve">The project analyses 40 mutual fund schemes across 10 major Indian fund houses (SBI, HDFC, ICICI Prudential, Nippon India, </w:t>
      </w:r>
      <w:proofErr w:type="spellStart"/>
      <w:r>
        <w:t>Kotak</w:t>
      </w:r>
      <w:proofErr w:type="spellEnd"/>
      <w:r>
        <w:t xml:space="preserve"> Mahindra, Axis, Aditya Birla Sun Life, UTI, </w:t>
      </w:r>
      <w:proofErr w:type="spellStart"/>
      <w:r>
        <w:t>Mirae</w:t>
      </w:r>
      <w:proofErr w:type="spellEnd"/>
      <w:r>
        <w:t xml:space="preserve"> Asset, and DSP Mutual Fund), spanning Equity and Debt categories. The underlying dataset includes approximately 46,000 historical NAV records (2022-2026), 32,778 investor transaction records across 5,000 unique investors, AUM figures by fund house, SIP inflow trends, category-wise inflows, portfolio holdings, and benchmark index data (NIFTY50, NIFTY100).</w:t>
      </w:r>
    </w:p>
    <w:p w:rsidR="00EE0E0F" w:rsidRDefault="00104130">
      <w:pPr>
        <w:spacing w:after="160" w:line="300" w:lineRule="auto"/>
        <w:jc w:val="both"/>
      </w:pPr>
      <w:r>
        <w:t xml:space="preserve">Using Python (Pandas, </w:t>
      </w:r>
      <w:proofErr w:type="spellStart"/>
      <w:r>
        <w:t>NumPy</w:t>
      </w:r>
      <w:proofErr w:type="spellEnd"/>
      <w:r>
        <w:t xml:space="preserve">, </w:t>
      </w:r>
      <w:proofErr w:type="spellStart"/>
      <w:r>
        <w:t>SciPy</w:t>
      </w:r>
      <w:proofErr w:type="spellEnd"/>
      <w:r>
        <w:t>), the raw datasets were cleaned, validated, and loaded into a SQLite relational database (</w:t>
      </w:r>
      <w:proofErr w:type="spellStart"/>
      <w:r>
        <w:t>bluestock_mf.db</w:t>
      </w:r>
      <w:proofErr w:type="spellEnd"/>
      <w:r>
        <w:t xml:space="preserve">) comprising dimension and fact tables. SQL queries were written to extract business-relevant insights. Exploratory Data Analysis was performed using </w:t>
      </w:r>
      <w:proofErr w:type="spellStart"/>
      <w:r>
        <w:t>Matplotlib</w:t>
      </w:r>
      <w:proofErr w:type="spellEnd"/>
      <w:r>
        <w:t xml:space="preserve">, </w:t>
      </w:r>
      <w:proofErr w:type="spellStart"/>
      <w:r>
        <w:t>Seaborn</w:t>
      </w:r>
      <w:proofErr w:type="spellEnd"/>
      <w:r>
        <w:t xml:space="preserve">, and </w:t>
      </w:r>
      <w:proofErr w:type="spellStart"/>
      <w:r>
        <w:t>Plotly</w:t>
      </w:r>
      <w:proofErr w:type="spellEnd"/>
      <w:r>
        <w:t xml:space="preserve"> to study NAV trends, AUM growth, SIP inflows, investor demographics, sector allocation, and inter-fund correlations.</w:t>
      </w:r>
    </w:p>
    <w:p w:rsidR="00EE0E0F" w:rsidRDefault="00104130">
      <w:pPr>
        <w:spacing w:after="160" w:line="300" w:lineRule="auto"/>
        <w:jc w:val="both"/>
      </w:pPr>
      <w:r>
        <w:t xml:space="preserve">Building on this foundation, a comprehensive performance analytics layer was implemented, computing CAGR, Sharpe Ratio, </w:t>
      </w:r>
      <w:proofErr w:type="spellStart"/>
      <w:r>
        <w:t>Sortino</w:t>
      </w:r>
      <w:proofErr w:type="spellEnd"/>
      <w:r>
        <w:t xml:space="preserve"> Ratio, Alpha, Beta, Tracking Error, and Maximum Drawdown for every scheme, culminating in a composite Fund Scorecard that ranks funds on a 0-100 scale. An advanced analytics layer further introduced Value at Risk (</w:t>
      </w:r>
      <w:proofErr w:type="spellStart"/>
      <w:r>
        <w:t>VaR</w:t>
      </w:r>
      <w:proofErr w:type="spellEnd"/>
      <w:r>
        <w:t>) and Conditional Value at Risk (</w:t>
      </w:r>
      <w:proofErr w:type="spellStart"/>
      <w:r>
        <w:t>CVaR</w:t>
      </w:r>
      <w:proofErr w:type="spellEnd"/>
      <w:r>
        <w:t xml:space="preserve">), rolling 90-day Sharpe Ratio analysis, investor cohort analysis, SIP continuity classification (Healthy vs. At-Risk), a rule-based fund recommendation engine, and portfolio concentration analysis using the </w:t>
      </w:r>
      <w:proofErr w:type="spellStart"/>
      <w:r>
        <w:t>Herfindahl</w:t>
      </w:r>
      <w:proofErr w:type="spellEnd"/>
      <w:r>
        <w:t>-Hirschman Index (HHI).</w:t>
      </w:r>
    </w:p>
    <w:p w:rsidR="00EE0E0F" w:rsidRDefault="00104130">
      <w:pPr>
        <w:spacing w:after="160" w:line="300" w:lineRule="auto"/>
        <w:jc w:val="both"/>
      </w:pPr>
      <w:r>
        <w:t>The final output is consolidated into an interactive Power BI dashboard (</w:t>
      </w:r>
      <w:proofErr w:type="spellStart"/>
      <w:r>
        <w:t>BluestockPB.pbix</w:t>
      </w:r>
      <w:proofErr w:type="spellEnd"/>
      <w:r>
        <w:t xml:space="preserve">) that enables stakeholders to explore fund performance, investor </w:t>
      </w:r>
      <w:proofErr w:type="spellStart"/>
      <w:r>
        <w:t>behaviour</w:t>
      </w:r>
      <w:proofErr w:type="spellEnd"/>
      <w:r>
        <w:t>, and risk metrics visually. This report documents the complete methodology, implementation, findings, and business insights generated during the internship, demonstrating practical proficiency in data engineering, financial analytics, and business intelligence.</w:t>
      </w:r>
    </w:p>
    <w:p w:rsidR="00EE0E0F" w:rsidRDefault="00104130">
      <w:pPr>
        <w:pStyle w:val="Heading1"/>
        <w:spacing w:before="400"/>
      </w:pPr>
      <w:bookmarkStart w:id="1" w:name="_Toc234514535"/>
      <w:r>
        <w:t>Acknowledgement</w:t>
      </w:r>
      <w:bookmarkEnd w:id="1"/>
    </w:p>
    <w:p w:rsidR="00EE0E0F" w:rsidRDefault="00104130">
      <w:pPr>
        <w:spacing w:after="160" w:line="300" w:lineRule="auto"/>
        <w:jc w:val="both"/>
      </w:pPr>
      <w:r>
        <w:t xml:space="preserve">I would like to express my sincere gratitude to </w:t>
      </w:r>
      <w:proofErr w:type="spellStart"/>
      <w:r>
        <w:t>Bluestock</w:t>
      </w:r>
      <w:proofErr w:type="spellEnd"/>
      <w:r>
        <w:t xml:space="preserve"> </w:t>
      </w:r>
      <w:proofErr w:type="spellStart"/>
      <w:r>
        <w:t>Fintech</w:t>
      </w:r>
      <w:proofErr w:type="spellEnd"/>
      <w:r>
        <w:t xml:space="preserve"> for providing me the opportunity to undertake this Data Analyst Internship and work on the Mutual Fund Analytics Capstone project. This </w:t>
      </w:r>
      <w:r>
        <w:lastRenderedPageBreak/>
        <w:t>experience has been instrumental in strengthening my practical understanding of data analytics, financial metrics, and business intelligence tools.</w:t>
      </w:r>
    </w:p>
    <w:p w:rsidR="00EE0E0F" w:rsidRDefault="00104130">
      <w:pPr>
        <w:spacing w:after="160" w:line="300" w:lineRule="auto"/>
        <w:jc w:val="both"/>
      </w:pPr>
      <w:r>
        <w:t xml:space="preserve">I am thankful to my mentors and reviewers at </w:t>
      </w:r>
      <w:proofErr w:type="spellStart"/>
      <w:r>
        <w:t>Bluestock</w:t>
      </w:r>
      <w:proofErr w:type="spellEnd"/>
      <w:r>
        <w:t xml:space="preserve"> </w:t>
      </w:r>
      <w:proofErr w:type="spellStart"/>
      <w:r>
        <w:t>Fintech</w:t>
      </w:r>
      <w:proofErr w:type="spellEnd"/>
      <w:r>
        <w:t xml:space="preserve"> for their continuous guidance, constructive feedback, and support throughout the duration of this project. Their insights helped me approach the problem systematically - from data ingestion and cleaning to advanced financial analytics and dashboard design.</w:t>
      </w:r>
    </w:p>
    <w:p w:rsidR="00EE0E0F" w:rsidRDefault="00104130">
      <w:pPr>
        <w:spacing w:after="160" w:line="300" w:lineRule="auto"/>
        <w:jc w:val="both"/>
      </w:pPr>
      <w:r>
        <w:t xml:space="preserve">I would also like to acknowledge the open-source Python and data visualization community, whose libraries (Pandas, </w:t>
      </w:r>
      <w:proofErr w:type="spellStart"/>
      <w:r>
        <w:t>NumPy</w:t>
      </w:r>
      <w:proofErr w:type="spellEnd"/>
      <w:r>
        <w:t xml:space="preserve">, </w:t>
      </w:r>
      <w:proofErr w:type="spellStart"/>
      <w:r>
        <w:t>SciPy</w:t>
      </w:r>
      <w:proofErr w:type="spellEnd"/>
      <w:r>
        <w:t xml:space="preserve">, </w:t>
      </w:r>
      <w:proofErr w:type="spellStart"/>
      <w:r>
        <w:t>Matplotlib</w:t>
      </w:r>
      <w:proofErr w:type="spellEnd"/>
      <w:r>
        <w:t xml:space="preserve">, </w:t>
      </w:r>
      <w:proofErr w:type="spellStart"/>
      <w:r>
        <w:t>Seaborn</w:t>
      </w:r>
      <w:proofErr w:type="spellEnd"/>
      <w:r>
        <w:t xml:space="preserve">, </w:t>
      </w:r>
      <w:proofErr w:type="spellStart"/>
      <w:r>
        <w:t>Plotly</w:t>
      </w:r>
      <w:proofErr w:type="spellEnd"/>
      <w:r>
        <w:t xml:space="preserve">, </w:t>
      </w:r>
      <w:proofErr w:type="spellStart"/>
      <w:proofErr w:type="gramStart"/>
      <w:r>
        <w:t>SQLAlchemy</w:t>
      </w:r>
      <w:proofErr w:type="spellEnd"/>
      <w:proofErr w:type="gramEnd"/>
      <w:r>
        <w:t>) formed the technical backbone of this project. Finally, I am grateful to my peers and family for their encouragement during this internship.</w:t>
      </w:r>
    </w:p>
    <w:p w:rsidR="00EE0E0F" w:rsidRDefault="00EE0E0F">
      <w:pPr>
        <w:spacing w:after="200"/>
      </w:pPr>
    </w:p>
    <w:p w:rsidR="00EE0E0F" w:rsidRDefault="00104130">
      <w:pPr>
        <w:spacing w:after="40"/>
      </w:pPr>
      <w:proofErr w:type="spellStart"/>
      <w:r>
        <w:rPr>
          <w:b/>
          <w:bCs/>
        </w:rPr>
        <w:t>Kapish</w:t>
      </w:r>
      <w:proofErr w:type="spellEnd"/>
    </w:p>
    <w:p w:rsidR="00EE0E0F" w:rsidRDefault="00104130">
      <w:r>
        <w:t xml:space="preserve">Data Analyst Intern, </w:t>
      </w:r>
      <w:proofErr w:type="spellStart"/>
      <w:r>
        <w:t>Bluestock</w:t>
      </w:r>
      <w:proofErr w:type="spellEnd"/>
      <w:r>
        <w:t xml:space="preserve"> </w:t>
      </w:r>
      <w:proofErr w:type="spellStart"/>
      <w:r>
        <w:t>Fintech</w:t>
      </w:r>
      <w:proofErr w:type="spellEnd"/>
    </w:p>
    <w:p w:rsidR="00EE0E0F" w:rsidRDefault="00104130">
      <w:pPr>
        <w:pStyle w:val="Heading1"/>
        <w:spacing w:before="400"/>
      </w:pPr>
      <w:bookmarkStart w:id="2" w:name="_Toc234514536"/>
      <w:r>
        <w:t>Table of Contents</w:t>
      </w:r>
      <w:bookmarkEnd w:id="2"/>
    </w:p>
    <w:sdt>
      <w:sdtPr>
        <w:alias w:val="Table of Contents"/>
        <w:id w:val="-121313289"/>
      </w:sdtPr>
      <w:sdtContent>
        <w:p w:rsidR="00104130" w:rsidRDefault="00104130">
          <w:pPr>
            <w:pStyle w:val="TOC1"/>
            <w:tabs>
              <w:tab w:val="right" w:leader="dot" w:pos="9350"/>
            </w:tabs>
            <w:rPr>
              <w:noProof/>
            </w:rPr>
          </w:pPr>
          <w:r>
            <w:fldChar w:fldCharType="begin"/>
          </w:r>
          <w:r>
            <w:instrText>TOC \h \o "1-3"</w:instrText>
          </w:r>
          <w:r>
            <w:fldChar w:fldCharType="separate"/>
          </w:r>
          <w:hyperlink w:anchor="_Toc234514534" w:history="1">
            <w:r w:rsidRPr="00793194">
              <w:rPr>
                <w:rStyle w:val="Hyperlink"/>
                <w:noProof/>
              </w:rPr>
              <w:t>Abstract</w:t>
            </w:r>
            <w:r>
              <w:rPr>
                <w:noProof/>
              </w:rPr>
              <w:tab/>
            </w:r>
            <w:r>
              <w:rPr>
                <w:noProof/>
              </w:rPr>
              <w:fldChar w:fldCharType="begin"/>
            </w:r>
            <w:r>
              <w:rPr>
                <w:noProof/>
              </w:rPr>
              <w:instrText xml:space="preserve"> PAGEREF _Toc234514534 \h </w:instrText>
            </w:r>
            <w:r>
              <w:rPr>
                <w:noProof/>
              </w:rPr>
            </w:r>
            <w:r>
              <w:rPr>
                <w:noProof/>
              </w:rPr>
              <w:fldChar w:fldCharType="separate"/>
            </w:r>
            <w:r>
              <w:rPr>
                <w:noProof/>
              </w:rPr>
              <w:t>2</w:t>
            </w:r>
            <w:r>
              <w:rPr>
                <w:noProof/>
              </w:rPr>
              <w:fldChar w:fldCharType="end"/>
            </w:r>
          </w:hyperlink>
        </w:p>
        <w:p w:rsidR="00104130" w:rsidRDefault="00104130">
          <w:pPr>
            <w:pStyle w:val="TOC1"/>
            <w:tabs>
              <w:tab w:val="right" w:leader="dot" w:pos="9350"/>
            </w:tabs>
            <w:rPr>
              <w:noProof/>
            </w:rPr>
          </w:pPr>
          <w:hyperlink w:anchor="_Toc234514535" w:history="1">
            <w:r w:rsidRPr="00793194">
              <w:rPr>
                <w:rStyle w:val="Hyperlink"/>
                <w:noProof/>
              </w:rPr>
              <w:t>Acknowledgement</w:t>
            </w:r>
            <w:r>
              <w:rPr>
                <w:noProof/>
              </w:rPr>
              <w:tab/>
            </w:r>
            <w:r>
              <w:rPr>
                <w:noProof/>
              </w:rPr>
              <w:fldChar w:fldCharType="begin"/>
            </w:r>
            <w:r>
              <w:rPr>
                <w:noProof/>
              </w:rPr>
              <w:instrText xml:space="preserve"> PAGEREF _Toc234514535 \h </w:instrText>
            </w:r>
            <w:r>
              <w:rPr>
                <w:noProof/>
              </w:rPr>
            </w:r>
            <w:r>
              <w:rPr>
                <w:noProof/>
              </w:rPr>
              <w:fldChar w:fldCharType="separate"/>
            </w:r>
            <w:r>
              <w:rPr>
                <w:noProof/>
              </w:rPr>
              <w:t>2</w:t>
            </w:r>
            <w:r>
              <w:rPr>
                <w:noProof/>
              </w:rPr>
              <w:fldChar w:fldCharType="end"/>
            </w:r>
          </w:hyperlink>
        </w:p>
        <w:p w:rsidR="00104130" w:rsidRDefault="00104130">
          <w:pPr>
            <w:pStyle w:val="TOC1"/>
            <w:tabs>
              <w:tab w:val="right" w:leader="dot" w:pos="9350"/>
            </w:tabs>
            <w:rPr>
              <w:noProof/>
            </w:rPr>
          </w:pPr>
          <w:hyperlink w:anchor="_Toc234514536" w:history="1">
            <w:r w:rsidRPr="00793194">
              <w:rPr>
                <w:rStyle w:val="Hyperlink"/>
                <w:noProof/>
              </w:rPr>
              <w:t>Table of Contents</w:t>
            </w:r>
            <w:r>
              <w:rPr>
                <w:noProof/>
              </w:rPr>
              <w:tab/>
            </w:r>
            <w:r>
              <w:rPr>
                <w:noProof/>
              </w:rPr>
              <w:fldChar w:fldCharType="begin"/>
            </w:r>
            <w:r>
              <w:rPr>
                <w:noProof/>
              </w:rPr>
              <w:instrText xml:space="preserve"> PAGEREF _Toc234514536 \h </w:instrText>
            </w:r>
            <w:r>
              <w:rPr>
                <w:noProof/>
              </w:rPr>
            </w:r>
            <w:r>
              <w:rPr>
                <w:noProof/>
              </w:rPr>
              <w:fldChar w:fldCharType="separate"/>
            </w:r>
            <w:r>
              <w:rPr>
                <w:noProof/>
              </w:rPr>
              <w:t>3</w:t>
            </w:r>
            <w:r>
              <w:rPr>
                <w:noProof/>
              </w:rPr>
              <w:fldChar w:fldCharType="end"/>
            </w:r>
          </w:hyperlink>
        </w:p>
        <w:p w:rsidR="00104130" w:rsidRDefault="00104130">
          <w:pPr>
            <w:pStyle w:val="TOC1"/>
            <w:tabs>
              <w:tab w:val="right" w:leader="dot" w:pos="9350"/>
            </w:tabs>
            <w:rPr>
              <w:noProof/>
            </w:rPr>
          </w:pPr>
          <w:hyperlink w:anchor="_Toc234514537" w:history="1">
            <w:r w:rsidRPr="00793194">
              <w:rPr>
                <w:rStyle w:val="Hyperlink"/>
                <w:noProof/>
              </w:rPr>
              <w:t>1. Introduction</w:t>
            </w:r>
            <w:r>
              <w:rPr>
                <w:noProof/>
              </w:rPr>
              <w:tab/>
            </w:r>
            <w:r>
              <w:rPr>
                <w:noProof/>
              </w:rPr>
              <w:fldChar w:fldCharType="begin"/>
            </w:r>
            <w:r>
              <w:rPr>
                <w:noProof/>
              </w:rPr>
              <w:instrText xml:space="preserve"> PAGEREF _Toc234514537 \h </w:instrText>
            </w:r>
            <w:r>
              <w:rPr>
                <w:noProof/>
              </w:rPr>
            </w:r>
            <w:r>
              <w:rPr>
                <w:noProof/>
              </w:rPr>
              <w:fldChar w:fldCharType="separate"/>
            </w:r>
            <w:r>
              <w:rPr>
                <w:noProof/>
              </w:rPr>
              <w:t>6</w:t>
            </w:r>
            <w:r>
              <w:rPr>
                <w:noProof/>
              </w:rPr>
              <w:fldChar w:fldCharType="end"/>
            </w:r>
          </w:hyperlink>
        </w:p>
        <w:p w:rsidR="00104130" w:rsidRDefault="00104130">
          <w:pPr>
            <w:pStyle w:val="TOC1"/>
            <w:tabs>
              <w:tab w:val="right" w:leader="dot" w:pos="9350"/>
            </w:tabs>
            <w:rPr>
              <w:noProof/>
            </w:rPr>
          </w:pPr>
          <w:hyperlink w:anchor="_Toc234514538" w:history="1">
            <w:r w:rsidRPr="00793194">
              <w:rPr>
                <w:rStyle w:val="Hyperlink"/>
                <w:noProof/>
              </w:rPr>
              <w:t>2. Objectives</w:t>
            </w:r>
            <w:r>
              <w:rPr>
                <w:noProof/>
              </w:rPr>
              <w:tab/>
            </w:r>
            <w:r>
              <w:rPr>
                <w:noProof/>
              </w:rPr>
              <w:fldChar w:fldCharType="begin"/>
            </w:r>
            <w:r>
              <w:rPr>
                <w:noProof/>
              </w:rPr>
              <w:instrText xml:space="preserve"> PAGEREF _Toc234514538 \h </w:instrText>
            </w:r>
            <w:r>
              <w:rPr>
                <w:noProof/>
              </w:rPr>
            </w:r>
            <w:r>
              <w:rPr>
                <w:noProof/>
              </w:rPr>
              <w:fldChar w:fldCharType="separate"/>
            </w:r>
            <w:r>
              <w:rPr>
                <w:noProof/>
              </w:rPr>
              <w:t>7</w:t>
            </w:r>
            <w:r>
              <w:rPr>
                <w:noProof/>
              </w:rPr>
              <w:fldChar w:fldCharType="end"/>
            </w:r>
          </w:hyperlink>
        </w:p>
        <w:p w:rsidR="00104130" w:rsidRDefault="00104130">
          <w:pPr>
            <w:pStyle w:val="TOC1"/>
            <w:tabs>
              <w:tab w:val="right" w:leader="dot" w:pos="9350"/>
            </w:tabs>
            <w:rPr>
              <w:noProof/>
            </w:rPr>
          </w:pPr>
          <w:hyperlink w:anchor="_Toc234514539" w:history="1">
            <w:r w:rsidRPr="00793194">
              <w:rPr>
                <w:rStyle w:val="Hyperlink"/>
                <w:noProof/>
              </w:rPr>
              <w:t>3. Methodology</w:t>
            </w:r>
            <w:r>
              <w:rPr>
                <w:noProof/>
              </w:rPr>
              <w:tab/>
            </w:r>
            <w:r>
              <w:rPr>
                <w:noProof/>
              </w:rPr>
              <w:fldChar w:fldCharType="begin"/>
            </w:r>
            <w:r>
              <w:rPr>
                <w:noProof/>
              </w:rPr>
              <w:instrText xml:space="preserve"> PAGEREF _Toc234514539 \h </w:instrText>
            </w:r>
            <w:r>
              <w:rPr>
                <w:noProof/>
              </w:rPr>
            </w:r>
            <w:r>
              <w:rPr>
                <w:noProof/>
              </w:rPr>
              <w:fldChar w:fldCharType="separate"/>
            </w:r>
            <w:r>
              <w:rPr>
                <w:noProof/>
              </w:rPr>
              <w:t>8</w:t>
            </w:r>
            <w:r>
              <w:rPr>
                <w:noProof/>
              </w:rPr>
              <w:fldChar w:fldCharType="end"/>
            </w:r>
          </w:hyperlink>
        </w:p>
        <w:p w:rsidR="00104130" w:rsidRDefault="00104130">
          <w:pPr>
            <w:pStyle w:val="TOC2"/>
            <w:tabs>
              <w:tab w:val="right" w:leader="dot" w:pos="9350"/>
            </w:tabs>
            <w:rPr>
              <w:noProof/>
            </w:rPr>
          </w:pPr>
          <w:hyperlink w:anchor="_Toc234514540" w:history="1">
            <w:r w:rsidRPr="00793194">
              <w:rPr>
                <w:rStyle w:val="Hyperlink"/>
                <w:noProof/>
              </w:rPr>
              <w:t>3.1 Development Environment</w:t>
            </w:r>
            <w:r>
              <w:rPr>
                <w:noProof/>
              </w:rPr>
              <w:tab/>
            </w:r>
            <w:r>
              <w:rPr>
                <w:noProof/>
              </w:rPr>
              <w:fldChar w:fldCharType="begin"/>
            </w:r>
            <w:r>
              <w:rPr>
                <w:noProof/>
              </w:rPr>
              <w:instrText xml:space="preserve"> PAGEREF _Toc234514540 \h </w:instrText>
            </w:r>
            <w:r>
              <w:rPr>
                <w:noProof/>
              </w:rPr>
            </w:r>
            <w:r>
              <w:rPr>
                <w:noProof/>
              </w:rPr>
              <w:fldChar w:fldCharType="separate"/>
            </w:r>
            <w:r>
              <w:rPr>
                <w:noProof/>
              </w:rPr>
              <w:t>8</w:t>
            </w:r>
            <w:r>
              <w:rPr>
                <w:noProof/>
              </w:rPr>
              <w:fldChar w:fldCharType="end"/>
            </w:r>
          </w:hyperlink>
        </w:p>
        <w:p w:rsidR="00104130" w:rsidRDefault="00104130">
          <w:pPr>
            <w:pStyle w:val="TOC2"/>
            <w:tabs>
              <w:tab w:val="right" w:leader="dot" w:pos="9350"/>
            </w:tabs>
            <w:rPr>
              <w:noProof/>
            </w:rPr>
          </w:pPr>
          <w:hyperlink w:anchor="_Toc234514541" w:history="1">
            <w:r w:rsidRPr="00793194">
              <w:rPr>
                <w:rStyle w:val="Hyperlink"/>
                <w:noProof/>
              </w:rPr>
              <w:t>3.2 Tools and Libraries</w:t>
            </w:r>
            <w:r>
              <w:rPr>
                <w:noProof/>
              </w:rPr>
              <w:tab/>
            </w:r>
            <w:r>
              <w:rPr>
                <w:noProof/>
              </w:rPr>
              <w:fldChar w:fldCharType="begin"/>
            </w:r>
            <w:r>
              <w:rPr>
                <w:noProof/>
              </w:rPr>
              <w:instrText xml:space="preserve"> PAGEREF _Toc234514541 \h </w:instrText>
            </w:r>
            <w:r>
              <w:rPr>
                <w:noProof/>
              </w:rPr>
            </w:r>
            <w:r>
              <w:rPr>
                <w:noProof/>
              </w:rPr>
              <w:fldChar w:fldCharType="separate"/>
            </w:r>
            <w:r>
              <w:rPr>
                <w:noProof/>
              </w:rPr>
              <w:t>8</w:t>
            </w:r>
            <w:r>
              <w:rPr>
                <w:noProof/>
              </w:rPr>
              <w:fldChar w:fldCharType="end"/>
            </w:r>
          </w:hyperlink>
        </w:p>
        <w:p w:rsidR="00104130" w:rsidRDefault="00104130">
          <w:pPr>
            <w:pStyle w:val="TOC2"/>
            <w:tabs>
              <w:tab w:val="right" w:leader="dot" w:pos="9350"/>
            </w:tabs>
            <w:rPr>
              <w:noProof/>
            </w:rPr>
          </w:pPr>
          <w:hyperlink w:anchor="_Toc234514542" w:history="1">
            <w:r w:rsidRPr="00793194">
              <w:rPr>
                <w:rStyle w:val="Hyperlink"/>
                <w:noProof/>
              </w:rPr>
              <w:t>3.3 Project Workflow</w:t>
            </w:r>
            <w:r>
              <w:rPr>
                <w:noProof/>
              </w:rPr>
              <w:tab/>
            </w:r>
            <w:r>
              <w:rPr>
                <w:noProof/>
              </w:rPr>
              <w:fldChar w:fldCharType="begin"/>
            </w:r>
            <w:r>
              <w:rPr>
                <w:noProof/>
              </w:rPr>
              <w:instrText xml:space="preserve"> PAGEREF _Toc234514542 \h </w:instrText>
            </w:r>
            <w:r>
              <w:rPr>
                <w:noProof/>
              </w:rPr>
            </w:r>
            <w:r>
              <w:rPr>
                <w:noProof/>
              </w:rPr>
              <w:fldChar w:fldCharType="separate"/>
            </w:r>
            <w:r>
              <w:rPr>
                <w:noProof/>
              </w:rPr>
              <w:t>8</w:t>
            </w:r>
            <w:r>
              <w:rPr>
                <w:noProof/>
              </w:rPr>
              <w:fldChar w:fldCharType="end"/>
            </w:r>
          </w:hyperlink>
        </w:p>
        <w:p w:rsidR="00104130" w:rsidRDefault="00104130">
          <w:pPr>
            <w:pStyle w:val="TOC1"/>
            <w:tabs>
              <w:tab w:val="right" w:leader="dot" w:pos="9350"/>
            </w:tabs>
            <w:rPr>
              <w:noProof/>
            </w:rPr>
          </w:pPr>
          <w:hyperlink w:anchor="_Toc234514543" w:history="1">
            <w:r w:rsidRPr="00793194">
              <w:rPr>
                <w:rStyle w:val="Hyperlink"/>
                <w:noProof/>
              </w:rPr>
              <w:t>4. Dataset Description</w:t>
            </w:r>
            <w:r>
              <w:rPr>
                <w:noProof/>
              </w:rPr>
              <w:tab/>
            </w:r>
            <w:r>
              <w:rPr>
                <w:noProof/>
              </w:rPr>
              <w:fldChar w:fldCharType="begin"/>
            </w:r>
            <w:r>
              <w:rPr>
                <w:noProof/>
              </w:rPr>
              <w:instrText xml:space="preserve"> PAGEREF _Toc234514543 \h </w:instrText>
            </w:r>
            <w:r>
              <w:rPr>
                <w:noProof/>
              </w:rPr>
            </w:r>
            <w:r>
              <w:rPr>
                <w:noProof/>
              </w:rPr>
              <w:fldChar w:fldCharType="separate"/>
            </w:r>
            <w:r>
              <w:rPr>
                <w:noProof/>
              </w:rPr>
              <w:t>10</w:t>
            </w:r>
            <w:r>
              <w:rPr>
                <w:noProof/>
              </w:rPr>
              <w:fldChar w:fldCharType="end"/>
            </w:r>
          </w:hyperlink>
        </w:p>
        <w:p w:rsidR="00104130" w:rsidRDefault="00104130">
          <w:pPr>
            <w:pStyle w:val="TOC2"/>
            <w:tabs>
              <w:tab w:val="right" w:leader="dot" w:pos="9350"/>
            </w:tabs>
            <w:rPr>
              <w:noProof/>
            </w:rPr>
          </w:pPr>
          <w:hyperlink w:anchor="_Toc234514544" w:history="1">
            <w:r w:rsidRPr="00793194">
              <w:rPr>
                <w:rStyle w:val="Hyperlink"/>
                <w:noProof/>
              </w:rPr>
              <w:t>4.1 Fund Master Dataset</w:t>
            </w:r>
            <w:r>
              <w:rPr>
                <w:noProof/>
              </w:rPr>
              <w:tab/>
            </w:r>
            <w:r>
              <w:rPr>
                <w:noProof/>
              </w:rPr>
              <w:fldChar w:fldCharType="begin"/>
            </w:r>
            <w:r>
              <w:rPr>
                <w:noProof/>
              </w:rPr>
              <w:instrText xml:space="preserve"> PAGEREF _Toc234514544 \h </w:instrText>
            </w:r>
            <w:r>
              <w:rPr>
                <w:noProof/>
              </w:rPr>
            </w:r>
            <w:r>
              <w:rPr>
                <w:noProof/>
              </w:rPr>
              <w:fldChar w:fldCharType="separate"/>
            </w:r>
            <w:r>
              <w:rPr>
                <w:noProof/>
              </w:rPr>
              <w:t>10</w:t>
            </w:r>
            <w:r>
              <w:rPr>
                <w:noProof/>
              </w:rPr>
              <w:fldChar w:fldCharType="end"/>
            </w:r>
          </w:hyperlink>
        </w:p>
        <w:p w:rsidR="00104130" w:rsidRDefault="00104130">
          <w:pPr>
            <w:pStyle w:val="TOC2"/>
            <w:tabs>
              <w:tab w:val="right" w:leader="dot" w:pos="9350"/>
            </w:tabs>
            <w:rPr>
              <w:noProof/>
            </w:rPr>
          </w:pPr>
          <w:hyperlink w:anchor="_Toc234514545" w:history="1">
            <w:r w:rsidRPr="00793194">
              <w:rPr>
                <w:rStyle w:val="Hyperlink"/>
                <w:noProof/>
              </w:rPr>
              <w:t>4.2 NAV History Dataset</w:t>
            </w:r>
            <w:r>
              <w:rPr>
                <w:noProof/>
              </w:rPr>
              <w:tab/>
            </w:r>
            <w:r>
              <w:rPr>
                <w:noProof/>
              </w:rPr>
              <w:fldChar w:fldCharType="begin"/>
            </w:r>
            <w:r>
              <w:rPr>
                <w:noProof/>
              </w:rPr>
              <w:instrText xml:space="preserve"> PAGEREF _Toc234514545 \h </w:instrText>
            </w:r>
            <w:r>
              <w:rPr>
                <w:noProof/>
              </w:rPr>
            </w:r>
            <w:r>
              <w:rPr>
                <w:noProof/>
              </w:rPr>
              <w:fldChar w:fldCharType="separate"/>
            </w:r>
            <w:r>
              <w:rPr>
                <w:noProof/>
              </w:rPr>
              <w:t>10</w:t>
            </w:r>
            <w:r>
              <w:rPr>
                <w:noProof/>
              </w:rPr>
              <w:fldChar w:fldCharType="end"/>
            </w:r>
          </w:hyperlink>
        </w:p>
        <w:p w:rsidR="00104130" w:rsidRDefault="00104130">
          <w:pPr>
            <w:pStyle w:val="TOC2"/>
            <w:tabs>
              <w:tab w:val="right" w:leader="dot" w:pos="9350"/>
            </w:tabs>
            <w:rPr>
              <w:noProof/>
            </w:rPr>
          </w:pPr>
          <w:hyperlink w:anchor="_Toc234514546" w:history="1">
            <w:r w:rsidRPr="00793194">
              <w:rPr>
                <w:rStyle w:val="Hyperlink"/>
                <w:noProof/>
              </w:rPr>
              <w:t>4.3 Investor Transactions Dataset</w:t>
            </w:r>
            <w:r>
              <w:rPr>
                <w:noProof/>
              </w:rPr>
              <w:tab/>
            </w:r>
            <w:r>
              <w:rPr>
                <w:noProof/>
              </w:rPr>
              <w:fldChar w:fldCharType="begin"/>
            </w:r>
            <w:r>
              <w:rPr>
                <w:noProof/>
              </w:rPr>
              <w:instrText xml:space="preserve"> PAGEREF _Toc234514546 \h </w:instrText>
            </w:r>
            <w:r>
              <w:rPr>
                <w:noProof/>
              </w:rPr>
            </w:r>
            <w:r>
              <w:rPr>
                <w:noProof/>
              </w:rPr>
              <w:fldChar w:fldCharType="separate"/>
            </w:r>
            <w:r>
              <w:rPr>
                <w:noProof/>
              </w:rPr>
              <w:t>10</w:t>
            </w:r>
            <w:r>
              <w:rPr>
                <w:noProof/>
              </w:rPr>
              <w:fldChar w:fldCharType="end"/>
            </w:r>
          </w:hyperlink>
        </w:p>
        <w:p w:rsidR="00104130" w:rsidRDefault="00104130">
          <w:pPr>
            <w:pStyle w:val="TOC2"/>
            <w:tabs>
              <w:tab w:val="right" w:leader="dot" w:pos="9350"/>
            </w:tabs>
            <w:rPr>
              <w:noProof/>
            </w:rPr>
          </w:pPr>
          <w:hyperlink w:anchor="_Toc234514547" w:history="1">
            <w:r w:rsidRPr="00793194">
              <w:rPr>
                <w:rStyle w:val="Hyperlink"/>
                <w:noProof/>
              </w:rPr>
              <w:t>4.4 Other Supporting Datasets</w:t>
            </w:r>
            <w:r>
              <w:rPr>
                <w:noProof/>
              </w:rPr>
              <w:tab/>
            </w:r>
            <w:r>
              <w:rPr>
                <w:noProof/>
              </w:rPr>
              <w:fldChar w:fldCharType="begin"/>
            </w:r>
            <w:r>
              <w:rPr>
                <w:noProof/>
              </w:rPr>
              <w:instrText xml:space="preserve"> PAGEREF _Toc234514547 \h </w:instrText>
            </w:r>
            <w:r>
              <w:rPr>
                <w:noProof/>
              </w:rPr>
            </w:r>
            <w:r>
              <w:rPr>
                <w:noProof/>
              </w:rPr>
              <w:fldChar w:fldCharType="separate"/>
            </w:r>
            <w:r>
              <w:rPr>
                <w:noProof/>
              </w:rPr>
              <w:t>11</w:t>
            </w:r>
            <w:r>
              <w:rPr>
                <w:noProof/>
              </w:rPr>
              <w:fldChar w:fldCharType="end"/>
            </w:r>
          </w:hyperlink>
        </w:p>
        <w:p w:rsidR="00104130" w:rsidRDefault="00104130">
          <w:pPr>
            <w:pStyle w:val="TOC1"/>
            <w:tabs>
              <w:tab w:val="right" w:leader="dot" w:pos="9350"/>
            </w:tabs>
            <w:rPr>
              <w:noProof/>
            </w:rPr>
          </w:pPr>
          <w:hyperlink w:anchor="_Toc234514548" w:history="1">
            <w:r w:rsidRPr="00793194">
              <w:rPr>
                <w:rStyle w:val="Hyperlink"/>
                <w:noProof/>
              </w:rPr>
              <w:t>5. ETL Pipeline</w:t>
            </w:r>
            <w:r>
              <w:rPr>
                <w:noProof/>
              </w:rPr>
              <w:tab/>
            </w:r>
            <w:r>
              <w:rPr>
                <w:noProof/>
              </w:rPr>
              <w:fldChar w:fldCharType="begin"/>
            </w:r>
            <w:r>
              <w:rPr>
                <w:noProof/>
              </w:rPr>
              <w:instrText xml:space="preserve"> PAGEREF _Toc234514548 \h </w:instrText>
            </w:r>
            <w:r>
              <w:rPr>
                <w:noProof/>
              </w:rPr>
            </w:r>
            <w:r>
              <w:rPr>
                <w:noProof/>
              </w:rPr>
              <w:fldChar w:fldCharType="separate"/>
            </w:r>
            <w:r>
              <w:rPr>
                <w:noProof/>
              </w:rPr>
              <w:t>12</w:t>
            </w:r>
            <w:r>
              <w:rPr>
                <w:noProof/>
              </w:rPr>
              <w:fldChar w:fldCharType="end"/>
            </w:r>
          </w:hyperlink>
        </w:p>
        <w:p w:rsidR="00104130" w:rsidRDefault="00104130">
          <w:pPr>
            <w:pStyle w:val="TOC2"/>
            <w:tabs>
              <w:tab w:val="right" w:leader="dot" w:pos="9350"/>
            </w:tabs>
            <w:rPr>
              <w:noProof/>
            </w:rPr>
          </w:pPr>
          <w:hyperlink w:anchor="_Toc234514549" w:history="1">
            <w:r w:rsidRPr="00793194">
              <w:rPr>
                <w:rStyle w:val="Hyperlink"/>
                <w:noProof/>
              </w:rPr>
              <w:t>5.1 Extract</w:t>
            </w:r>
            <w:r>
              <w:rPr>
                <w:noProof/>
              </w:rPr>
              <w:tab/>
            </w:r>
            <w:r>
              <w:rPr>
                <w:noProof/>
              </w:rPr>
              <w:fldChar w:fldCharType="begin"/>
            </w:r>
            <w:r>
              <w:rPr>
                <w:noProof/>
              </w:rPr>
              <w:instrText xml:space="preserve"> PAGEREF _Toc234514549 \h </w:instrText>
            </w:r>
            <w:r>
              <w:rPr>
                <w:noProof/>
              </w:rPr>
            </w:r>
            <w:r>
              <w:rPr>
                <w:noProof/>
              </w:rPr>
              <w:fldChar w:fldCharType="separate"/>
            </w:r>
            <w:r>
              <w:rPr>
                <w:noProof/>
              </w:rPr>
              <w:t>12</w:t>
            </w:r>
            <w:r>
              <w:rPr>
                <w:noProof/>
              </w:rPr>
              <w:fldChar w:fldCharType="end"/>
            </w:r>
          </w:hyperlink>
        </w:p>
        <w:p w:rsidR="00104130" w:rsidRDefault="00104130">
          <w:pPr>
            <w:pStyle w:val="TOC2"/>
            <w:tabs>
              <w:tab w:val="right" w:leader="dot" w:pos="9350"/>
            </w:tabs>
            <w:rPr>
              <w:noProof/>
            </w:rPr>
          </w:pPr>
          <w:hyperlink w:anchor="_Toc234514550" w:history="1">
            <w:r w:rsidRPr="00793194">
              <w:rPr>
                <w:rStyle w:val="Hyperlink"/>
                <w:noProof/>
              </w:rPr>
              <w:t>5.2 Transform</w:t>
            </w:r>
            <w:r>
              <w:rPr>
                <w:noProof/>
              </w:rPr>
              <w:tab/>
            </w:r>
            <w:r>
              <w:rPr>
                <w:noProof/>
              </w:rPr>
              <w:fldChar w:fldCharType="begin"/>
            </w:r>
            <w:r>
              <w:rPr>
                <w:noProof/>
              </w:rPr>
              <w:instrText xml:space="preserve"> PAGEREF _Toc234514550 \h </w:instrText>
            </w:r>
            <w:r>
              <w:rPr>
                <w:noProof/>
              </w:rPr>
            </w:r>
            <w:r>
              <w:rPr>
                <w:noProof/>
              </w:rPr>
              <w:fldChar w:fldCharType="separate"/>
            </w:r>
            <w:r>
              <w:rPr>
                <w:noProof/>
              </w:rPr>
              <w:t>12</w:t>
            </w:r>
            <w:r>
              <w:rPr>
                <w:noProof/>
              </w:rPr>
              <w:fldChar w:fldCharType="end"/>
            </w:r>
          </w:hyperlink>
        </w:p>
        <w:p w:rsidR="00104130" w:rsidRDefault="00104130">
          <w:pPr>
            <w:pStyle w:val="TOC2"/>
            <w:tabs>
              <w:tab w:val="right" w:leader="dot" w:pos="9350"/>
            </w:tabs>
            <w:rPr>
              <w:noProof/>
            </w:rPr>
          </w:pPr>
          <w:hyperlink w:anchor="_Toc234514551" w:history="1">
            <w:r w:rsidRPr="00793194">
              <w:rPr>
                <w:rStyle w:val="Hyperlink"/>
                <w:noProof/>
              </w:rPr>
              <w:t>5.3 Load</w:t>
            </w:r>
            <w:r>
              <w:rPr>
                <w:noProof/>
              </w:rPr>
              <w:tab/>
            </w:r>
            <w:r>
              <w:rPr>
                <w:noProof/>
              </w:rPr>
              <w:fldChar w:fldCharType="begin"/>
            </w:r>
            <w:r>
              <w:rPr>
                <w:noProof/>
              </w:rPr>
              <w:instrText xml:space="preserve"> PAGEREF _Toc234514551 \h </w:instrText>
            </w:r>
            <w:r>
              <w:rPr>
                <w:noProof/>
              </w:rPr>
            </w:r>
            <w:r>
              <w:rPr>
                <w:noProof/>
              </w:rPr>
              <w:fldChar w:fldCharType="separate"/>
            </w:r>
            <w:r>
              <w:rPr>
                <w:noProof/>
              </w:rPr>
              <w:t>12</w:t>
            </w:r>
            <w:r>
              <w:rPr>
                <w:noProof/>
              </w:rPr>
              <w:fldChar w:fldCharType="end"/>
            </w:r>
          </w:hyperlink>
        </w:p>
        <w:p w:rsidR="00104130" w:rsidRDefault="00104130">
          <w:pPr>
            <w:pStyle w:val="TOC2"/>
            <w:tabs>
              <w:tab w:val="right" w:leader="dot" w:pos="9350"/>
            </w:tabs>
            <w:rPr>
              <w:noProof/>
            </w:rPr>
          </w:pPr>
          <w:hyperlink w:anchor="_Toc234514552" w:history="1">
            <w:r w:rsidRPr="00793194">
              <w:rPr>
                <w:rStyle w:val="Hyperlink"/>
                <w:noProof/>
              </w:rPr>
              <w:t>5.4 Data Quality Summary</w:t>
            </w:r>
            <w:r>
              <w:rPr>
                <w:noProof/>
              </w:rPr>
              <w:tab/>
            </w:r>
            <w:r>
              <w:rPr>
                <w:noProof/>
              </w:rPr>
              <w:fldChar w:fldCharType="begin"/>
            </w:r>
            <w:r>
              <w:rPr>
                <w:noProof/>
              </w:rPr>
              <w:instrText xml:space="preserve"> PAGEREF _Toc234514552 \h </w:instrText>
            </w:r>
            <w:r>
              <w:rPr>
                <w:noProof/>
              </w:rPr>
            </w:r>
            <w:r>
              <w:rPr>
                <w:noProof/>
              </w:rPr>
              <w:fldChar w:fldCharType="separate"/>
            </w:r>
            <w:r>
              <w:rPr>
                <w:noProof/>
              </w:rPr>
              <w:t>13</w:t>
            </w:r>
            <w:r>
              <w:rPr>
                <w:noProof/>
              </w:rPr>
              <w:fldChar w:fldCharType="end"/>
            </w:r>
          </w:hyperlink>
        </w:p>
        <w:p w:rsidR="00104130" w:rsidRDefault="00104130">
          <w:pPr>
            <w:pStyle w:val="TOC1"/>
            <w:tabs>
              <w:tab w:val="right" w:leader="dot" w:pos="9350"/>
            </w:tabs>
            <w:rPr>
              <w:noProof/>
            </w:rPr>
          </w:pPr>
          <w:hyperlink w:anchor="_Toc234514553" w:history="1">
            <w:r w:rsidRPr="00793194">
              <w:rPr>
                <w:rStyle w:val="Hyperlink"/>
                <w:noProof/>
              </w:rPr>
              <w:t>6. Database Design</w:t>
            </w:r>
            <w:r>
              <w:rPr>
                <w:noProof/>
              </w:rPr>
              <w:tab/>
            </w:r>
            <w:r>
              <w:rPr>
                <w:noProof/>
              </w:rPr>
              <w:fldChar w:fldCharType="begin"/>
            </w:r>
            <w:r>
              <w:rPr>
                <w:noProof/>
              </w:rPr>
              <w:instrText xml:space="preserve"> PAGEREF _Toc234514553 \h </w:instrText>
            </w:r>
            <w:r>
              <w:rPr>
                <w:noProof/>
              </w:rPr>
            </w:r>
            <w:r>
              <w:rPr>
                <w:noProof/>
              </w:rPr>
              <w:fldChar w:fldCharType="separate"/>
            </w:r>
            <w:r>
              <w:rPr>
                <w:noProof/>
              </w:rPr>
              <w:t>14</w:t>
            </w:r>
            <w:r>
              <w:rPr>
                <w:noProof/>
              </w:rPr>
              <w:fldChar w:fldCharType="end"/>
            </w:r>
          </w:hyperlink>
        </w:p>
        <w:p w:rsidR="00104130" w:rsidRDefault="00104130">
          <w:pPr>
            <w:pStyle w:val="TOC2"/>
            <w:tabs>
              <w:tab w:val="right" w:leader="dot" w:pos="9350"/>
            </w:tabs>
            <w:rPr>
              <w:noProof/>
            </w:rPr>
          </w:pPr>
          <w:hyperlink w:anchor="_Toc234514554" w:history="1">
            <w:r w:rsidRPr="00793194">
              <w:rPr>
                <w:rStyle w:val="Hyperlink"/>
                <w:noProof/>
              </w:rPr>
              <w:t>6.1 Entity-Relationship Overview</w:t>
            </w:r>
            <w:r>
              <w:rPr>
                <w:noProof/>
              </w:rPr>
              <w:tab/>
            </w:r>
            <w:r>
              <w:rPr>
                <w:noProof/>
              </w:rPr>
              <w:fldChar w:fldCharType="begin"/>
            </w:r>
            <w:r>
              <w:rPr>
                <w:noProof/>
              </w:rPr>
              <w:instrText xml:space="preserve"> PAGEREF _Toc234514554 \h </w:instrText>
            </w:r>
            <w:r>
              <w:rPr>
                <w:noProof/>
              </w:rPr>
            </w:r>
            <w:r>
              <w:rPr>
                <w:noProof/>
              </w:rPr>
              <w:fldChar w:fldCharType="separate"/>
            </w:r>
            <w:r>
              <w:rPr>
                <w:noProof/>
              </w:rPr>
              <w:t>14</w:t>
            </w:r>
            <w:r>
              <w:rPr>
                <w:noProof/>
              </w:rPr>
              <w:fldChar w:fldCharType="end"/>
            </w:r>
          </w:hyperlink>
        </w:p>
        <w:p w:rsidR="00104130" w:rsidRDefault="00104130">
          <w:pPr>
            <w:pStyle w:val="TOC2"/>
            <w:tabs>
              <w:tab w:val="right" w:leader="dot" w:pos="9350"/>
            </w:tabs>
            <w:rPr>
              <w:noProof/>
            </w:rPr>
          </w:pPr>
          <w:hyperlink w:anchor="_Toc234514555" w:history="1">
            <w:r w:rsidRPr="00793194">
              <w:rPr>
                <w:rStyle w:val="Hyperlink"/>
                <w:noProof/>
              </w:rPr>
              <w:t>6.2 Table Schema</w:t>
            </w:r>
            <w:r>
              <w:rPr>
                <w:noProof/>
              </w:rPr>
              <w:tab/>
            </w:r>
            <w:r>
              <w:rPr>
                <w:noProof/>
              </w:rPr>
              <w:fldChar w:fldCharType="begin"/>
            </w:r>
            <w:r>
              <w:rPr>
                <w:noProof/>
              </w:rPr>
              <w:instrText xml:space="preserve"> PAGEREF _Toc234514555 \h </w:instrText>
            </w:r>
            <w:r>
              <w:rPr>
                <w:noProof/>
              </w:rPr>
            </w:r>
            <w:r>
              <w:rPr>
                <w:noProof/>
              </w:rPr>
              <w:fldChar w:fldCharType="separate"/>
            </w:r>
            <w:r>
              <w:rPr>
                <w:noProof/>
              </w:rPr>
              <w:t>14</w:t>
            </w:r>
            <w:r>
              <w:rPr>
                <w:noProof/>
              </w:rPr>
              <w:fldChar w:fldCharType="end"/>
            </w:r>
          </w:hyperlink>
        </w:p>
        <w:p w:rsidR="00104130" w:rsidRDefault="00104130">
          <w:pPr>
            <w:pStyle w:val="TOC3"/>
            <w:tabs>
              <w:tab w:val="right" w:leader="dot" w:pos="9350"/>
            </w:tabs>
            <w:rPr>
              <w:noProof/>
            </w:rPr>
          </w:pPr>
          <w:hyperlink w:anchor="_Toc234514556" w:history="1">
            <w:r w:rsidRPr="00793194">
              <w:rPr>
                <w:rStyle w:val="Hyperlink"/>
                <w:noProof/>
              </w:rPr>
              <w:t>dim_fund</w:t>
            </w:r>
            <w:r>
              <w:rPr>
                <w:noProof/>
              </w:rPr>
              <w:tab/>
            </w:r>
            <w:r>
              <w:rPr>
                <w:noProof/>
              </w:rPr>
              <w:fldChar w:fldCharType="begin"/>
            </w:r>
            <w:r>
              <w:rPr>
                <w:noProof/>
              </w:rPr>
              <w:instrText xml:space="preserve"> PAGEREF _Toc234514556 \h </w:instrText>
            </w:r>
            <w:r>
              <w:rPr>
                <w:noProof/>
              </w:rPr>
            </w:r>
            <w:r>
              <w:rPr>
                <w:noProof/>
              </w:rPr>
              <w:fldChar w:fldCharType="separate"/>
            </w:r>
            <w:r>
              <w:rPr>
                <w:noProof/>
              </w:rPr>
              <w:t>14</w:t>
            </w:r>
            <w:r>
              <w:rPr>
                <w:noProof/>
              </w:rPr>
              <w:fldChar w:fldCharType="end"/>
            </w:r>
          </w:hyperlink>
        </w:p>
        <w:p w:rsidR="00104130" w:rsidRDefault="00104130">
          <w:pPr>
            <w:pStyle w:val="TOC3"/>
            <w:tabs>
              <w:tab w:val="right" w:leader="dot" w:pos="9350"/>
            </w:tabs>
            <w:rPr>
              <w:noProof/>
            </w:rPr>
          </w:pPr>
          <w:hyperlink w:anchor="_Toc234514557" w:history="1">
            <w:r w:rsidRPr="00793194">
              <w:rPr>
                <w:rStyle w:val="Hyperlink"/>
                <w:noProof/>
              </w:rPr>
              <w:t>fact_nav</w:t>
            </w:r>
            <w:r>
              <w:rPr>
                <w:noProof/>
              </w:rPr>
              <w:tab/>
            </w:r>
            <w:r>
              <w:rPr>
                <w:noProof/>
              </w:rPr>
              <w:fldChar w:fldCharType="begin"/>
            </w:r>
            <w:r>
              <w:rPr>
                <w:noProof/>
              </w:rPr>
              <w:instrText xml:space="preserve"> PAGEREF _Toc234514557 \h </w:instrText>
            </w:r>
            <w:r>
              <w:rPr>
                <w:noProof/>
              </w:rPr>
            </w:r>
            <w:r>
              <w:rPr>
                <w:noProof/>
              </w:rPr>
              <w:fldChar w:fldCharType="separate"/>
            </w:r>
            <w:r>
              <w:rPr>
                <w:noProof/>
              </w:rPr>
              <w:t>14</w:t>
            </w:r>
            <w:r>
              <w:rPr>
                <w:noProof/>
              </w:rPr>
              <w:fldChar w:fldCharType="end"/>
            </w:r>
          </w:hyperlink>
        </w:p>
        <w:p w:rsidR="00104130" w:rsidRDefault="00104130">
          <w:pPr>
            <w:pStyle w:val="TOC3"/>
            <w:tabs>
              <w:tab w:val="right" w:leader="dot" w:pos="9350"/>
            </w:tabs>
            <w:rPr>
              <w:noProof/>
            </w:rPr>
          </w:pPr>
          <w:hyperlink w:anchor="_Toc234514558" w:history="1">
            <w:r w:rsidRPr="00793194">
              <w:rPr>
                <w:rStyle w:val="Hyperlink"/>
                <w:noProof/>
              </w:rPr>
              <w:t>fact_transactions</w:t>
            </w:r>
            <w:r>
              <w:rPr>
                <w:noProof/>
              </w:rPr>
              <w:tab/>
            </w:r>
            <w:r>
              <w:rPr>
                <w:noProof/>
              </w:rPr>
              <w:fldChar w:fldCharType="begin"/>
            </w:r>
            <w:r>
              <w:rPr>
                <w:noProof/>
              </w:rPr>
              <w:instrText xml:space="preserve"> PAGEREF _Toc234514558 \h </w:instrText>
            </w:r>
            <w:r>
              <w:rPr>
                <w:noProof/>
              </w:rPr>
            </w:r>
            <w:r>
              <w:rPr>
                <w:noProof/>
              </w:rPr>
              <w:fldChar w:fldCharType="separate"/>
            </w:r>
            <w:r>
              <w:rPr>
                <w:noProof/>
              </w:rPr>
              <w:t>14</w:t>
            </w:r>
            <w:r>
              <w:rPr>
                <w:noProof/>
              </w:rPr>
              <w:fldChar w:fldCharType="end"/>
            </w:r>
          </w:hyperlink>
        </w:p>
        <w:p w:rsidR="00104130" w:rsidRDefault="00104130">
          <w:pPr>
            <w:pStyle w:val="TOC3"/>
            <w:tabs>
              <w:tab w:val="right" w:leader="dot" w:pos="9350"/>
            </w:tabs>
            <w:rPr>
              <w:noProof/>
            </w:rPr>
          </w:pPr>
          <w:hyperlink w:anchor="_Toc234514559" w:history="1">
            <w:r w:rsidRPr="00793194">
              <w:rPr>
                <w:rStyle w:val="Hyperlink"/>
                <w:noProof/>
              </w:rPr>
              <w:t>fact_performance</w:t>
            </w:r>
            <w:r>
              <w:rPr>
                <w:noProof/>
              </w:rPr>
              <w:tab/>
            </w:r>
            <w:r>
              <w:rPr>
                <w:noProof/>
              </w:rPr>
              <w:fldChar w:fldCharType="begin"/>
            </w:r>
            <w:r>
              <w:rPr>
                <w:noProof/>
              </w:rPr>
              <w:instrText xml:space="preserve"> PAGEREF _Toc234514559 \h </w:instrText>
            </w:r>
            <w:r>
              <w:rPr>
                <w:noProof/>
              </w:rPr>
            </w:r>
            <w:r>
              <w:rPr>
                <w:noProof/>
              </w:rPr>
              <w:fldChar w:fldCharType="separate"/>
            </w:r>
            <w:r>
              <w:rPr>
                <w:noProof/>
              </w:rPr>
              <w:t>15</w:t>
            </w:r>
            <w:r>
              <w:rPr>
                <w:noProof/>
              </w:rPr>
              <w:fldChar w:fldCharType="end"/>
            </w:r>
          </w:hyperlink>
        </w:p>
        <w:p w:rsidR="00104130" w:rsidRDefault="00104130">
          <w:pPr>
            <w:pStyle w:val="TOC2"/>
            <w:tabs>
              <w:tab w:val="right" w:leader="dot" w:pos="9350"/>
            </w:tabs>
            <w:rPr>
              <w:noProof/>
            </w:rPr>
          </w:pPr>
          <w:hyperlink w:anchor="_Toc234514560" w:history="1">
            <w:r w:rsidRPr="00793194">
              <w:rPr>
                <w:rStyle w:val="Hyperlink"/>
                <w:noProof/>
              </w:rPr>
              <w:t>6.3 Database Statistics</w:t>
            </w:r>
            <w:r>
              <w:rPr>
                <w:noProof/>
              </w:rPr>
              <w:tab/>
            </w:r>
            <w:r>
              <w:rPr>
                <w:noProof/>
              </w:rPr>
              <w:fldChar w:fldCharType="begin"/>
            </w:r>
            <w:r>
              <w:rPr>
                <w:noProof/>
              </w:rPr>
              <w:instrText xml:space="preserve"> PAGEREF _Toc234514560 \h </w:instrText>
            </w:r>
            <w:r>
              <w:rPr>
                <w:noProof/>
              </w:rPr>
            </w:r>
            <w:r>
              <w:rPr>
                <w:noProof/>
              </w:rPr>
              <w:fldChar w:fldCharType="separate"/>
            </w:r>
            <w:r>
              <w:rPr>
                <w:noProof/>
              </w:rPr>
              <w:t>15</w:t>
            </w:r>
            <w:r>
              <w:rPr>
                <w:noProof/>
              </w:rPr>
              <w:fldChar w:fldCharType="end"/>
            </w:r>
          </w:hyperlink>
        </w:p>
        <w:p w:rsidR="00104130" w:rsidRDefault="00104130">
          <w:pPr>
            <w:pStyle w:val="TOC2"/>
            <w:tabs>
              <w:tab w:val="right" w:leader="dot" w:pos="9350"/>
            </w:tabs>
            <w:rPr>
              <w:noProof/>
            </w:rPr>
          </w:pPr>
          <w:hyperlink w:anchor="_Toc234514561" w:history="1">
            <w:r w:rsidRPr="00793194">
              <w:rPr>
                <w:rStyle w:val="Hyperlink"/>
                <w:noProof/>
              </w:rPr>
              <w:t>6.4 Schema Definition (DDL)</w:t>
            </w:r>
            <w:r>
              <w:rPr>
                <w:noProof/>
              </w:rPr>
              <w:tab/>
            </w:r>
            <w:r>
              <w:rPr>
                <w:noProof/>
              </w:rPr>
              <w:fldChar w:fldCharType="begin"/>
            </w:r>
            <w:r>
              <w:rPr>
                <w:noProof/>
              </w:rPr>
              <w:instrText xml:space="preserve"> PAGEREF _Toc234514561 \h </w:instrText>
            </w:r>
            <w:r>
              <w:rPr>
                <w:noProof/>
              </w:rPr>
            </w:r>
            <w:r>
              <w:rPr>
                <w:noProof/>
              </w:rPr>
              <w:fldChar w:fldCharType="separate"/>
            </w:r>
            <w:r>
              <w:rPr>
                <w:noProof/>
              </w:rPr>
              <w:t>15</w:t>
            </w:r>
            <w:r>
              <w:rPr>
                <w:noProof/>
              </w:rPr>
              <w:fldChar w:fldCharType="end"/>
            </w:r>
          </w:hyperlink>
        </w:p>
        <w:p w:rsidR="00104130" w:rsidRDefault="00104130">
          <w:pPr>
            <w:pStyle w:val="TOC1"/>
            <w:tabs>
              <w:tab w:val="right" w:leader="dot" w:pos="9350"/>
            </w:tabs>
            <w:rPr>
              <w:noProof/>
            </w:rPr>
          </w:pPr>
          <w:hyperlink w:anchor="_Toc234514562" w:history="1">
            <w:r w:rsidRPr="00793194">
              <w:rPr>
                <w:rStyle w:val="Hyperlink"/>
                <w:noProof/>
              </w:rPr>
              <w:t>7. SQL Queries</w:t>
            </w:r>
            <w:r>
              <w:rPr>
                <w:noProof/>
              </w:rPr>
              <w:tab/>
            </w:r>
            <w:r>
              <w:rPr>
                <w:noProof/>
              </w:rPr>
              <w:fldChar w:fldCharType="begin"/>
            </w:r>
            <w:r>
              <w:rPr>
                <w:noProof/>
              </w:rPr>
              <w:instrText xml:space="preserve"> PAGEREF _Toc234514562 \h </w:instrText>
            </w:r>
            <w:r>
              <w:rPr>
                <w:noProof/>
              </w:rPr>
            </w:r>
            <w:r>
              <w:rPr>
                <w:noProof/>
              </w:rPr>
              <w:fldChar w:fldCharType="separate"/>
            </w:r>
            <w:r>
              <w:rPr>
                <w:noProof/>
              </w:rPr>
              <w:t>16</w:t>
            </w:r>
            <w:r>
              <w:rPr>
                <w:noProof/>
              </w:rPr>
              <w:fldChar w:fldCharType="end"/>
            </w:r>
          </w:hyperlink>
        </w:p>
        <w:p w:rsidR="00104130" w:rsidRDefault="00104130">
          <w:pPr>
            <w:pStyle w:val="TOC2"/>
            <w:tabs>
              <w:tab w:val="right" w:leader="dot" w:pos="9350"/>
            </w:tabs>
            <w:rPr>
              <w:noProof/>
            </w:rPr>
          </w:pPr>
          <w:hyperlink w:anchor="_Toc234514563" w:history="1">
            <w:r w:rsidRPr="00793194">
              <w:rPr>
                <w:rStyle w:val="Hyperlink"/>
                <w:noProof/>
              </w:rPr>
              <w:t>7.1 Representative Queries</w:t>
            </w:r>
            <w:r>
              <w:rPr>
                <w:noProof/>
              </w:rPr>
              <w:tab/>
            </w:r>
            <w:r>
              <w:rPr>
                <w:noProof/>
              </w:rPr>
              <w:fldChar w:fldCharType="begin"/>
            </w:r>
            <w:r>
              <w:rPr>
                <w:noProof/>
              </w:rPr>
              <w:instrText xml:space="preserve"> PAGEREF _Toc234514563 \h </w:instrText>
            </w:r>
            <w:r>
              <w:rPr>
                <w:noProof/>
              </w:rPr>
            </w:r>
            <w:r>
              <w:rPr>
                <w:noProof/>
              </w:rPr>
              <w:fldChar w:fldCharType="separate"/>
            </w:r>
            <w:r>
              <w:rPr>
                <w:noProof/>
              </w:rPr>
              <w:t>16</w:t>
            </w:r>
            <w:r>
              <w:rPr>
                <w:noProof/>
              </w:rPr>
              <w:fldChar w:fldCharType="end"/>
            </w:r>
          </w:hyperlink>
        </w:p>
        <w:p w:rsidR="00104130" w:rsidRDefault="00104130">
          <w:pPr>
            <w:pStyle w:val="TOC2"/>
            <w:tabs>
              <w:tab w:val="right" w:leader="dot" w:pos="9350"/>
            </w:tabs>
            <w:rPr>
              <w:noProof/>
            </w:rPr>
          </w:pPr>
          <w:hyperlink w:anchor="_Toc234514564" w:history="1">
            <w:r w:rsidRPr="00793194">
              <w:rPr>
                <w:rStyle w:val="Hyperlink"/>
                <w:noProof/>
              </w:rPr>
              <w:t>7.2 Query Insights</w:t>
            </w:r>
            <w:r>
              <w:rPr>
                <w:noProof/>
              </w:rPr>
              <w:tab/>
            </w:r>
            <w:r>
              <w:rPr>
                <w:noProof/>
              </w:rPr>
              <w:fldChar w:fldCharType="begin"/>
            </w:r>
            <w:r>
              <w:rPr>
                <w:noProof/>
              </w:rPr>
              <w:instrText xml:space="preserve"> PAGEREF _Toc234514564 \h </w:instrText>
            </w:r>
            <w:r>
              <w:rPr>
                <w:noProof/>
              </w:rPr>
            </w:r>
            <w:r>
              <w:rPr>
                <w:noProof/>
              </w:rPr>
              <w:fldChar w:fldCharType="separate"/>
            </w:r>
            <w:r>
              <w:rPr>
                <w:noProof/>
              </w:rPr>
              <w:t>16</w:t>
            </w:r>
            <w:r>
              <w:rPr>
                <w:noProof/>
              </w:rPr>
              <w:fldChar w:fldCharType="end"/>
            </w:r>
          </w:hyperlink>
        </w:p>
        <w:p w:rsidR="00104130" w:rsidRDefault="00104130">
          <w:pPr>
            <w:pStyle w:val="TOC1"/>
            <w:tabs>
              <w:tab w:val="right" w:leader="dot" w:pos="9350"/>
            </w:tabs>
            <w:rPr>
              <w:noProof/>
            </w:rPr>
          </w:pPr>
          <w:hyperlink w:anchor="_Toc234514565" w:history="1">
            <w:r w:rsidRPr="00793194">
              <w:rPr>
                <w:rStyle w:val="Hyperlink"/>
                <w:noProof/>
              </w:rPr>
              <w:t>8. Exploratory Data Analysis (EDA)</w:t>
            </w:r>
            <w:r>
              <w:rPr>
                <w:noProof/>
              </w:rPr>
              <w:tab/>
            </w:r>
            <w:r>
              <w:rPr>
                <w:noProof/>
              </w:rPr>
              <w:fldChar w:fldCharType="begin"/>
            </w:r>
            <w:r>
              <w:rPr>
                <w:noProof/>
              </w:rPr>
              <w:instrText xml:space="preserve"> PAGEREF _Toc234514565 \h </w:instrText>
            </w:r>
            <w:r>
              <w:rPr>
                <w:noProof/>
              </w:rPr>
            </w:r>
            <w:r>
              <w:rPr>
                <w:noProof/>
              </w:rPr>
              <w:fldChar w:fldCharType="separate"/>
            </w:r>
            <w:r>
              <w:rPr>
                <w:noProof/>
              </w:rPr>
              <w:t>18</w:t>
            </w:r>
            <w:r>
              <w:rPr>
                <w:noProof/>
              </w:rPr>
              <w:fldChar w:fldCharType="end"/>
            </w:r>
          </w:hyperlink>
        </w:p>
        <w:p w:rsidR="00104130" w:rsidRDefault="00104130">
          <w:pPr>
            <w:pStyle w:val="TOC2"/>
            <w:tabs>
              <w:tab w:val="right" w:leader="dot" w:pos="9350"/>
            </w:tabs>
            <w:rPr>
              <w:noProof/>
            </w:rPr>
          </w:pPr>
          <w:hyperlink w:anchor="_Toc234514566" w:history="1">
            <w:r w:rsidRPr="00793194">
              <w:rPr>
                <w:rStyle w:val="Hyperlink"/>
                <w:noProof/>
              </w:rPr>
              <w:t>8.1 NAV Trend Analysis</w:t>
            </w:r>
            <w:r>
              <w:rPr>
                <w:noProof/>
              </w:rPr>
              <w:tab/>
            </w:r>
            <w:r>
              <w:rPr>
                <w:noProof/>
              </w:rPr>
              <w:fldChar w:fldCharType="begin"/>
            </w:r>
            <w:r>
              <w:rPr>
                <w:noProof/>
              </w:rPr>
              <w:instrText xml:space="preserve"> PAGEREF _Toc234514566 \h </w:instrText>
            </w:r>
            <w:r>
              <w:rPr>
                <w:noProof/>
              </w:rPr>
            </w:r>
            <w:r>
              <w:rPr>
                <w:noProof/>
              </w:rPr>
              <w:fldChar w:fldCharType="separate"/>
            </w:r>
            <w:r>
              <w:rPr>
                <w:noProof/>
              </w:rPr>
              <w:t>18</w:t>
            </w:r>
            <w:r>
              <w:rPr>
                <w:noProof/>
              </w:rPr>
              <w:fldChar w:fldCharType="end"/>
            </w:r>
          </w:hyperlink>
        </w:p>
        <w:p w:rsidR="00104130" w:rsidRDefault="00104130">
          <w:pPr>
            <w:pStyle w:val="TOC2"/>
            <w:tabs>
              <w:tab w:val="right" w:leader="dot" w:pos="9350"/>
            </w:tabs>
            <w:rPr>
              <w:noProof/>
            </w:rPr>
          </w:pPr>
          <w:hyperlink w:anchor="_Toc234514567" w:history="1">
            <w:r w:rsidRPr="00793194">
              <w:rPr>
                <w:rStyle w:val="Hyperlink"/>
                <w:noProof/>
              </w:rPr>
              <w:t>8.2 AUM Growth Analysis</w:t>
            </w:r>
            <w:r>
              <w:rPr>
                <w:noProof/>
              </w:rPr>
              <w:tab/>
            </w:r>
            <w:r>
              <w:rPr>
                <w:noProof/>
              </w:rPr>
              <w:fldChar w:fldCharType="begin"/>
            </w:r>
            <w:r>
              <w:rPr>
                <w:noProof/>
              </w:rPr>
              <w:instrText xml:space="preserve"> PAGEREF _Toc234514567 \h </w:instrText>
            </w:r>
            <w:r>
              <w:rPr>
                <w:noProof/>
              </w:rPr>
            </w:r>
            <w:r>
              <w:rPr>
                <w:noProof/>
              </w:rPr>
              <w:fldChar w:fldCharType="separate"/>
            </w:r>
            <w:r>
              <w:rPr>
                <w:noProof/>
              </w:rPr>
              <w:t>18</w:t>
            </w:r>
            <w:r>
              <w:rPr>
                <w:noProof/>
              </w:rPr>
              <w:fldChar w:fldCharType="end"/>
            </w:r>
          </w:hyperlink>
        </w:p>
        <w:p w:rsidR="00104130" w:rsidRDefault="00104130">
          <w:pPr>
            <w:pStyle w:val="TOC2"/>
            <w:tabs>
              <w:tab w:val="right" w:leader="dot" w:pos="9350"/>
            </w:tabs>
            <w:rPr>
              <w:noProof/>
            </w:rPr>
          </w:pPr>
          <w:hyperlink w:anchor="_Toc234514568" w:history="1">
            <w:r w:rsidRPr="00793194">
              <w:rPr>
                <w:rStyle w:val="Hyperlink"/>
                <w:noProof/>
              </w:rPr>
              <w:t>8.3 SIP Inflow Analysis</w:t>
            </w:r>
            <w:r>
              <w:rPr>
                <w:noProof/>
              </w:rPr>
              <w:tab/>
            </w:r>
            <w:r>
              <w:rPr>
                <w:noProof/>
              </w:rPr>
              <w:fldChar w:fldCharType="begin"/>
            </w:r>
            <w:r>
              <w:rPr>
                <w:noProof/>
              </w:rPr>
              <w:instrText xml:space="preserve"> PAGEREF _Toc234514568 \h </w:instrText>
            </w:r>
            <w:r>
              <w:rPr>
                <w:noProof/>
              </w:rPr>
            </w:r>
            <w:r>
              <w:rPr>
                <w:noProof/>
              </w:rPr>
              <w:fldChar w:fldCharType="separate"/>
            </w:r>
            <w:r>
              <w:rPr>
                <w:noProof/>
              </w:rPr>
              <w:t>18</w:t>
            </w:r>
            <w:r>
              <w:rPr>
                <w:noProof/>
              </w:rPr>
              <w:fldChar w:fldCharType="end"/>
            </w:r>
          </w:hyperlink>
        </w:p>
        <w:p w:rsidR="00104130" w:rsidRDefault="00104130">
          <w:pPr>
            <w:pStyle w:val="TOC2"/>
            <w:tabs>
              <w:tab w:val="right" w:leader="dot" w:pos="9350"/>
            </w:tabs>
            <w:rPr>
              <w:noProof/>
            </w:rPr>
          </w:pPr>
          <w:hyperlink w:anchor="_Toc234514569" w:history="1">
            <w:r w:rsidRPr="00793194">
              <w:rPr>
                <w:rStyle w:val="Hyperlink"/>
                <w:noProof/>
              </w:rPr>
              <w:t>8.4 Category-Wise Inflow Heatmap</w:t>
            </w:r>
            <w:r>
              <w:rPr>
                <w:noProof/>
              </w:rPr>
              <w:tab/>
            </w:r>
            <w:r>
              <w:rPr>
                <w:noProof/>
              </w:rPr>
              <w:fldChar w:fldCharType="begin"/>
            </w:r>
            <w:r>
              <w:rPr>
                <w:noProof/>
              </w:rPr>
              <w:instrText xml:space="preserve"> PAGEREF _Toc234514569 \h </w:instrText>
            </w:r>
            <w:r>
              <w:rPr>
                <w:noProof/>
              </w:rPr>
            </w:r>
            <w:r>
              <w:rPr>
                <w:noProof/>
              </w:rPr>
              <w:fldChar w:fldCharType="separate"/>
            </w:r>
            <w:r>
              <w:rPr>
                <w:noProof/>
              </w:rPr>
              <w:t>18</w:t>
            </w:r>
            <w:r>
              <w:rPr>
                <w:noProof/>
              </w:rPr>
              <w:fldChar w:fldCharType="end"/>
            </w:r>
          </w:hyperlink>
        </w:p>
        <w:p w:rsidR="00104130" w:rsidRDefault="00104130">
          <w:pPr>
            <w:pStyle w:val="TOC2"/>
            <w:tabs>
              <w:tab w:val="right" w:leader="dot" w:pos="9350"/>
            </w:tabs>
            <w:rPr>
              <w:noProof/>
            </w:rPr>
          </w:pPr>
          <w:hyperlink w:anchor="_Toc234514570" w:history="1">
            <w:r w:rsidRPr="00793194">
              <w:rPr>
                <w:rStyle w:val="Hyperlink"/>
                <w:noProof/>
              </w:rPr>
              <w:t>8.5 Industry Folio Growth</w:t>
            </w:r>
            <w:r>
              <w:rPr>
                <w:noProof/>
              </w:rPr>
              <w:tab/>
            </w:r>
            <w:r>
              <w:rPr>
                <w:noProof/>
              </w:rPr>
              <w:fldChar w:fldCharType="begin"/>
            </w:r>
            <w:r>
              <w:rPr>
                <w:noProof/>
              </w:rPr>
              <w:instrText xml:space="preserve"> PAGEREF _Toc234514570 \h </w:instrText>
            </w:r>
            <w:r>
              <w:rPr>
                <w:noProof/>
              </w:rPr>
            </w:r>
            <w:r>
              <w:rPr>
                <w:noProof/>
              </w:rPr>
              <w:fldChar w:fldCharType="separate"/>
            </w:r>
            <w:r>
              <w:rPr>
                <w:noProof/>
              </w:rPr>
              <w:t>18</w:t>
            </w:r>
            <w:r>
              <w:rPr>
                <w:noProof/>
              </w:rPr>
              <w:fldChar w:fldCharType="end"/>
            </w:r>
          </w:hyperlink>
        </w:p>
        <w:bookmarkStart w:id="3" w:name="_GoBack"/>
        <w:p w:rsidR="00104130" w:rsidRDefault="00104130">
          <w:pPr>
            <w:pStyle w:val="TOC2"/>
            <w:tabs>
              <w:tab w:val="right" w:leader="dot" w:pos="9350"/>
            </w:tabs>
            <w:rPr>
              <w:noProof/>
            </w:rPr>
          </w:pPr>
          <w:r w:rsidRPr="00793194">
            <w:rPr>
              <w:rStyle w:val="Hyperlink"/>
              <w:noProof/>
            </w:rPr>
            <w:fldChar w:fldCharType="begin"/>
          </w:r>
          <w:r w:rsidRPr="00793194">
            <w:rPr>
              <w:rStyle w:val="Hyperlink"/>
              <w:noProof/>
            </w:rPr>
            <w:instrText xml:space="preserve"> </w:instrText>
          </w:r>
          <w:r>
            <w:rPr>
              <w:noProof/>
            </w:rPr>
            <w:instrText>HYPERLINK \l "_Toc234514571"</w:instrText>
          </w:r>
          <w:r w:rsidRPr="00793194">
            <w:rPr>
              <w:rStyle w:val="Hyperlink"/>
              <w:noProof/>
            </w:rPr>
            <w:instrText xml:space="preserve"> </w:instrText>
          </w:r>
          <w:r w:rsidRPr="00793194">
            <w:rPr>
              <w:rStyle w:val="Hyperlink"/>
              <w:noProof/>
            </w:rPr>
          </w:r>
          <w:r w:rsidRPr="00793194">
            <w:rPr>
              <w:rStyle w:val="Hyperlink"/>
              <w:noProof/>
            </w:rPr>
            <w:fldChar w:fldCharType="separate"/>
          </w:r>
          <w:r w:rsidRPr="00793194">
            <w:rPr>
              <w:rStyle w:val="Hyperlink"/>
              <w:noProof/>
            </w:rPr>
            <w:t>8.6 Sector Allocation Analysis</w:t>
          </w:r>
          <w:r>
            <w:rPr>
              <w:noProof/>
            </w:rPr>
            <w:tab/>
          </w:r>
          <w:r>
            <w:rPr>
              <w:noProof/>
            </w:rPr>
            <w:fldChar w:fldCharType="begin"/>
          </w:r>
          <w:r>
            <w:rPr>
              <w:noProof/>
            </w:rPr>
            <w:instrText xml:space="preserve"> PAGEREF _Toc234514571 \h </w:instrText>
          </w:r>
          <w:r>
            <w:rPr>
              <w:noProof/>
            </w:rPr>
          </w:r>
          <w:r>
            <w:rPr>
              <w:noProof/>
            </w:rPr>
            <w:fldChar w:fldCharType="separate"/>
          </w:r>
          <w:r>
            <w:rPr>
              <w:noProof/>
            </w:rPr>
            <w:t>19</w:t>
          </w:r>
          <w:r>
            <w:rPr>
              <w:noProof/>
            </w:rPr>
            <w:fldChar w:fldCharType="end"/>
          </w:r>
          <w:r w:rsidRPr="00793194">
            <w:rPr>
              <w:rStyle w:val="Hyperlink"/>
              <w:noProof/>
            </w:rPr>
            <w:fldChar w:fldCharType="end"/>
          </w:r>
        </w:p>
        <w:bookmarkEnd w:id="3"/>
        <w:p w:rsidR="00104130" w:rsidRDefault="00104130">
          <w:pPr>
            <w:pStyle w:val="TOC2"/>
            <w:tabs>
              <w:tab w:val="right" w:leader="dot" w:pos="9350"/>
            </w:tabs>
            <w:rPr>
              <w:noProof/>
            </w:rPr>
          </w:pPr>
          <w:r w:rsidRPr="00793194">
            <w:rPr>
              <w:rStyle w:val="Hyperlink"/>
              <w:noProof/>
            </w:rPr>
            <w:fldChar w:fldCharType="begin"/>
          </w:r>
          <w:r w:rsidRPr="00793194">
            <w:rPr>
              <w:rStyle w:val="Hyperlink"/>
              <w:noProof/>
            </w:rPr>
            <w:instrText xml:space="preserve"> </w:instrText>
          </w:r>
          <w:r>
            <w:rPr>
              <w:noProof/>
            </w:rPr>
            <w:instrText>HYPERLINK \l "_Toc234514572"</w:instrText>
          </w:r>
          <w:r w:rsidRPr="00793194">
            <w:rPr>
              <w:rStyle w:val="Hyperlink"/>
              <w:noProof/>
            </w:rPr>
            <w:instrText xml:space="preserve"> </w:instrText>
          </w:r>
          <w:r w:rsidRPr="00793194">
            <w:rPr>
              <w:rStyle w:val="Hyperlink"/>
              <w:noProof/>
            </w:rPr>
          </w:r>
          <w:r w:rsidRPr="00793194">
            <w:rPr>
              <w:rStyle w:val="Hyperlink"/>
              <w:noProof/>
            </w:rPr>
            <w:fldChar w:fldCharType="separate"/>
          </w:r>
          <w:r w:rsidRPr="00793194">
            <w:rPr>
              <w:rStyle w:val="Hyperlink"/>
              <w:noProof/>
            </w:rPr>
            <w:t>8.7 Investor Demographic Analysis</w:t>
          </w:r>
          <w:r>
            <w:rPr>
              <w:noProof/>
            </w:rPr>
            <w:tab/>
          </w:r>
          <w:r>
            <w:rPr>
              <w:noProof/>
            </w:rPr>
            <w:fldChar w:fldCharType="begin"/>
          </w:r>
          <w:r>
            <w:rPr>
              <w:noProof/>
            </w:rPr>
            <w:instrText xml:space="preserve"> PAGEREF _Toc234514572 \h </w:instrText>
          </w:r>
          <w:r>
            <w:rPr>
              <w:noProof/>
            </w:rPr>
          </w:r>
          <w:r>
            <w:rPr>
              <w:noProof/>
            </w:rPr>
            <w:fldChar w:fldCharType="separate"/>
          </w:r>
          <w:r>
            <w:rPr>
              <w:noProof/>
            </w:rPr>
            <w:t>19</w:t>
          </w:r>
          <w:r>
            <w:rPr>
              <w:noProof/>
            </w:rPr>
            <w:fldChar w:fldCharType="end"/>
          </w:r>
          <w:r w:rsidRPr="00793194">
            <w:rPr>
              <w:rStyle w:val="Hyperlink"/>
              <w:noProof/>
            </w:rPr>
            <w:fldChar w:fldCharType="end"/>
          </w:r>
        </w:p>
        <w:p w:rsidR="00104130" w:rsidRDefault="00104130">
          <w:pPr>
            <w:pStyle w:val="TOC2"/>
            <w:tabs>
              <w:tab w:val="right" w:leader="dot" w:pos="9350"/>
            </w:tabs>
            <w:rPr>
              <w:noProof/>
            </w:rPr>
          </w:pPr>
          <w:hyperlink w:anchor="_Toc234514573" w:history="1">
            <w:r w:rsidRPr="00793194">
              <w:rPr>
                <w:rStyle w:val="Hyperlink"/>
                <w:noProof/>
              </w:rPr>
              <w:t>8.8 Correlation Analysis</w:t>
            </w:r>
            <w:r>
              <w:rPr>
                <w:noProof/>
              </w:rPr>
              <w:tab/>
            </w:r>
            <w:r>
              <w:rPr>
                <w:noProof/>
              </w:rPr>
              <w:fldChar w:fldCharType="begin"/>
            </w:r>
            <w:r>
              <w:rPr>
                <w:noProof/>
              </w:rPr>
              <w:instrText xml:space="preserve"> PAGEREF _Toc234514573 \h </w:instrText>
            </w:r>
            <w:r>
              <w:rPr>
                <w:noProof/>
              </w:rPr>
            </w:r>
            <w:r>
              <w:rPr>
                <w:noProof/>
              </w:rPr>
              <w:fldChar w:fldCharType="separate"/>
            </w:r>
            <w:r>
              <w:rPr>
                <w:noProof/>
              </w:rPr>
              <w:t>19</w:t>
            </w:r>
            <w:r>
              <w:rPr>
                <w:noProof/>
              </w:rPr>
              <w:fldChar w:fldCharType="end"/>
            </w:r>
          </w:hyperlink>
        </w:p>
        <w:p w:rsidR="00104130" w:rsidRDefault="00104130">
          <w:pPr>
            <w:pStyle w:val="TOC2"/>
            <w:tabs>
              <w:tab w:val="right" w:leader="dot" w:pos="9350"/>
            </w:tabs>
            <w:rPr>
              <w:noProof/>
            </w:rPr>
          </w:pPr>
          <w:hyperlink w:anchor="_Toc234514574" w:history="1">
            <w:r w:rsidRPr="00793194">
              <w:rPr>
                <w:rStyle w:val="Hyperlink"/>
                <w:noProof/>
              </w:rPr>
              <w:t>8.9 Key EDA Findings</w:t>
            </w:r>
            <w:r>
              <w:rPr>
                <w:noProof/>
              </w:rPr>
              <w:tab/>
            </w:r>
            <w:r>
              <w:rPr>
                <w:noProof/>
              </w:rPr>
              <w:fldChar w:fldCharType="begin"/>
            </w:r>
            <w:r>
              <w:rPr>
                <w:noProof/>
              </w:rPr>
              <w:instrText xml:space="preserve"> PAGEREF _Toc234514574 \h </w:instrText>
            </w:r>
            <w:r>
              <w:rPr>
                <w:noProof/>
              </w:rPr>
            </w:r>
            <w:r>
              <w:rPr>
                <w:noProof/>
              </w:rPr>
              <w:fldChar w:fldCharType="separate"/>
            </w:r>
            <w:r>
              <w:rPr>
                <w:noProof/>
              </w:rPr>
              <w:t>19</w:t>
            </w:r>
            <w:r>
              <w:rPr>
                <w:noProof/>
              </w:rPr>
              <w:fldChar w:fldCharType="end"/>
            </w:r>
          </w:hyperlink>
        </w:p>
        <w:p w:rsidR="00104130" w:rsidRDefault="00104130">
          <w:pPr>
            <w:pStyle w:val="TOC1"/>
            <w:tabs>
              <w:tab w:val="right" w:leader="dot" w:pos="9350"/>
            </w:tabs>
            <w:rPr>
              <w:noProof/>
            </w:rPr>
          </w:pPr>
          <w:hyperlink w:anchor="_Toc234514575" w:history="1">
            <w:r w:rsidRPr="00793194">
              <w:rPr>
                <w:rStyle w:val="Hyperlink"/>
                <w:noProof/>
              </w:rPr>
              <w:t>9. Performance Metrics &amp; Fund Evaluation</w:t>
            </w:r>
            <w:r>
              <w:rPr>
                <w:noProof/>
              </w:rPr>
              <w:tab/>
            </w:r>
            <w:r>
              <w:rPr>
                <w:noProof/>
              </w:rPr>
              <w:fldChar w:fldCharType="begin"/>
            </w:r>
            <w:r>
              <w:rPr>
                <w:noProof/>
              </w:rPr>
              <w:instrText xml:space="preserve"> PAGEREF _Toc234514575 \h </w:instrText>
            </w:r>
            <w:r>
              <w:rPr>
                <w:noProof/>
              </w:rPr>
            </w:r>
            <w:r>
              <w:rPr>
                <w:noProof/>
              </w:rPr>
              <w:fldChar w:fldCharType="separate"/>
            </w:r>
            <w:r>
              <w:rPr>
                <w:noProof/>
              </w:rPr>
              <w:t>21</w:t>
            </w:r>
            <w:r>
              <w:rPr>
                <w:noProof/>
              </w:rPr>
              <w:fldChar w:fldCharType="end"/>
            </w:r>
          </w:hyperlink>
        </w:p>
        <w:p w:rsidR="00104130" w:rsidRDefault="00104130">
          <w:pPr>
            <w:pStyle w:val="TOC2"/>
            <w:tabs>
              <w:tab w:val="right" w:leader="dot" w:pos="9350"/>
            </w:tabs>
            <w:rPr>
              <w:noProof/>
            </w:rPr>
          </w:pPr>
          <w:hyperlink w:anchor="_Toc234514576" w:history="1">
            <w:r w:rsidRPr="00793194">
              <w:rPr>
                <w:rStyle w:val="Hyperlink"/>
                <w:noProof/>
              </w:rPr>
              <w:t>9.1 CAGR (Compound Annual Growth Rate)</w:t>
            </w:r>
            <w:r>
              <w:rPr>
                <w:noProof/>
              </w:rPr>
              <w:tab/>
            </w:r>
            <w:r>
              <w:rPr>
                <w:noProof/>
              </w:rPr>
              <w:fldChar w:fldCharType="begin"/>
            </w:r>
            <w:r>
              <w:rPr>
                <w:noProof/>
              </w:rPr>
              <w:instrText xml:space="preserve"> PAGEREF _Toc234514576 \h </w:instrText>
            </w:r>
            <w:r>
              <w:rPr>
                <w:noProof/>
              </w:rPr>
            </w:r>
            <w:r>
              <w:rPr>
                <w:noProof/>
              </w:rPr>
              <w:fldChar w:fldCharType="separate"/>
            </w:r>
            <w:r>
              <w:rPr>
                <w:noProof/>
              </w:rPr>
              <w:t>21</w:t>
            </w:r>
            <w:r>
              <w:rPr>
                <w:noProof/>
              </w:rPr>
              <w:fldChar w:fldCharType="end"/>
            </w:r>
          </w:hyperlink>
        </w:p>
        <w:p w:rsidR="00104130" w:rsidRDefault="00104130">
          <w:pPr>
            <w:pStyle w:val="TOC2"/>
            <w:tabs>
              <w:tab w:val="right" w:leader="dot" w:pos="9350"/>
            </w:tabs>
            <w:rPr>
              <w:noProof/>
            </w:rPr>
          </w:pPr>
          <w:hyperlink w:anchor="_Toc234514577" w:history="1">
            <w:r w:rsidRPr="00793194">
              <w:rPr>
                <w:rStyle w:val="Hyperlink"/>
                <w:noProof/>
              </w:rPr>
              <w:t>9.2 Sharpe Ratio</w:t>
            </w:r>
            <w:r>
              <w:rPr>
                <w:noProof/>
              </w:rPr>
              <w:tab/>
            </w:r>
            <w:r>
              <w:rPr>
                <w:noProof/>
              </w:rPr>
              <w:fldChar w:fldCharType="begin"/>
            </w:r>
            <w:r>
              <w:rPr>
                <w:noProof/>
              </w:rPr>
              <w:instrText xml:space="preserve"> PAGEREF _Toc234514577 \h </w:instrText>
            </w:r>
            <w:r>
              <w:rPr>
                <w:noProof/>
              </w:rPr>
            </w:r>
            <w:r>
              <w:rPr>
                <w:noProof/>
              </w:rPr>
              <w:fldChar w:fldCharType="separate"/>
            </w:r>
            <w:r>
              <w:rPr>
                <w:noProof/>
              </w:rPr>
              <w:t>21</w:t>
            </w:r>
            <w:r>
              <w:rPr>
                <w:noProof/>
              </w:rPr>
              <w:fldChar w:fldCharType="end"/>
            </w:r>
          </w:hyperlink>
        </w:p>
        <w:p w:rsidR="00104130" w:rsidRDefault="00104130">
          <w:pPr>
            <w:pStyle w:val="TOC2"/>
            <w:tabs>
              <w:tab w:val="right" w:leader="dot" w:pos="9350"/>
            </w:tabs>
            <w:rPr>
              <w:noProof/>
            </w:rPr>
          </w:pPr>
          <w:hyperlink w:anchor="_Toc234514578" w:history="1">
            <w:r w:rsidRPr="00793194">
              <w:rPr>
                <w:rStyle w:val="Hyperlink"/>
                <w:noProof/>
              </w:rPr>
              <w:t>9.3 Sortino Ratio</w:t>
            </w:r>
            <w:r>
              <w:rPr>
                <w:noProof/>
              </w:rPr>
              <w:tab/>
            </w:r>
            <w:r>
              <w:rPr>
                <w:noProof/>
              </w:rPr>
              <w:fldChar w:fldCharType="begin"/>
            </w:r>
            <w:r>
              <w:rPr>
                <w:noProof/>
              </w:rPr>
              <w:instrText xml:space="preserve"> PAGEREF _Toc234514578 \h </w:instrText>
            </w:r>
            <w:r>
              <w:rPr>
                <w:noProof/>
              </w:rPr>
            </w:r>
            <w:r>
              <w:rPr>
                <w:noProof/>
              </w:rPr>
              <w:fldChar w:fldCharType="separate"/>
            </w:r>
            <w:r>
              <w:rPr>
                <w:noProof/>
              </w:rPr>
              <w:t>21</w:t>
            </w:r>
            <w:r>
              <w:rPr>
                <w:noProof/>
              </w:rPr>
              <w:fldChar w:fldCharType="end"/>
            </w:r>
          </w:hyperlink>
        </w:p>
        <w:p w:rsidR="00104130" w:rsidRDefault="00104130">
          <w:pPr>
            <w:pStyle w:val="TOC2"/>
            <w:tabs>
              <w:tab w:val="right" w:leader="dot" w:pos="9350"/>
            </w:tabs>
            <w:rPr>
              <w:noProof/>
            </w:rPr>
          </w:pPr>
          <w:hyperlink w:anchor="_Toc234514579" w:history="1">
            <w:r w:rsidRPr="00793194">
              <w:rPr>
                <w:rStyle w:val="Hyperlink"/>
                <w:noProof/>
              </w:rPr>
              <w:t>9.4 Alpha and Beta</w:t>
            </w:r>
            <w:r>
              <w:rPr>
                <w:noProof/>
              </w:rPr>
              <w:tab/>
            </w:r>
            <w:r>
              <w:rPr>
                <w:noProof/>
              </w:rPr>
              <w:fldChar w:fldCharType="begin"/>
            </w:r>
            <w:r>
              <w:rPr>
                <w:noProof/>
              </w:rPr>
              <w:instrText xml:space="preserve"> PAGEREF _Toc234514579 \h </w:instrText>
            </w:r>
            <w:r>
              <w:rPr>
                <w:noProof/>
              </w:rPr>
            </w:r>
            <w:r>
              <w:rPr>
                <w:noProof/>
              </w:rPr>
              <w:fldChar w:fldCharType="separate"/>
            </w:r>
            <w:r>
              <w:rPr>
                <w:noProof/>
              </w:rPr>
              <w:t>21</w:t>
            </w:r>
            <w:r>
              <w:rPr>
                <w:noProof/>
              </w:rPr>
              <w:fldChar w:fldCharType="end"/>
            </w:r>
          </w:hyperlink>
        </w:p>
        <w:p w:rsidR="00104130" w:rsidRDefault="00104130">
          <w:pPr>
            <w:pStyle w:val="TOC2"/>
            <w:tabs>
              <w:tab w:val="right" w:leader="dot" w:pos="9350"/>
            </w:tabs>
            <w:rPr>
              <w:noProof/>
            </w:rPr>
          </w:pPr>
          <w:hyperlink w:anchor="_Toc234514580" w:history="1">
            <w:r w:rsidRPr="00793194">
              <w:rPr>
                <w:rStyle w:val="Hyperlink"/>
                <w:noProof/>
              </w:rPr>
              <w:t>9.5 Maximum Drawdown</w:t>
            </w:r>
            <w:r>
              <w:rPr>
                <w:noProof/>
              </w:rPr>
              <w:tab/>
            </w:r>
            <w:r>
              <w:rPr>
                <w:noProof/>
              </w:rPr>
              <w:fldChar w:fldCharType="begin"/>
            </w:r>
            <w:r>
              <w:rPr>
                <w:noProof/>
              </w:rPr>
              <w:instrText xml:space="preserve"> PAGEREF _Toc234514580 \h </w:instrText>
            </w:r>
            <w:r>
              <w:rPr>
                <w:noProof/>
              </w:rPr>
            </w:r>
            <w:r>
              <w:rPr>
                <w:noProof/>
              </w:rPr>
              <w:fldChar w:fldCharType="separate"/>
            </w:r>
            <w:r>
              <w:rPr>
                <w:noProof/>
              </w:rPr>
              <w:t>21</w:t>
            </w:r>
            <w:r>
              <w:rPr>
                <w:noProof/>
              </w:rPr>
              <w:fldChar w:fldCharType="end"/>
            </w:r>
          </w:hyperlink>
        </w:p>
        <w:p w:rsidR="00104130" w:rsidRDefault="00104130">
          <w:pPr>
            <w:pStyle w:val="TOC2"/>
            <w:tabs>
              <w:tab w:val="right" w:leader="dot" w:pos="9350"/>
            </w:tabs>
            <w:rPr>
              <w:noProof/>
            </w:rPr>
          </w:pPr>
          <w:hyperlink w:anchor="_Toc234514581" w:history="1">
            <w:r w:rsidRPr="00793194">
              <w:rPr>
                <w:rStyle w:val="Hyperlink"/>
                <w:noProof/>
              </w:rPr>
              <w:t>9.6 Tracking Error</w:t>
            </w:r>
            <w:r>
              <w:rPr>
                <w:noProof/>
              </w:rPr>
              <w:tab/>
            </w:r>
            <w:r>
              <w:rPr>
                <w:noProof/>
              </w:rPr>
              <w:fldChar w:fldCharType="begin"/>
            </w:r>
            <w:r>
              <w:rPr>
                <w:noProof/>
              </w:rPr>
              <w:instrText xml:space="preserve"> PAGEREF _Toc234514581 \h </w:instrText>
            </w:r>
            <w:r>
              <w:rPr>
                <w:noProof/>
              </w:rPr>
            </w:r>
            <w:r>
              <w:rPr>
                <w:noProof/>
              </w:rPr>
              <w:fldChar w:fldCharType="separate"/>
            </w:r>
            <w:r>
              <w:rPr>
                <w:noProof/>
              </w:rPr>
              <w:t>22</w:t>
            </w:r>
            <w:r>
              <w:rPr>
                <w:noProof/>
              </w:rPr>
              <w:fldChar w:fldCharType="end"/>
            </w:r>
          </w:hyperlink>
        </w:p>
        <w:p w:rsidR="00104130" w:rsidRDefault="00104130">
          <w:pPr>
            <w:pStyle w:val="TOC2"/>
            <w:tabs>
              <w:tab w:val="right" w:leader="dot" w:pos="9350"/>
            </w:tabs>
            <w:rPr>
              <w:noProof/>
            </w:rPr>
          </w:pPr>
          <w:hyperlink w:anchor="_Toc234514582" w:history="1">
            <w:r w:rsidRPr="00793194">
              <w:rPr>
                <w:rStyle w:val="Hyperlink"/>
                <w:noProof/>
              </w:rPr>
              <w:t>9.7 Composite Fund Scorecard</w:t>
            </w:r>
            <w:r>
              <w:rPr>
                <w:noProof/>
              </w:rPr>
              <w:tab/>
            </w:r>
            <w:r>
              <w:rPr>
                <w:noProof/>
              </w:rPr>
              <w:fldChar w:fldCharType="begin"/>
            </w:r>
            <w:r>
              <w:rPr>
                <w:noProof/>
              </w:rPr>
              <w:instrText xml:space="preserve"> PAGEREF _Toc234514582 \h </w:instrText>
            </w:r>
            <w:r>
              <w:rPr>
                <w:noProof/>
              </w:rPr>
            </w:r>
            <w:r>
              <w:rPr>
                <w:noProof/>
              </w:rPr>
              <w:fldChar w:fldCharType="separate"/>
            </w:r>
            <w:r>
              <w:rPr>
                <w:noProof/>
              </w:rPr>
              <w:t>22</w:t>
            </w:r>
            <w:r>
              <w:rPr>
                <w:noProof/>
              </w:rPr>
              <w:fldChar w:fldCharType="end"/>
            </w:r>
          </w:hyperlink>
        </w:p>
        <w:p w:rsidR="00104130" w:rsidRDefault="00104130">
          <w:pPr>
            <w:pStyle w:val="TOC2"/>
            <w:tabs>
              <w:tab w:val="right" w:leader="dot" w:pos="9350"/>
            </w:tabs>
            <w:rPr>
              <w:noProof/>
            </w:rPr>
          </w:pPr>
          <w:hyperlink w:anchor="_Toc234514583" w:history="1">
            <w:r w:rsidRPr="00793194">
              <w:rPr>
                <w:rStyle w:val="Hyperlink"/>
                <w:noProof/>
              </w:rPr>
              <w:t>9.8 Sample Performance Statistics</w:t>
            </w:r>
            <w:r>
              <w:rPr>
                <w:noProof/>
              </w:rPr>
              <w:tab/>
            </w:r>
            <w:r>
              <w:rPr>
                <w:noProof/>
              </w:rPr>
              <w:fldChar w:fldCharType="begin"/>
            </w:r>
            <w:r>
              <w:rPr>
                <w:noProof/>
              </w:rPr>
              <w:instrText xml:space="preserve"> PAGEREF _Toc234514583 \h </w:instrText>
            </w:r>
            <w:r>
              <w:rPr>
                <w:noProof/>
              </w:rPr>
            </w:r>
            <w:r>
              <w:rPr>
                <w:noProof/>
              </w:rPr>
              <w:fldChar w:fldCharType="separate"/>
            </w:r>
            <w:r>
              <w:rPr>
                <w:noProof/>
              </w:rPr>
              <w:t>22</w:t>
            </w:r>
            <w:r>
              <w:rPr>
                <w:noProof/>
              </w:rPr>
              <w:fldChar w:fldCharType="end"/>
            </w:r>
          </w:hyperlink>
        </w:p>
        <w:p w:rsidR="00104130" w:rsidRDefault="00104130">
          <w:pPr>
            <w:pStyle w:val="TOC2"/>
            <w:tabs>
              <w:tab w:val="right" w:leader="dot" w:pos="9350"/>
            </w:tabs>
            <w:rPr>
              <w:noProof/>
            </w:rPr>
          </w:pPr>
          <w:hyperlink w:anchor="_Toc234514584" w:history="1">
            <w:r w:rsidRPr="00793194">
              <w:rPr>
                <w:rStyle w:val="Hyperlink"/>
                <w:noProof/>
              </w:rPr>
              <w:t>9.9 Benchmark Comparison</w:t>
            </w:r>
            <w:r>
              <w:rPr>
                <w:noProof/>
              </w:rPr>
              <w:tab/>
            </w:r>
            <w:r>
              <w:rPr>
                <w:noProof/>
              </w:rPr>
              <w:fldChar w:fldCharType="begin"/>
            </w:r>
            <w:r>
              <w:rPr>
                <w:noProof/>
              </w:rPr>
              <w:instrText xml:space="preserve"> PAGEREF _Toc234514584 \h </w:instrText>
            </w:r>
            <w:r>
              <w:rPr>
                <w:noProof/>
              </w:rPr>
            </w:r>
            <w:r>
              <w:rPr>
                <w:noProof/>
              </w:rPr>
              <w:fldChar w:fldCharType="separate"/>
            </w:r>
            <w:r>
              <w:rPr>
                <w:noProof/>
              </w:rPr>
              <w:t>23</w:t>
            </w:r>
            <w:r>
              <w:rPr>
                <w:noProof/>
              </w:rPr>
              <w:fldChar w:fldCharType="end"/>
            </w:r>
          </w:hyperlink>
        </w:p>
        <w:p w:rsidR="00104130" w:rsidRDefault="00104130">
          <w:pPr>
            <w:pStyle w:val="TOC2"/>
            <w:tabs>
              <w:tab w:val="right" w:leader="dot" w:pos="9350"/>
            </w:tabs>
            <w:rPr>
              <w:noProof/>
            </w:rPr>
          </w:pPr>
          <w:hyperlink w:anchor="_Toc234514585" w:history="1">
            <w:r w:rsidRPr="00793194">
              <w:rPr>
                <w:rStyle w:val="Hyperlink"/>
                <w:noProof/>
              </w:rPr>
              <w:t>9.10 Deliverables</w:t>
            </w:r>
            <w:r>
              <w:rPr>
                <w:noProof/>
              </w:rPr>
              <w:tab/>
            </w:r>
            <w:r>
              <w:rPr>
                <w:noProof/>
              </w:rPr>
              <w:fldChar w:fldCharType="begin"/>
            </w:r>
            <w:r>
              <w:rPr>
                <w:noProof/>
              </w:rPr>
              <w:instrText xml:space="preserve"> PAGEREF _Toc234514585 \h </w:instrText>
            </w:r>
            <w:r>
              <w:rPr>
                <w:noProof/>
              </w:rPr>
            </w:r>
            <w:r>
              <w:rPr>
                <w:noProof/>
              </w:rPr>
              <w:fldChar w:fldCharType="separate"/>
            </w:r>
            <w:r>
              <w:rPr>
                <w:noProof/>
              </w:rPr>
              <w:t>23</w:t>
            </w:r>
            <w:r>
              <w:rPr>
                <w:noProof/>
              </w:rPr>
              <w:fldChar w:fldCharType="end"/>
            </w:r>
          </w:hyperlink>
        </w:p>
        <w:p w:rsidR="00104130" w:rsidRDefault="00104130">
          <w:pPr>
            <w:pStyle w:val="TOC1"/>
            <w:tabs>
              <w:tab w:val="right" w:leader="dot" w:pos="9350"/>
            </w:tabs>
            <w:rPr>
              <w:noProof/>
            </w:rPr>
          </w:pPr>
          <w:hyperlink w:anchor="_Toc234514586" w:history="1">
            <w:r w:rsidRPr="00793194">
              <w:rPr>
                <w:rStyle w:val="Hyperlink"/>
                <w:noProof/>
              </w:rPr>
              <w:t>10. Advanced Analytics</w:t>
            </w:r>
            <w:r>
              <w:rPr>
                <w:noProof/>
              </w:rPr>
              <w:tab/>
            </w:r>
            <w:r>
              <w:rPr>
                <w:noProof/>
              </w:rPr>
              <w:fldChar w:fldCharType="begin"/>
            </w:r>
            <w:r>
              <w:rPr>
                <w:noProof/>
              </w:rPr>
              <w:instrText xml:space="preserve"> PAGEREF _Toc234514586 \h </w:instrText>
            </w:r>
            <w:r>
              <w:rPr>
                <w:noProof/>
              </w:rPr>
            </w:r>
            <w:r>
              <w:rPr>
                <w:noProof/>
              </w:rPr>
              <w:fldChar w:fldCharType="separate"/>
            </w:r>
            <w:r>
              <w:rPr>
                <w:noProof/>
              </w:rPr>
              <w:t>24</w:t>
            </w:r>
            <w:r>
              <w:rPr>
                <w:noProof/>
              </w:rPr>
              <w:fldChar w:fldCharType="end"/>
            </w:r>
          </w:hyperlink>
        </w:p>
        <w:p w:rsidR="00104130" w:rsidRDefault="00104130">
          <w:pPr>
            <w:pStyle w:val="TOC2"/>
            <w:tabs>
              <w:tab w:val="right" w:leader="dot" w:pos="9350"/>
            </w:tabs>
            <w:rPr>
              <w:noProof/>
            </w:rPr>
          </w:pPr>
          <w:hyperlink w:anchor="_Toc234514587" w:history="1">
            <w:r w:rsidRPr="00793194">
              <w:rPr>
                <w:rStyle w:val="Hyperlink"/>
                <w:noProof/>
              </w:rPr>
              <w:t>10.1 Value at Risk (VaR) and Conditional Value at Risk (CVaR)</w:t>
            </w:r>
            <w:r>
              <w:rPr>
                <w:noProof/>
              </w:rPr>
              <w:tab/>
            </w:r>
            <w:r>
              <w:rPr>
                <w:noProof/>
              </w:rPr>
              <w:fldChar w:fldCharType="begin"/>
            </w:r>
            <w:r>
              <w:rPr>
                <w:noProof/>
              </w:rPr>
              <w:instrText xml:space="preserve"> PAGEREF _Toc234514587 \h </w:instrText>
            </w:r>
            <w:r>
              <w:rPr>
                <w:noProof/>
              </w:rPr>
            </w:r>
            <w:r>
              <w:rPr>
                <w:noProof/>
              </w:rPr>
              <w:fldChar w:fldCharType="separate"/>
            </w:r>
            <w:r>
              <w:rPr>
                <w:noProof/>
              </w:rPr>
              <w:t>24</w:t>
            </w:r>
            <w:r>
              <w:rPr>
                <w:noProof/>
              </w:rPr>
              <w:fldChar w:fldCharType="end"/>
            </w:r>
          </w:hyperlink>
        </w:p>
        <w:p w:rsidR="00104130" w:rsidRDefault="00104130">
          <w:pPr>
            <w:pStyle w:val="TOC2"/>
            <w:tabs>
              <w:tab w:val="right" w:leader="dot" w:pos="9350"/>
            </w:tabs>
            <w:rPr>
              <w:noProof/>
            </w:rPr>
          </w:pPr>
          <w:hyperlink w:anchor="_Toc234514588" w:history="1">
            <w:r w:rsidRPr="00793194">
              <w:rPr>
                <w:rStyle w:val="Hyperlink"/>
                <w:noProof/>
              </w:rPr>
              <w:t>10.2 Rolling 90-Day Sharpe Ratio</w:t>
            </w:r>
            <w:r>
              <w:rPr>
                <w:noProof/>
              </w:rPr>
              <w:tab/>
            </w:r>
            <w:r>
              <w:rPr>
                <w:noProof/>
              </w:rPr>
              <w:fldChar w:fldCharType="begin"/>
            </w:r>
            <w:r>
              <w:rPr>
                <w:noProof/>
              </w:rPr>
              <w:instrText xml:space="preserve"> PAGEREF _Toc234514588 \h </w:instrText>
            </w:r>
            <w:r>
              <w:rPr>
                <w:noProof/>
              </w:rPr>
            </w:r>
            <w:r>
              <w:rPr>
                <w:noProof/>
              </w:rPr>
              <w:fldChar w:fldCharType="separate"/>
            </w:r>
            <w:r>
              <w:rPr>
                <w:noProof/>
              </w:rPr>
              <w:t>24</w:t>
            </w:r>
            <w:r>
              <w:rPr>
                <w:noProof/>
              </w:rPr>
              <w:fldChar w:fldCharType="end"/>
            </w:r>
          </w:hyperlink>
        </w:p>
        <w:p w:rsidR="00104130" w:rsidRDefault="00104130">
          <w:pPr>
            <w:pStyle w:val="TOC2"/>
            <w:tabs>
              <w:tab w:val="right" w:leader="dot" w:pos="9350"/>
            </w:tabs>
            <w:rPr>
              <w:noProof/>
            </w:rPr>
          </w:pPr>
          <w:hyperlink w:anchor="_Toc234514589" w:history="1">
            <w:r w:rsidRPr="00793194">
              <w:rPr>
                <w:rStyle w:val="Hyperlink"/>
                <w:noProof/>
              </w:rPr>
              <w:t>10.3 Investor Cohort Analysis</w:t>
            </w:r>
            <w:r>
              <w:rPr>
                <w:noProof/>
              </w:rPr>
              <w:tab/>
            </w:r>
            <w:r>
              <w:rPr>
                <w:noProof/>
              </w:rPr>
              <w:fldChar w:fldCharType="begin"/>
            </w:r>
            <w:r>
              <w:rPr>
                <w:noProof/>
              </w:rPr>
              <w:instrText xml:space="preserve"> PAGEREF _Toc234514589 \h </w:instrText>
            </w:r>
            <w:r>
              <w:rPr>
                <w:noProof/>
              </w:rPr>
            </w:r>
            <w:r>
              <w:rPr>
                <w:noProof/>
              </w:rPr>
              <w:fldChar w:fldCharType="separate"/>
            </w:r>
            <w:r>
              <w:rPr>
                <w:noProof/>
              </w:rPr>
              <w:t>24</w:t>
            </w:r>
            <w:r>
              <w:rPr>
                <w:noProof/>
              </w:rPr>
              <w:fldChar w:fldCharType="end"/>
            </w:r>
          </w:hyperlink>
        </w:p>
        <w:p w:rsidR="00104130" w:rsidRDefault="00104130">
          <w:pPr>
            <w:pStyle w:val="TOC2"/>
            <w:tabs>
              <w:tab w:val="right" w:leader="dot" w:pos="9350"/>
            </w:tabs>
            <w:rPr>
              <w:noProof/>
            </w:rPr>
          </w:pPr>
          <w:hyperlink w:anchor="_Toc234514590" w:history="1">
            <w:r w:rsidRPr="00793194">
              <w:rPr>
                <w:rStyle w:val="Hyperlink"/>
                <w:noProof/>
              </w:rPr>
              <w:t>10.4 SIP Continuity Analysis</w:t>
            </w:r>
            <w:r>
              <w:rPr>
                <w:noProof/>
              </w:rPr>
              <w:tab/>
            </w:r>
            <w:r>
              <w:rPr>
                <w:noProof/>
              </w:rPr>
              <w:fldChar w:fldCharType="begin"/>
            </w:r>
            <w:r>
              <w:rPr>
                <w:noProof/>
              </w:rPr>
              <w:instrText xml:space="preserve"> PAGEREF _Toc234514590 \h </w:instrText>
            </w:r>
            <w:r>
              <w:rPr>
                <w:noProof/>
              </w:rPr>
            </w:r>
            <w:r>
              <w:rPr>
                <w:noProof/>
              </w:rPr>
              <w:fldChar w:fldCharType="separate"/>
            </w:r>
            <w:r>
              <w:rPr>
                <w:noProof/>
              </w:rPr>
              <w:t>24</w:t>
            </w:r>
            <w:r>
              <w:rPr>
                <w:noProof/>
              </w:rPr>
              <w:fldChar w:fldCharType="end"/>
            </w:r>
          </w:hyperlink>
        </w:p>
        <w:p w:rsidR="00104130" w:rsidRDefault="00104130">
          <w:pPr>
            <w:pStyle w:val="TOC2"/>
            <w:tabs>
              <w:tab w:val="right" w:leader="dot" w:pos="9350"/>
            </w:tabs>
            <w:rPr>
              <w:noProof/>
            </w:rPr>
          </w:pPr>
          <w:hyperlink w:anchor="_Toc234514591" w:history="1">
            <w:r w:rsidRPr="00793194">
              <w:rPr>
                <w:rStyle w:val="Hyperlink"/>
                <w:noProof/>
              </w:rPr>
              <w:t>10.5 Fund Recommendation System</w:t>
            </w:r>
            <w:r>
              <w:rPr>
                <w:noProof/>
              </w:rPr>
              <w:tab/>
            </w:r>
            <w:r>
              <w:rPr>
                <w:noProof/>
              </w:rPr>
              <w:fldChar w:fldCharType="begin"/>
            </w:r>
            <w:r>
              <w:rPr>
                <w:noProof/>
              </w:rPr>
              <w:instrText xml:space="preserve"> PAGEREF _Toc234514591 \h </w:instrText>
            </w:r>
            <w:r>
              <w:rPr>
                <w:noProof/>
              </w:rPr>
            </w:r>
            <w:r>
              <w:rPr>
                <w:noProof/>
              </w:rPr>
              <w:fldChar w:fldCharType="separate"/>
            </w:r>
            <w:r>
              <w:rPr>
                <w:noProof/>
              </w:rPr>
              <w:t>25</w:t>
            </w:r>
            <w:r>
              <w:rPr>
                <w:noProof/>
              </w:rPr>
              <w:fldChar w:fldCharType="end"/>
            </w:r>
          </w:hyperlink>
        </w:p>
        <w:p w:rsidR="00104130" w:rsidRDefault="00104130">
          <w:pPr>
            <w:pStyle w:val="TOC2"/>
            <w:tabs>
              <w:tab w:val="right" w:leader="dot" w:pos="9350"/>
            </w:tabs>
            <w:rPr>
              <w:noProof/>
            </w:rPr>
          </w:pPr>
          <w:hyperlink w:anchor="_Toc234514592" w:history="1">
            <w:r w:rsidRPr="00793194">
              <w:rPr>
                <w:rStyle w:val="Hyperlink"/>
                <w:noProof/>
              </w:rPr>
              <w:t>10.6 Portfolio Concentration Analysis (HHI)</w:t>
            </w:r>
            <w:r>
              <w:rPr>
                <w:noProof/>
              </w:rPr>
              <w:tab/>
            </w:r>
            <w:r>
              <w:rPr>
                <w:noProof/>
              </w:rPr>
              <w:fldChar w:fldCharType="begin"/>
            </w:r>
            <w:r>
              <w:rPr>
                <w:noProof/>
              </w:rPr>
              <w:instrText xml:space="preserve"> PAGEREF _Toc234514592 \h </w:instrText>
            </w:r>
            <w:r>
              <w:rPr>
                <w:noProof/>
              </w:rPr>
            </w:r>
            <w:r>
              <w:rPr>
                <w:noProof/>
              </w:rPr>
              <w:fldChar w:fldCharType="separate"/>
            </w:r>
            <w:r>
              <w:rPr>
                <w:noProof/>
              </w:rPr>
              <w:t>25</w:t>
            </w:r>
            <w:r>
              <w:rPr>
                <w:noProof/>
              </w:rPr>
              <w:fldChar w:fldCharType="end"/>
            </w:r>
          </w:hyperlink>
        </w:p>
        <w:p w:rsidR="00104130" w:rsidRDefault="00104130">
          <w:pPr>
            <w:pStyle w:val="TOC2"/>
            <w:tabs>
              <w:tab w:val="right" w:leader="dot" w:pos="9350"/>
            </w:tabs>
            <w:rPr>
              <w:noProof/>
            </w:rPr>
          </w:pPr>
          <w:hyperlink w:anchor="_Toc234514593" w:history="1">
            <w:r w:rsidRPr="00793194">
              <w:rPr>
                <w:rStyle w:val="Hyperlink"/>
                <w:noProof/>
              </w:rPr>
              <w:t>10.7 Advanced Analytics Insights</w:t>
            </w:r>
            <w:r>
              <w:rPr>
                <w:noProof/>
              </w:rPr>
              <w:tab/>
            </w:r>
            <w:r>
              <w:rPr>
                <w:noProof/>
              </w:rPr>
              <w:fldChar w:fldCharType="begin"/>
            </w:r>
            <w:r>
              <w:rPr>
                <w:noProof/>
              </w:rPr>
              <w:instrText xml:space="preserve"> PAGEREF _Toc234514593 \h </w:instrText>
            </w:r>
            <w:r>
              <w:rPr>
                <w:noProof/>
              </w:rPr>
            </w:r>
            <w:r>
              <w:rPr>
                <w:noProof/>
              </w:rPr>
              <w:fldChar w:fldCharType="separate"/>
            </w:r>
            <w:r>
              <w:rPr>
                <w:noProof/>
              </w:rPr>
              <w:t>25</w:t>
            </w:r>
            <w:r>
              <w:rPr>
                <w:noProof/>
              </w:rPr>
              <w:fldChar w:fldCharType="end"/>
            </w:r>
          </w:hyperlink>
        </w:p>
        <w:p w:rsidR="00104130" w:rsidRDefault="00104130">
          <w:pPr>
            <w:pStyle w:val="TOC2"/>
            <w:tabs>
              <w:tab w:val="right" w:leader="dot" w:pos="9350"/>
            </w:tabs>
            <w:rPr>
              <w:noProof/>
            </w:rPr>
          </w:pPr>
          <w:hyperlink w:anchor="_Toc234514594" w:history="1">
            <w:r w:rsidRPr="00793194">
              <w:rPr>
                <w:rStyle w:val="Hyperlink"/>
                <w:noProof/>
              </w:rPr>
              <w:t>10.8 Deliverables</w:t>
            </w:r>
            <w:r>
              <w:rPr>
                <w:noProof/>
              </w:rPr>
              <w:tab/>
            </w:r>
            <w:r>
              <w:rPr>
                <w:noProof/>
              </w:rPr>
              <w:fldChar w:fldCharType="begin"/>
            </w:r>
            <w:r>
              <w:rPr>
                <w:noProof/>
              </w:rPr>
              <w:instrText xml:space="preserve"> PAGEREF _Toc234514594 \h </w:instrText>
            </w:r>
            <w:r>
              <w:rPr>
                <w:noProof/>
              </w:rPr>
            </w:r>
            <w:r>
              <w:rPr>
                <w:noProof/>
              </w:rPr>
              <w:fldChar w:fldCharType="separate"/>
            </w:r>
            <w:r>
              <w:rPr>
                <w:noProof/>
              </w:rPr>
              <w:t>26</w:t>
            </w:r>
            <w:r>
              <w:rPr>
                <w:noProof/>
              </w:rPr>
              <w:fldChar w:fldCharType="end"/>
            </w:r>
          </w:hyperlink>
        </w:p>
        <w:p w:rsidR="00104130" w:rsidRDefault="00104130">
          <w:pPr>
            <w:pStyle w:val="TOC1"/>
            <w:tabs>
              <w:tab w:val="right" w:leader="dot" w:pos="9350"/>
            </w:tabs>
            <w:rPr>
              <w:noProof/>
            </w:rPr>
          </w:pPr>
          <w:hyperlink w:anchor="_Toc234514595" w:history="1">
            <w:r w:rsidRPr="00793194">
              <w:rPr>
                <w:rStyle w:val="Hyperlink"/>
                <w:noProof/>
              </w:rPr>
              <w:t>11. Power BI Dashboard</w:t>
            </w:r>
            <w:r>
              <w:rPr>
                <w:noProof/>
              </w:rPr>
              <w:tab/>
            </w:r>
            <w:r>
              <w:rPr>
                <w:noProof/>
              </w:rPr>
              <w:fldChar w:fldCharType="begin"/>
            </w:r>
            <w:r>
              <w:rPr>
                <w:noProof/>
              </w:rPr>
              <w:instrText xml:space="preserve"> PAGEREF _Toc234514595 \h </w:instrText>
            </w:r>
            <w:r>
              <w:rPr>
                <w:noProof/>
              </w:rPr>
            </w:r>
            <w:r>
              <w:rPr>
                <w:noProof/>
              </w:rPr>
              <w:fldChar w:fldCharType="separate"/>
            </w:r>
            <w:r>
              <w:rPr>
                <w:noProof/>
              </w:rPr>
              <w:t>27</w:t>
            </w:r>
            <w:r>
              <w:rPr>
                <w:noProof/>
              </w:rPr>
              <w:fldChar w:fldCharType="end"/>
            </w:r>
          </w:hyperlink>
        </w:p>
        <w:p w:rsidR="00104130" w:rsidRDefault="00104130">
          <w:pPr>
            <w:pStyle w:val="TOC2"/>
            <w:tabs>
              <w:tab w:val="right" w:leader="dot" w:pos="9350"/>
            </w:tabs>
            <w:rPr>
              <w:noProof/>
            </w:rPr>
          </w:pPr>
          <w:hyperlink w:anchor="_Toc234514596" w:history="1">
            <w:r w:rsidRPr="00793194">
              <w:rPr>
                <w:rStyle w:val="Hyperlink"/>
                <w:noProof/>
              </w:rPr>
              <w:t>11.1 Data Sources</w:t>
            </w:r>
            <w:r>
              <w:rPr>
                <w:noProof/>
              </w:rPr>
              <w:tab/>
            </w:r>
            <w:r>
              <w:rPr>
                <w:noProof/>
              </w:rPr>
              <w:fldChar w:fldCharType="begin"/>
            </w:r>
            <w:r>
              <w:rPr>
                <w:noProof/>
              </w:rPr>
              <w:instrText xml:space="preserve"> PAGEREF _Toc234514596 \h </w:instrText>
            </w:r>
            <w:r>
              <w:rPr>
                <w:noProof/>
              </w:rPr>
            </w:r>
            <w:r>
              <w:rPr>
                <w:noProof/>
              </w:rPr>
              <w:fldChar w:fldCharType="separate"/>
            </w:r>
            <w:r>
              <w:rPr>
                <w:noProof/>
              </w:rPr>
              <w:t>27</w:t>
            </w:r>
            <w:r>
              <w:rPr>
                <w:noProof/>
              </w:rPr>
              <w:fldChar w:fldCharType="end"/>
            </w:r>
          </w:hyperlink>
        </w:p>
        <w:p w:rsidR="00104130" w:rsidRDefault="00104130">
          <w:pPr>
            <w:pStyle w:val="TOC2"/>
            <w:tabs>
              <w:tab w:val="right" w:leader="dot" w:pos="9350"/>
            </w:tabs>
            <w:rPr>
              <w:noProof/>
            </w:rPr>
          </w:pPr>
          <w:hyperlink w:anchor="_Toc234514597" w:history="1">
            <w:r w:rsidRPr="00793194">
              <w:rPr>
                <w:rStyle w:val="Hyperlink"/>
                <w:noProof/>
              </w:rPr>
              <w:t>11.2 Dashboard Pages</w:t>
            </w:r>
            <w:r>
              <w:rPr>
                <w:noProof/>
              </w:rPr>
              <w:tab/>
            </w:r>
            <w:r>
              <w:rPr>
                <w:noProof/>
              </w:rPr>
              <w:fldChar w:fldCharType="begin"/>
            </w:r>
            <w:r>
              <w:rPr>
                <w:noProof/>
              </w:rPr>
              <w:instrText xml:space="preserve"> PAGEREF _Toc234514597 \h </w:instrText>
            </w:r>
            <w:r>
              <w:rPr>
                <w:noProof/>
              </w:rPr>
            </w:r>
            <w:r>
              <w:rPr>
                <w:noProof/>
              </w:rPr>
              <w:fldChar w:fldCharType="separate"/>
            </w:r>
            <w:r>
              <w:rPr>
                <w:noProof/>
              </w:rPr>
              <w:t>27</w:t>
            </w:r>
            <w:r>
              <w:rPr>
                <w:noProof/>
              </w:rPr>
              <w:fldChar w:fldCharType="end"/>
            </w:r>
          </w:hyperlink>
        </w:p>
        <w:p w:rsidR="00104130" w:rsidRDefault="00104130">
          <w:pPr>
            <w:pStyle w:val="TOC2"/>
            <w:tabs>
              <w:tab w:val="right" w:leader="dot" w:pos="9350"/>
            </w:tabs>
            <w:rPr>
              <w:noProof/>
            </w:rPr>
          </w:pPr>
          <w:hyperlink w:anchor="_Toc234514598" w:history="1">
            <w:r w:rsidRPr="00793194">
              <w:rPr>
                <w:rStyle w:val="Hyperlink"/>
                <w:noProof/>
              </w:rPr>
              <w:t>11.3 Interactivity Features</w:t>
            </w:r>
            <w:r>
              <w:rPr>
                <w:noProof/>
              </w:rPr>
              <w:tab/>
            </w:r>
            <w:r>
              <w:rPr>
                <w:noProof/>
              </w:rPr>
              <w:fldChar w:fldCharType="begin"/>
            </w:r>
            <w:r>
              <w:rPr>
                <w:noProof/>
              </w:rPr>
              <w:instrText xml:space="preserve"> PAGEREF _Toc234514598 \h </w:instrText>
            </w:r>
            <w:r>
              <w:rPr>
                <w:noProof/>
              </w:rPr>
            </w:r>
            <w:r>
              <w:rPr>
                <w:noProof/>
              </w:rPr>
              <w:fldChar w:fldCharType="separate"/>
            </w:r>
            <w:r>
              <w:rPr>
                <w:noProof/>
              </w:rPr>
              <w:t>27</w:t>
            </w:r>
            <w:r>
              <w:rPr>
                <w:noProof/>
              </w:rPr>
              <w:fldChar w:fldCharType="end"/>
            </w:r>
          </w:hyperlink>
        </w:p>
        <w:p w:rsidR="00104130" w:rsidRDefault="00104130">
          <w:pPr>
            <w:pStyle w:val="TOC2"/>
            <w:tabs>
              <w:tab w:val="right" w:leader="dot" w:pos="9350"/>
            </w:tabs>
            <w:rPr>
              <w:noProof/>
            </w:rPr>
          </w:pPr>
          <w:hyperlink w:anchor="_Toc234514599" w:history="1">
            <w:r w:rsidRPr="00793194">
              <w:rPr>
                <w:rStyle w:val="Hyperlink"/>
                <w:noProof/>
              </w:rPr>
              <w:t>11.4 Business Value</w:t>
            </w:r>
            <w:r>
              <w:rPr>
                <w:noProof/>
              </w:rPr>
              <w:tab/>
            </w:r>
            <w:r>
              <w:rPr>
                <w:noProof/>
              </w:rPr>
              <w:fldChar w:fldCharType="begin"/>
            </w:r>
            <w:r>
              <w:rPr>
                <w:noProof/>
              </w:rPr>
              <w:instrText xml:space="preserve"> PAGEREF _Toc234514599 \h </w:instrText>
            </w:r>
            <w:r>
              <w:rPr>
                <w:noProof/>
              </w:rPr>
            </w:r>
            <w:r>
              <w:rPr>
                <w:noProof/>
              </w:rPr>
              <w:fldChar w:fldCharType="separate"/>
            </w:r>
            <w:r>
              <w:rPr>
                <w:noProof/>
              </w:rPr>
              <w:t>28</w:t>
            </w:r>
            <w:r>
              <w:rPr>
                <w:noProof/>
              </w:rPr>
              <w:fldChar w:fldCharType="end"/>
            </w:r>
          </w:hyperlink>
        </w:p>
        <w:p w:rsidR="00104130" w:rsidRDefault="00104130">
          <w:pPr>
            <w:pStyle w:val="TOC1"/>
            <w:tabs>
              <w:tab w:val="right" w:leader="dot" w:pos="9350"/>
            </w:tabs>
            <w:rPr>
              <w:noProof/>
            </w:rPr>
          </w:pPr>
          <w:hyperlink w:anchor="_Toc234514600" w:history="1">
            <w:r w:rsidRPr="00793194">
              <w:rPr>
                <w:rStyle w:val="Hyperlink"/>
                <w:noProof/>
              </w:rPr>
              <w:t>12. Business Insights</w:t>
            </w:r>
            <w:r>
              <w:rPr>
                <w:noProof/>
              </w:rPr>
              <w:tab/>
            </w:r>
            <w:r>
              <w:rPr>
                <w:noProof/>
              </w:rPr>
              <w:fldChar w:fldCharType="begin"/>
            </w:r>
            <w:r>
              <w:rPr>
                <w:noProof/>
              </w:rPr>
              <w:instrText xml:space="preserve"> PAGEREF _Toc234514600 \h </w:instrText>
            </w:r>
            <w:r>
              <w:rPr>
                <w:noProof/>
              </w:rPr>
            </w:r>
            <w:r>
              <w:rPr>
                <w:noProof/>
              </w:rPr>
              <w:fldChar w:fldCharType="separate"/>
            </w:r>
            <w:r>
              <w:rPr>
                <w:noProof/>
              </w:rPr>
              <w:t>29</w:t>
            </w:r>
            <w:r>
              <w:rPr>
                <w:noProof/>
              </w:rPr>
              <w:fldChar w:fldCharType="end"/>
            </w:r>
          </w:hyperlink>
        </w:p>
        <w:p w:rsidR="00104130" w:rsidRDefault="00104130">
          <w:pPr>
            <w:pStyle w:val="TOC2"/>
            <w:tabs>
              <w:tab w:val="right" w:leader="dot" w:pos="9350"/>
            </w:tabs>
            <w:rPr>
              <w:noProof/>
            </w:rPr>
          </w:pPr>
          <w:hyperlink w:anchor="_Toc234514601" w:history="1">
            <w:r w:rsidRPr="00793194">
              <w:rPr>
                <w:rStyle w:val="Hyperlink"/>
                <w:noProof/>
              </w:rPr>
              <w:t>12.1 Fund Performance Insights</w:t>
            </w:r>
            <w:r>
              <w:rPr>
                <w:noProof/>
              </w:rPr>
              <w:tab/>
            </w:r>
            <w:r>
              <w:rPr>
                <w:noProof/>
              </w:rPr>
              <w:fldChar w:fldCharType="begin"/>
            </w:r>
            <w:r>
              <w:rPr>
                <w:noProof/>
              </w:rPr>
              <w:instrText xml:space="preserve"> PAGEREF _Toc234514601 \h </w:instrText>
            </w:r>
            <w:r>
              <w:rPr>
                <w:noProof/>
              </w:rPr>
            </w:r>
            <w:r>
              <w:rPr>
                <w:noProof/>
              </w:rPr>
              <w:fldChar w:fldCharType="separate"/>
            </w:r>
            <w:r>
              <w:rPr>
                <w:noProof/>
              </w:rPr>
              <w:t>29</w:t>
            </w:r>
            <w:r>
              <w:rPr>
                <w:noProof/>
              </w:rPr>
              <w:fldChar w:fldCharType="end"/>
            </w:r>
          </w:hyperlink>
        </w:p>
        <w:p w:rsidR="00104130" w:rsidRDefault="00104130">
          <w:pPr>
            <w:pStyle w:val="TOC2"/>
            <w:tabs>
              <w:tab w:val="right" w:leader="dot" w:pos="9350"/>
            </w:tabs>
            <w:rPr>
              <w:noProof/>
            </w:rPr>
          </w:pPr>
          <w:hyperlink w:anchor="_Toc234514602" w:history="1">
            <w:r w:rsidRPr="00793194">
              <w:rPr>
                <w:rStyle w:val="Hyperlink"/>
                <w:noProof/>
              </w:rPr>
              <w:t>12.2 Investor Behaviour Insights</w:t>
            </w:r>
            <w:r>
              <w:rPr>
                <w:noProof/>
              </w:rPr>
              <w:tab/>
            </w:r>
            <w:r>
              <w:rPr>
                <w:noProof/>
              </w:rPr>
              <w:fldChar w:fldCharType="begin"/>
            </w:r>
            <w:r>
              <w:rPr>
                <w:noProof/>
              </w:rPr>
              <w:instrText xml:space="preserve"> PAGEREF _Toc234514602 \h </w:instrText>
            </w:r>
            <w:r>
              <w:rPr>
                <w:noProof/>
              </w:rPr>
            </w:r>
            <w:r>
              <w:rPr>
                <w:noProof/>
              </w:rPr>
              <w:fldChar w:fldCharType="separate"/>
            </w:r>
            <w:r>
              <w:rPr>
                <w:noProof/>
              </w:rPr>
              <w:t>29</w:t>
            </w:r>
            <w:r>
              <w:rPr>
                <w:noProof/>
              </w:rPr>
              <w:fldChar w:fldCharType="end"/>
            </w:r>
          </w:hyperlink>
        </w:p>
        <w:p w:rsidR="00104130" w:rsidRDefault="00104130">
          <w:pPr>
            <w:pStyle w:val="TOC2"/>
            <w:tabs>
              <w:tab w:val="right" w:leader="dot" w:pos="9350"/>
            </w:tabs>
            <w:rPr>
              <w:noProof/>
            </w:rPr>
          </w:pPr>
          <w:hyperlink w:anchor="_Toc234514603" w:history="1">
            <w:r w:rsidRPr="00793194">
              <w:rPr>
                <w:rStyle w:val="Hyperlink"/>
                <w:noProof/>
              </w:rPr>
              <w:t>12.3 Risk &amp; Portfolio Insights</w:t>
            </w:r>
            <w:r>
              <w:rPr>
                <w:noProof/>
              </w:rPr>
              <w:tab/>
            </w:r>
            <w:r>
              <w:rPr>
                <w:noProof/>
              </w:rPr>
              <w:fldChar w:fldCharType="begin"/>
            </w:r>
            <w:r>
              <w:rPr>
                <w:noProof/>
              </w:rPr>
              <w:instrText xml:space="preserve"> PAGEREF _Toc234514603 \h </w:instrText>
            </w:r>
            <w:r>
              <w:rPr>
                <w:noProof/>
              </w:rPr>
            </w:r>
            <w:r>
              <w:rPr>
                <w:noProof/>
              </w:rPr>
              <w:fldChar w:fldCharType="separate"/>
            </w:r>
            <w:r>
              <w:rPr>
                <w:noProof/>
              </w:rPr>
              <w:t>29</w:t>
            </w:r>
            <w:r>
              <w:rPr>
                <w:noProof/>
              </w:rPr>
              <w:fldChar w:fldCharType="end"/>
            </w:r>
          </w:hyperlink>
        </w:p>
        <w:p w:rsidR="00104130" w:rsidRDefault="00104130">
          <w:pPr>
            <w:pStyle w:val="TOC2"/>
            <w:tabs>
              <w:tab w:val="right" w:leader="dot" w:pos="9350"/>
            </w:tabs>
            <w:rPr>
              <w:noProof/>
            </w:rPr>
          </w:pPr>
          <w:hyperlink w:anchor="_Toc234514604" w:history="1">
            <w:r w:rsidRPr="00793194">
              <w:rPr>
                <w:rStyle w:val="Hyperlink"/>
                <w:noProof/>
              </w:rPr>
              <w:t>12.4 Strategic Recommendations</w:t>
            </w:r>
            <w:r>
              <w:rPr>
                <w:noProof/>
              </w:rPr>
              <w:tab/>
            </w:r>
            <w:r>
              <w:rPr>
                <w:noProof/>
              </w:rPr>
              <w:fldChar w:fldCharType="begin"/>
            </w:r>
            <w:r>
              <w:rPr>
                <w:noProof/>
              </w:rPr>
              <w:instrText xml:space="preserve"> PAGEREF _Toc234514604 \h </w:instrText>
            </w:r>
            <w:r>
              <w:rPr>
                <w:noProof/>
              </w:rPr>
            </w:r>
            <w:r>
              <w:rPr>
                <w:noProof/>
              </w:rPr>
              <w:fldChar w:fldCharType="separate"/>
            </w:r>
            <w:r>
              <w:rPr>
                <w:noProof/>
              </w:rPr>
              <w:t>30</w:t>
            </w:r>
            <w:r>
              <w:rPr>
                <w:noProof/>
              </w:rPr>
              <w:fldChar w:fldCharType="end"/>
            </w:r>
          </w:hyperlink>
        </w:p>
        <w:p w:rsidR="00104130" w:rsidRDefault="00104130">
          <w:pPr>
            <w:pStyle w:val="TOC1"/>
            <w:tabs>
              <w:tab w:val="right" w:leader="dot" w:pos="9350"/>
            </w:tabs>
            <w:rPr>
              <w:noProof/>
            </w:rPr>
          </w:pPr>
          <w:hyperlink w:anchor="_Toc234514605" w:history="1">
            <w:r w:rsidRPr="00793194">
              <w:rPr>
                <w:rStyle w:val="Hyperlink"/>
                <w:noProof/>
              </w:rPr>
              <w:t>13. Challenges Faced</w:t>
            </w:r>
            <w:r>
              <w:rPr>
                <w:noProof/>
              </w:rPr>
              <w:tab/>
            </w:r>
            <w:r>
              <w:rPr>
                <w:noProof/>
              </w:rPr>
              <w:fldChar w:fldCharType="begin"/>
            </w:r>
            <w:r>
              <w:rPr>
                <w:noProof/>
              </w:rPr>
              <w:instrText xml:space="preserve"> PAGEREF _Toc234514605 \h </w:instrText>
            </w:r>
            <w:r>
              <w:rPr>
                <w:noProof/>
              </w:rPr>
            </w:r>
            <w:r>
              <w:rPr>
                <w:noProof/>
              </w:rPr>
              <w:fldChar w:fldCharType="separate"/>
            </w:r>
            <w:r>
              <w:rPr>
                <w:noProof/>
              </w:rPr>
              <w:t>31</w:t>
            </w:r>
            <w:r>
              <w:rPr>
                <w:noProof/>
              </w:rPr>
              <w:fldChar w:fldCharType="end"/>
            </w:r>
          </w:hyperlink>
        </w:p>
        <w:p w:rsidR="00104130" w:rsidRDefault="00104130">
          <w:pPr>
            <w:pStyle w:val="TOC1"/>
            <w:tabs>
              <w:tab w:val="right" w:leader="dot" w:pos="9350"/>
            </w:tabs>
            <w:rPr>
              <w:noProof/>
            </w:rPr>
          </w:pPr>
          <w:hyperlink w:anchor="_Toc234514606" w:history="1">
            <w:r w:rsidRPr="00793194">
              <w:rPr>
                <w:rStyle w:val="Hyperlink"/>
                <w:noProof/>
              </w:rPr>
              <w:t>14. Future Scope</w:t>
            </w:r>
            <w:r>
              <w:rPr>
                <w:noProof/>
              </w:rPr>
              <w:tab/>
            </w:r>
            <w:r>
              <w:rPr>
                <w:noProof/>
              </w:rPr>
              <w:fldChar w:fldCharType="begin"/>
            </w:r>
            <w:r>
              <w:rPr>
                <w:noProof/>
              </w:rPr>
              <w:instrText xml:space="preserve"> PAGEREF _Toc234514606 \h </w:instrText>
            </w:r>
            <w:r>
              <w:rPr>
                <w:noProof/>
              </w:rPr>
            </w:r>
            <w:r>
              <w:rPr>
                <w:noProof/>
              </w:rPr>
              <w:fldChar w:fldCharType="separate"/>
            </w:r>
            <w:r>
              <w:rPr>
                <w:noProof/>
              </w:rPr>
              <w:t>32</w:t>
            </w:r>
            <w:r>
              <w:rPr>
                <w:noProof/>
              </w:rPr>
              <w:fldChar w:fldCharType="end"/>
            </w:r>
          </w:hyperlink>
        </w:p>
        <w:p w:rsidR="00104130" w:rsidRDefault="00104130">
          <w:pPr>
            <w:pStyle w:val="TOC1"/>
            <w:tabs>
              <w:tab w:val="right" w:leader="dot" w:pos="9350"/>
            </w:tabs>
            <w:rPr>
              <w:noProof/>
            </w:rPr>
          </w:pPr>
          <w:hyperlink w:anchor="_Toc234514607" w:history="1">
            <w:r w:rsidRPr="00793194">
              <w:rPr>
                <w:rStyle w:val="Hyperlink"/>
                <w:noProof/>
              </w:rPr>
              <w:t>15. Conclusion</w:t>
            </w:r>
            <w:r>
              <w:rPr>
                <w:noProof/>
              </w:rPr>
              <w:tab/>
            </w:r>
            <w:r>
              <w:rPr>
                <w:noProof/>
              </w:rPr>
              <w:fldChar w:fldCharType="begin"/>
            </w:r>
            <w:r>
              <w:rPr>
                <w:noProof/>
              </w:rPr>
              <w:instrText xml:space="preserve"> PAGEREF _Toc234514607 \h </w:instrText>
            </w:r>
            <w:r>
              <w:rPr>
                <w:noProof/>
              </w:rPr>
            </w:r>
            <w:r>
              <w:rPr>
                <w:noProof/>
              </w:rPr>
              <w:fldChar w:fldCharType="separate"/>
            </w:r>
            <w:r>
              <w:rPr>
                <w:noProof/>
              </w:rPr>
              <w:t>33</w:t>
            </w:r>
            <w:r>
              <w:rPr>
                <w:noProof/>
              </w:rPr>
              <w:fldChar w:fldCharType="end"/>
            </w:r>
          </w:hyperlink>
        </w:p>
        <w:p w:rsidR="00104130" w:rsidRDefault="00104130">
          <w:pPr>
            <w:pStyle w:val="TOC1"/>
            <w:tabs>
              <w:tab w:val="right" w:leader="dot" w:pos="9350"/>
            </w:tabs>
            <w:rPr>
              <w:noProof/>
            </w:rPr>
          </w:pPr>
          <w:hyperlink w:anchor="_Toc234514608" w:history="1">
            <w:r w:rsidRPr="00793194">
              <w:rPr>
                <w:rStyle w:val="Hyperlink"/>
                <w:noProof/>
              </w:rPr>
              <w:t>16. References</w:t>
            </w:r>
            <w:r>
              <w:rPr>
                <w:noProof/>
              </w:rPr>
              <w:tab/>
            </w:r>
            <w:r>
              <w:rPr>
                <w:noProof/>
              </w:rPr>
              <w:fldChar w:fldCharType="begin"/>
            </w:r>
            <w:r>
              <w:rPr>
                <w:noProof/>
              </w:rPr>
              <w:instrText xml:space="preserve"> PAGEREF _Toc234514608 \h </w:instrText>
            </w:r>
            <w:r>
              <w:rPr>
                <w:noProof/>
              </w:rPr>
            </w:r>
            <w:r>
              <w:rPr>
                <w:noProof/>
              </w:rPr>
              <w:fldChar w:fldCharType="separate"/>
            </w:r>
            <w:r>
              <w:rPr>
                <w:noProof/>
              </w:rPr>
              <w:t>34</w:t>
            </w:r>
            <w:r>
              <w:rPr>
                <w:noProof/>
              </w:rPr>
              <w:fldChar w:fldCharType="end"/>
            </w:r>
          </w:hyperlink>
        </w:p>
        <w:p w:rsidR="00EE0E0F" w:rsidRDefault="00104130">
          <w:r>
            <w:fldChar w:fldCharType="end"/>
          </w:r>
        </w:p>
      </w:sdtContent>
    </w:sdt>
    <w:p w:rsidR="00EE0E0F" w:rsidRDefault="00104130">
      <w:pPr>
        <w:pStyle w:val="Heading1"/>
        <w:pageBreakBefore/>
        <w:spacing w:before="400"/>
      </w:pPr>
      <w:bookmarkStart w:id="4" w:name="_Toc234514537"/>
      <w:r>
        <w:lastRenderedPageBreak/>
        <w:t>1. Introduction</w:t>
      </w:r>
      <w:bookmarkEnd w:id="4"/>
    </w:p>
    <w:p w:rsidR="00EE0E0F" w:rsidRDefault="00104130">
      <w:pPr>
        <w:spacing w:after="160" w:line="300" w:lineRule="auto"/>
        <w:jc w:val="both"/>
      </w:pPr>
      <w:r>
        <w:t xml:space="preserve">The Indian mutual fund industry has witnessed exponential growth over the past decade, driven by increasing retail participation, </w:t>
      </w:r>
      <w:proofErr w:type="spellStart"/>
      <w:r>
        <w:t>digitisation</w:t>
      </w:r>
      <w:proofErr w:type="spellEnd"/>
      <w:r>
        <w:t xml:space="preserve"> of investment platforms, and rising financial literacy. With Assets </w:t>
      </w:r>
      <w:proofErr w:type="gramStart"/>
      <w:r>
        <w:t>Under</w:t>
      </w:r>
      <w:proofErr w:type="gramEnd"/>
      <w:r>
        <w:t xml:space="preserve"> Management (AUM) crossing multiple lakh crore rupees across fund houses, the need for robust data-driven analysis of fund performance, investor </w:t>
      </w:r>
      <w:proofErr w:type="spellStart"/>
      <w:r>
        <w:t>behaviour</w:t>
      </w:r>
      <w:proofErr w:type="spellEnd"/>
      <w:r>
        <w:t>, and risk has never been greater.</w:t>
      </w:r>
    </w:p>
    <w:p w:rsidR="00EE0E0F" w:rsidRDefault="00104130">
      <w:pPr>
        <w:spacing w:after="160" w:line="300" w:lineRule="auto"/>
        <w:jc w:val="both"/>
      </w:pPr>
      <w:r>
        <w:t xml:space="preserve">The </w:t>
      </w:r>
      <w:proofErr w:type="spellStart"/>
      <w:r>
        <w:t>Bluestock</w:t>
      </w:r>
      <w:proofErr w:type="spellEnd"/>
      <w:r>
        <w:t xml:space="preserve"> Mutual Fund Analytics Capstone project was undertaken as part of the Data Analyst Internship </w:t>
      </w:r>
      <w:proofErr w:type="spellStart"/>
      <w:r>
        <w:t>programme</w:t>
      </w:r>
      <w:proofErr w:type="spellEnd"/>
      <w:r>
        <w:t xml:space="preserve"> at </w:t>
      </w:r>
      <w:proofErr w:type="spellStart"/>
      <w:r>
        <w:t>Bluestock</w:t>
      </w:r>
      <w:proofErr w:type="spellEnd"/>
      <w:r>
        <w:t xml:space="preserve"> </w:t>
      </w:r>
      <w:proofErr w:type="spellStart"/>
      <w:r>
        <w:t>Fintech</w:t>
      </w:r>
      <w:proofErr w:type="spellEnd"/>
      <w:r>
        <w:t xml:space="preserve">. The project was designed to replicate a realistic, end-to-end analytics workflow that a data analyst would perform in a </w:t>
      </w:r>
      <w:proofErr w:type="spellStart"/>
      <w:r>
        <w:t>fintech</w:t>
      </w:r>
      <w:proofErr w:type="spellEnd"/>
      <w:r>
        <w:t xml:space="preserve"> </w:t>
      </w:r>
      <w:proofErr w:type="spellStart"/>
      <w:r>
        <w:t>organisation</w:t>
      </w:r>
      <w:proofErr w:type="spellEnd"/>
      <w:r>
        <w:t xml:space="preserve"> - starting from raw, disparate data sources and progressively transforming them into a clean, structured, and analysis-ready form, followed by rigorous statistical and financial analysis, and ultimately packaging the findings into an interactive business intelligence dashboard.</w:t>
      </w:r>
    </w:p>
    <w:p w:rsidR="00EE0E0F" w:rsidRDefault="00104130">
      <w:pPr>
        <w:spacing w:after="160" w:line="300" w:lineRule="auto"/>
        <w:jc w:val="both"/>
      </w:pPr>
      <w:r>
        <w:t>This project spans five structured phases (implemented over five working days during the internship): Data Ingestion, Data Cleaning &amp; Database Design, Exploratory Data Analysis (EDA), Performance Analytics &amp; Fund Evaluation, and Advanced Analytics &amp; Risk Metrics. Each phase builds upon the previous one, culminating in a Power BI dashboard that consolidates all findings for business stakeholders.</w:t>
      </w:r>
    </w:p>
    <w:p w:rsidR="00EE0E0F" w:rsidRDefault="00104130">
      <w:pPr>
        <w:spacing w:after="160" w:line="300" w:lineRule="auto"/>
        <w:jc w:val="both"/>
      </w:pPr>
      <w:r>
        <w:t xml:space="preserve">The dataset used in this project covers 40 mutual fund schemes across 10 major Indian Asset Management Companies (AMCs), including SBI Mutual Fund, HDFC Mutual Fund, ICICI Prudential Mutual Fund, Nippon India Mutual Fund, </w:t>
      </w:r>
      <w:proofErr w:type="spellStart"/>
      <w:r>
        <w:t>Kotak</w:t>
      </w:r>
      <w:proofErr w:type="spellEnd"/>
      <w:r>
        <w:t xml:space="preserve"> Mahindra Mutual Fund, Axis Mutual Fund, Aditya Birla Sun Life Mutual Fund, UTI Mutual Fund, </w:t>
      </w:r>
      <w:proofErr w:type="spellStart"/>
      <w:r>
        <w:t>Mirae</w:t>
      </w:r>
      <w:proofErr w:type="spellEnd"/>
      <w:r>
        <w:t xml:space="preserve"> Asset Mutual Fund, and DSP Mutual Fund. The data spans Equity and Debt fund categories and includes historical NAV records, investor transaction logs, AUM trends, SIP inflow data, portfolio holdings, and benchmark index values.</w:t>
      </w:r>
    </w:p>
    <w:p w:rsidR="00EE0E0F" w:rsidRDefault="00104130">
      <w:pPr>
        <w:pStyle w:val="Heading1"/>
        <w:pageBreakBefore/>
        <w:spacing w:before="400"/>
      </w:pPr>
      <w:bookmarkStart w:id="5" w:name="_Toc234514538"/>
      <w:r>
        <w:lastRenderedPageBreak/>
        <w:t>2. Objectives</w:t>
      </w:r>
      <w:bookmarkEnd w:id="5"/>
    </w:p>
    <w:p w:rsidR="00EE0E0F" w:rsidRDefault="00104130">
      <w:pPr>
        <w:spacing w:after="160" w:line="300" w:lineRule="auto"/>
        <w:jc w:val="both"/>
      </w:pPr>
      <w:r>
        <w:t>The primary objective of this capstone project is to design and implement a complete mutual fund analytics pipeline that transforms raw financial data into actionable business insights. The specific objectives are:</w:t>
      </w:r>
    </w:p>
    <w:p w:rsidR="00EE0E0F" w:rsidRDefault="00104130">
      <w:pPr>
        <w:pStyle w:val="ListParagraph"/>
        <w:numPr>
          <w:ilvl w:val="0"/>
          <w:numId w:val="1"/>
        </w:numPr>
        <w:spacing w:after="90" w:line="280" w:lineRule="auto"/>
      </w:pPr>
      <w:r>
        <w:t>To ingest and validate raw mutual fund datasets covering fund master data, NAV history, AUM, SIP inflows, category inflows, investor transactions, portfolio holdings, and benchmark indices.</w:t>
      </w:r>
    </w:p>
    <w:p w:rsidR="00EE0E0F" w:rsidRDefault="00104130">
      <w:pPr>
        <w:pStyle w:val="ListParagraph"/>
        <w:numPr>
          <w:ilvl w:val="0"/>
          <w:numId w:val="1"/>
        </w:numPr>
        <w:spacing w:after="90" w:line="280" w:lineRule="auto"/>
      </w:pPr>
      <w:r>
        <w:t>To design and build a normalized relational database (SQLite) with appropriate dimension and fact tables to support efficient querying and analysis.</w:t>
      </w:r>
    </w:p>
    <w:p w:rsidR="00EE0E0F" w:rsidRDefault="00104130">
      <w:pPr>
        <w:pStyle w:val="ListParagraph"/>
        <w:numPr>
          <w:ilvl w:val="0"/>
          <w:numId w:val="1"/>
        </w:numPr>
        <w:spacing w:after="90" w:line="280" w:lineRule="auto"/>
      </w:pPr>
      <w:r>
        <w:t>To write SQL queries that extract meaningful business metrics such as top funds by AUM, average returns, expense ratio analysis, and transaction patterns.</w:t>
      </w:r>
    </w:p>
    <w:p w:rsidR="00EE0E0F" w:rsidRDefault="00104130">
      <w:pPr>
        <w:pStyle w:val="ListParagraph"/>
        <w:numPr>
          <w:ilvl w:val="0"/>
          <w:numId w:val="1"/>
        </w:numPr>
        <w:spacing w:after="90" w:line="280" w:lineRule="auto"/>
      </w:pPr>
      <w:r>
        <w:t>To perform comprehensive Exploratory Data Analysis (EDA) covering NAV trends, AUM growth, SIP inflows, investor demographics, sector allocation, and inter-fund correlation.</w:t>
      </w:r>
    </w:p>
    <w:p w:rsidR="00EE0E0F" w:rsidRDefault="00104130">
      <w:pPr>
        <w:pStyle w:val="ListParagraph"/>
        <w:numPr>
          <w:ilvl w:val="0"/>
          <w:numId w:val="1"/>
        </w:numPr>
        <w:spacing w:after="90" w:line="280" w:lineRule="auto"/>
      </w:pPr>
      <w:r>
        <w:t xml:space="preserve">To compute industry-standard performance metrics - CAGR, Sharpe Ratio, </w:t>
      </w:r>
      <w:proofErr w:type="spellStart"/>
      <w:r>
        <w:t>Sortino</w:t>
      </w:r>
      <w:proofErr w:type="spellEnd"/>
      <w:r>
        <w:t xml:space="preserve"> Ratio, Alpha, Beta, Tracking Error, and Maximum Drawdown - for every scheme in the dataset.</w:t>
      </w:r>
    </w:p>
    <w:p w:rsidR="00EE0E0F" w:rsidRDefault="00104130">
      <w:pPr>
        <w:pStyle w:val="ListParagraph"/>
        <w:numPr>
          <w:ilvl w:val="0"/>
          <w:numId w:val="1"/>
        </w:numPr>
        <w:spacing w:after="90" w:line="280" w:lineRule="auto"/>
      </w:pPr>
      <w:r>
        <w:t>To develop a composite Fund Scorecard that ranks mutual fund schemes on a normalized 0-100 scale using multiple weighted performance factors.</w:t>
      </w:r>
    </w:p>
    <w:p w:rsidR="00EE0E0F" w:rsidRDefault="00104130">
      <w:pPr>
        <w:pStyle w:val="ListParagraph"/>
        <w:numPr>
          <w:ilvl w:val="0"/>
          <w:numId w:val="1"/>
        </w:numPr>
        <w:spacing w:after="90" w:line="280" w:lineRule="auto"/>
      </w:pPr>
      <w:r>
        <w:t>To conduct advanced risk analytics including Historical Value at Risk (</w:t>
      </w:r>
      <w:proofErr w:type="spellStart"/>
      <w:r>
        <w:t>VaR</w:t>
      </w:r>
      <w:proofErr w:type="spellEnd"/>
      <w:r>
        <w:t>), Conditional Value at Risk (</w:t>
      </w:r>
      <w:proofErr w:type="spellStart"/>
      <w:r>
        <w:t>CVaR</w:t>
      </w:r>
      <w:proofErr w:type="spellEnd"/>
      <w:r>
        <w:t>), and rolling Sharpe Ratio analysis.</w:t>
      </w:r>
    </w:p>
    <w:p w:rsidR="00EE0E0F" w:rsidRDefault="00104130">
      <w:pPr>
        <w:pStyle w:val="ListParagraph"/>
        <w:numPr>
          <w:ilvl w:val="0"/>
          <w:numId w:val="1"/>
        </w:numPr>
        <w:spacing w:after="90" w:line="280" w:lineRule="auto"/>
      </w:pPr>
      <w:r>
        <w:t xml:space="preserve">To </w:t>
      </w:r>
      <w:proofErr w:type="spellStart"/>
      <w:r>
        <w:t>analyse</w:t>
      </w:r>
      <w:proofErr w:type="spellEnd"/>
      <w:r>
        <w:t xml:space="preserve"> investor </w:t>
      </w:r>
      <w:proofErr w:type="spellStart"/>
      <w:r>
        <w:t>behaviour</w:t>
      </w:r>
      <w:proofErr w:type="spellEnd"/>
      <w:r>
        <w:t xml:space="preserve"> through cohort analysis and SIP continuity classification, identifying investors at risk of discontinuing investments.</w:t>
      </w:r>
    </w:p>
    <w:p w:rsidR="00EE0E0F" w:rsidRDefault="00104130">
      <w:pPr>
        <w:pStyle w:val="ListParagraph"/>
        <w:numPr>
          <w:ilvl w:val="0"/>
          <w:numId w:val="1"/>
        </w:numPr>
        <w:spacing w:after="90" w:line="280" w:lineRule="auto"/>
      </w:pPr>
      <w:r>
        <w:t>To build a rule-based mutual fund recommendation engine based on investor risk appetite.</w:t>
      </w:r>
    </w:p>
    <w:p w:rsidR="00EE0E0F" w:rsidRDefault="00104130">
      <w:pPr>
        <w:pStyle w:val="ListParagraph"/>
        <w:numPr>
          <w:ilvl w:val="0"/>
          <w:numId w:val="1"/>
        </w:numPr>
        <w:spacing w:after="90" w:line="280" w:lineRule="auto"/>
      </w:pPr>
      <w:r>
        <w:t xml:space="preserve">To measure portfolio concentration risk using the </w:t>
      </w:r>
      <w:proofErr w:type="spellStart"/>
      <w:r>
        <w:t>Herfindahl</w:t>
      </w:r>
      <w:proofErr w:type="spellEnd"/>
      <w:r>
        <w:t>-Hirschman Index (HHI) across equity fund holdings.</w:t>
      </w:r>
    </w:p>
    <w:p w:rsidR="00EE0E0F" w:rsidRDefault="00104130">
      <w:pPr>
        <w:pStyle w:val="ListParagraph"/>
        <w:numPr>
          <w:ilvl w:val="0"/>
          <w:numId w:val="1"/>
        </w:numPr>
        <w:spacing w:after="90" w:line="280" w:lineRule="auto"/>
      </w:pPr>
      <w:r>
        <w:t>To consolidate all analytical outputs into an interactive Power BI dashboard for business stakeholders.</w:t>
      </w:r>
    </w:p>
    <w:p w:rsidR="00EE0E0F" w:rsidRDefault="00104130">
      <w:pPr>
        <w:pStyle w:val="Heading1"/>
        <w:pageBreakBefore/>
        <w:spacing w:before="400"/>
      </w:pPr>
      <w:bookmarkStart w:id="6" w:name="_Toc234514539"/>
      <w:r>
        <w:lastRenderedPageBreak/>
        <w:t>3. Methodology</w:t>
      </w:r>
      <w:bookmarkEnd w:id="6"/>
    </w:p>
    <w:p w:rsidR="00EE0E0F" w:rsidRDefault="00104130">
      <w:pPr>
        <w:spacing w:after="160" w:line="300" w:lineRule="auto"/>
        <w:jc w:val="both"/>
      </w:pPr>
      <w:r>
        <w:t xml:space="preserve">The project follows a structured, phase-wise methodology aligned with standard data analytics best practices. The overall workflow can be </w:t>
      </w:r>
      <w:proofErr w:type="spellStart"/>
      <w:r>
        <w:t>summarised</w:t>
      </w:r>
      <w:proofErr w:type="spellEnd"/>
      <w:r>
        <w:t xml:space="preserve"> as: Data Ingestion -&gt; Data Cleaning -&gt; Database Design &amp; Loading -&gt; Exploratory Data Analysis -&gt; Performance Analytics -&gt; Advanced Analytics -&gt; Dashboard </w:t>
      </w:r>
      <w:proofErr w:type="spellStart"/>
      <w:r>
        <w:t>Visualisation</w:t>
      </w:r>
      <w:proofErr w:type="spellEnd"/>
      <w:r>
        <w:t>.</w:t>
      </w:r>
    </w:p>
    <w:p w:rsidR="00EE0E0F" w:rsidRDefault="00104130">
      <w:pPr>
        <w:pStyle w:val="Heading2"/>
        <w:spacing w:before="300" w:after="150"/>
      </w:pPr>
      <w:bookmarkStart w:id="7" w:name="_Toc234514540"/>
      <w:r>
        <w:t>3.1 Development Environment</w:t>
      </w:r>
      <w:bookmarkEnd w:id="7"/>
    </w:p>
    <w:p w:rsidR="00EE0E0F" w:rsidRDefault="00104130">
      <w:pPr>
        <w:spacing w:after="160" w:line="300" w:lineRule="auto"/>
        <w:jc w:val="both"/>
      </w:pPr>
      <w:r>
        <w:t>The project was developed using Python 3.11 within a dedicated virtual environment (</w:t>
      </w:r>
      <w:proofErr w:type="spellStart"/>
      <w:r>
        <w:t>venv</w:t>
      </w:r>
      <w:proofErr w:type="spellEnd"/>
      <w:r>
        <w:t xml:space="preserve">) to ensure dependency isolation. </w:t>
      </w:r>
      <w:proofErr w:type="spellStart"/>
      <w:r>
        <w:t>Jupyter</w:t>
      </w:r>
      <w:proofErr w:type="spellEnd"/>
      <w:r>
        <w:t xml:space="preserve"> Notebook was used as the primary interactive development environment for data exploration and analysis, while standalone Python scripts (stored under the scripts/ directory) were used for repeatable ETL tasks such as data cleaning and database loading.</w:t>
      </w:r>
    </w:p>
    <w:p w:rsidR="00EE0E0F" w:rsidRDefault="00104130">
      <w:pPr>
        <w:pStyle w:val="Heading2"/>
        <w:spacing w:before="300" w:after="150"/>
      </w:pPr>
      <w:bookmarkStart w:id="8" w:name="_Toc234514541"/>
      <w:r>
        <w:t>3.2 Tools and Libraries</w:t>
      </w:r>
      <w:bookmarkEnd w:id="8"/>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EE0E0F">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rsidR="00EE0E0F" w:rsidRDefault="00104130">
            <w:r>
              <w:rPr>
                <w:b/>
                <w:bCs/>
                <w:color w:val="FFFFFF"/>
                <w:sz w:val="20"/>
                <w:szCs w:val="20"/>
              </w:rPr>
              <w:t>Category</w:t>
            </w:r>
          </w:p>
        </w:tc>
        <w:tc>
          <w:tcPr>
            <w:tcW w:w="5800" w:type="dxa"/>
            <w:shd w:val="clear" w:color="auto" w:fill="1F3864"/>
            <w:tcMar>
              <w:top w:w="80" w:type="dxa"/>
              <w:left w:w="100" w:type="dxa"/>
              <w:bottom w:w="80" w:type="dxa"/>
              <w:right w:w="100" w:type="dxa"/>
            </w:tcMar>
            <w:vAlign w:val="center"/>
          </w:tcPr>
          <w:p w:rsidR="00EE0E0F" w:rsidRDefault="00104130">
            <w:r>
              <w:rPr>
                <w:b/>
                <w:bCs/>
                <w:color w:val="FFFFFF"/>
                <w:sz w:val="20"/>
                <w:szCs w:val="20"/>
              </w:rPr>
              <w:t>Tools / Libraries</w:t>
            </w:r>
          </w:p>
        </w:tc>
      </w:tr>
      <w:tr w:rsidR="00EE0E0F">
        <w:tblPrEx>
          <w:tblCellMar>
            <w:top w:w="0" w:type="dxa"/>
            <w:bottom w:w="0" w:type="dxa"/>
          </w:tblCellMar>
        </w:tblPrEx>
        <w:tc>
          <w:tcPr>
            <w:tcW w:w="3200" w:type="dxa"/>
            <w:tcMar>
              <w:top w:w="80" w:type="dxa"/>
              <w:left w:w="100" w:type="dxa"/>
              <w:bottom w:w="80" w:type="dxa"/>
              <w:right w:w="100" w:type="dxa"/>
            </w:tcMar>
            <w:vAlign w:val="center"/>
          </w:tcPr>
          <w:p w:rsidR="00EE0E0F" w:rsidRDefault="00104130">
            <w:r>
              <w:rPr>
                <w:color w:val="222222"/>
                <w:sz w:val="20"/>
                <w:szCs w:val="20"/>
              </w:rPr>
              <w:t>Programming Language</w:t>
            </w:r>
          </w:p>
        </w:tc>
        <w:tc>
          <w:tcPr>
            <w:tcW w:w="5800" w:type="dxa"/>
            <w:tcMar>
              <w:top w:w="80" w:type="dxa"/>
              <w:left w:w="100" w:type="dxa"/>
              <w:bottom w:w="80" w:type="dxa"/>
              <w:right w:w="100" w:type="dxa"/>
            </w:tcMar>
            <w:vAlign w:val="center"/>
          </w:tcPr>
          <w:p w:rsidR="00EE0E0F" w:rsidRDefault="00104130">
            <w:r>
              <w:rPr>
                <w:color w:val="222222"/>
                <w:sz w:val="20"/>
                <w:szCs w:val="20"/>
              </w:rPr>
              <w:t>Python 3.11</w:t>
            </w:r>
          </w:p>
        </w:tc>
      </w:tr>
      <w:tr w:rsidR="00EE0E0F">
        <w:tblPrEx>
          <w:tblCellMar>
            <w:top w:w="0" w:type="dxa"/>
            <w:bottom w:w="0" w:type="dxa"/>
          </w:tblCellMar>
        </w:tblPrEx>
        <w:tc>
          <w:tcPr>
            <w:tcW w:w="3200" w:type="dxa"/>
            <w:shd w:val="clear" w:color="auto" w:fill="F2F6FB"/>
            <w:tcMar>
              <w:top w:w="80" w:type="dxa"/>
              <w:left w:w="100" w:type="dxa"/>
              <w:bottom w:w="80" w:type="dxa"/>
              <w:right w:w="100" w:type="dxa"/>
            </w:tcMar>
            <w:vAlign w:val="center"/>
          </w:tcPr>
          <w:p w:rsidR="00EE0E0F" w:rsidRDefault="00104130">
            <w:r>
              <w:rPr>
                <w:color w:val="222222"/>
                <w:sz w:val="20"/>
                <w:szCs w:val="20"/>
              </w:rPr>
              <w:t>Data Manipulation</w:t>
            </w:r>
          </w:p>
        </w:tc>
        <w:tc>
          <w:tcPr>
            <w:tcW w:w="5800" w:type="dxa"/>
            <w:shd w:val="clear" w:color="auto" w:fill="F2F6FB"/>
            <w:tcMar>
              <w:top w:w="80" w:type="dxa"/>
              <w:left w:w="100" w:type="dxa"/>
              <w:bottom w:w="80" w:type="dxa"/>
              <w:right w:w="100" w:type="dxa"/>
            </w:tcMar>
            <w:vAlign w:val="center"/>
          </w:tcPr>
          <w:p w:rsidR="00EE0E0F" w:rsidRDefault="00104130">
            <w:r>
              <w:rPr>
                <w:color w:val="222222"/>
                <w:sz w:val="20"/>
                <w:szCs w:val="20"/>
              </w:rPr>
              <w:t xml:space="preserve">Pandas, </w:t>
            </w:r>
            <w:proofErr w:type="spellStart"/>
            <w:r>
              <w:rPr>
                <w:color w:val="222222"/>
                <w:sz w:val="20"/>
                <w:szCs w:val="20"/>
              </w:rPr>
              <w:t>NumPy</w:t>
            </w:r>
            <w:proofErr w:type="spellEnd"/>
          </w:p>
        </w:tc>
      </w:tr>
      <w:tr w:rsidR="00EE0E0F">
        <w:tblPrEx>
          <w:tblCellMar>
            <w:top w:w="0" w:type="dxa"/>
            <w:bottom w:w="0" w:type="dxa"/>
          </w:tblCellMar>
        </w:tblPrEx>
        <w:tc>
          <w:tcPr>
            <w:tcW w:w="3200" w:type="dxa"/>
            <w:tcMar>
              <w:top w:w="80" w:type="dxa"/>
              <w:left w:w="100" w:type="dxa"/>
              <w:bottom w:w="80" w:type="dxa"/>
              <w:right w:w="100" w:type="dxa"/>
            </w:tcMar>
            <w:vAlign w:val="center"/>
          </w:tcPr>
          <w:p w:rsidR="00EE0E0F" w:rsidRDefault="00104130">
            <w:r>
              <w:rPr>
                <w:color w:val="222222"/>
                <w:sz w:val="20"/>
                <w:szCs w:val="20"/>
              </w:rPr>
              <w:t>Statistical Computation</w:t>
            </w:r>
          </w:p>
        </w:tc>
        <w:tc>
          <w:tcPr>
            <w:tcW w:w="5800" w:type="dxa"/>
            <w:tcMar>
              <w:top w:w="80" w:type="dxa"/>
              <w:left w:w="100" w:type="dxa"/>
              <w:bottom w:w="80" w:type="dxa"/>
              <w:right w:w="100" w:type="dxa"/>
            </w:tcMar>
            <w:vAlign w:val="center"/>
          </w:tcPr>
          <w:p w:rsidR="00EE0E0F" w:rsidRDefault="00104130">
            <w:proofErr w:type="spellStart"/>
            <w:r>
              <w:rPr>
                <w:color w:val="222222"/>
                <w:sz w:val="20"/>
                <w:szCs w:val="20"/>
              </w:rPr>
              <w:t>SciPy</w:t>
            </w:r>
            <w:proofErr w:type="spellEnd"/>
            <w:r>
              <w:rPr>
                <w:color w:val="222222"/>
                <w:sz w:val="20"/>
                <w:szCs w:val="20"/>
              </w:rPr>
              <w:t xml:space="preserve"> (</w:t>
            </w:r>
            <w:proofErr w:type="spellStart"/>
            <w:r>
              <w:rPr>
                <w:color w:val="222222"/>
                <w:sz w:val="20"/>
                <w:szCs w:val="20"/>
              </w:rPr>
              <w:t>linregress</w:t>
            </w:r>
            <w:proofErr w:type="spellEnd"/>
            <w:r>
              <w:rPr>
                <w:color w:val="222222"/>
                <w:sz w:val="20"/>
                <w:szCs w:val="20"/>
              </w:rPr>
              <w:t xml:space="preserve"> for Alpha/Beta)</w:t>
            </w:r>
          </w:p>
        </w:tc>
      </w:tr>
      <w:tr w:rsidR="00EE0E0F">
        <w:tblPrEx>
          <w:tblCellMar>
            <w:top w:w="0" w:type="dxa"/>
            <w:bottom w:w="0" w:type="dxa"/>
          </w:tblCellMar>
        </w:tblPrEx>
        <w:tc>
          <w:tcPr>
            <w:tcW w:w="3200" w:type="dxa"/>
            <w:shd w:val="clear" w:color="auto" w:fill="F2F6FB"/>
            <w:tcMar>
              <w:top w:w="80" w:type="dxa"/>
              <w:left w:w="100" w:type="dxa"/>
              <w:bottom w:w="80" w:type="dxa"/>
              <w:right w:w="100" w:type="dxa"/>
            </w:tcMar>
            <w:vAlign w:val="center"/>
          </w:tcPr>
          <w:p w:rsidR="00EE0E0F" w:rsidRDefault="00104130">
            <w:r>
              <w:rPr>
                <w:color w:val="222222"/>
                <w:sz w:val="20"/>
                <w:szCs w:val="20"/>
              </w:rPr>
              <w:t>Database</w:t>
            </w:r>
          </w:p>
        </w:tc>
        <w:tc>
          <w:tcPr>
            <w:tcW w:w="5800" w:type="dxa"/>
            <w:shd w:val="clear" w:color="auto" w:fill="F2F6FB"/>
            <w:tcMar>
              <w:top w:w="80" w:type="dxa"/>
              <w:left w:w="100" w:type="dxa"/>
              <w:bottom w:w="80" w:type="dxa"/>
              <w:right w:w="100" w:type="dxa"/>
            </w:tcMar>
            <w:vAlign w:val="center"/>
          </w:tcPr>
          <w:p w:rsidR="00EE0E0F" w:rsidRDefault="00104130">
            <w:r>
              <w:rPr>
                <w:color w:val="222222"/>
                <w:sz w:val="20"/>
                <w:szCs w:val="20"/>
              </w:rPr>
              <w:t xml:space="preserve">SQLite, </w:t>
            </w:r>
            <w:proofErr w:type="spellStart"/>
            <w:r>
              <w:rPr>
                <w:color w:val="222222"/>
                <w:sz w:val="20"/>
                <w:szCs w:val="20"/>
              </w:rPr>
              <w:t>SQLAlchemy</w:t>
            </w:r>
            <w:proofErr w:type="spellEnd"/>
          </w:p>
        </w:tc>
      </w:tr>
      <w:tr w:rsidR="00EE0E0F">
        <w:tblPrEx>
          <w:tblCellMar>
            <w:top w:w="0" w:type="dxa"/>
            <w:bottom w:w="0" w:type="dxa"/>
          </w:tblCellMar>
        </w:tblPrEx>
        <w:tc>
          <w:tcPr>
            <w:tcW w:w="3200" w:type="dxa"/>
            <w:tcMar>
              <w:top w:w="80" w:type="dxa"/>
              <w:left w:w="100" w:type="dxa"/>
              <w:bottom w:w="80" w:type="dxa"/>
              <w:right w:w="100" w:type="dxa"/>
            </w:tcMar>
            <w:vAlign w:val="center"/>
          </w:tcPr>
          <w:p w:rsidR="00EE0E0F" w:rsidRDefault="00104130">
            <w:r>
              <w:rPr>
                <w:color w:val="222222"/>
                <w:sz w:val="20"/>
                <w:szCs w:val="20"/>
              </w:rPr>
              <w:t>Visualization</w:t>
            </w:r>
          </w:p>
        </w:tc>
        <w:tc>
          <w:tcPr>
            <w:tcW w:w="5800" w:type="dxa"/>
            <w:tcMar>
              <w:top w:w="80" w:type="dxa"/>
              <w:left w:w="100" w:type="dxa"/>
              <w:bottom w:w="80" w:type="dxa"/>
              <w:right w:w="100" w:type="dxa"/>
            </w:tcMar>
            <w:vAlign w:val="center"/>
          </w:tcPr>
          <w:p w:rsidR="00EE0E0F" w:rsidRDefault="00104130">
            <w:proofErr w:type="spellStart"/>
            <w:r>
              <w:rPr>
                <w:color w:val="222222"/>
                <w:sz w:val="20"/>
                <w:szCs w:val="20"/>
              </w:rPr>
              <w:t>Matplotlib</w:t>
            </w:r>
            <w:proofErr w:type="spellEnd"/>
            <w:r>
              <w:rPr>
                <w:color w:val="222222"/>
                <w:sz w:val="20"/>
                <w:szCs w:val="20"/>
              </w:rPr>
              <w:t xml:space="preserve">, </w:t>
            </w:r>
            <w:proofErr w:type="spellStart"/>
            <w:r>
              <w:rPr>
                <w:color w:val="222222"/>
                <w:sz w:val="20"/>
                <w:szCs w:val="20"/>
              </w:rPr>
              <w:t>Seaborn</w:t>
            </w:r>
            <w:proofErr w:type="spellEnd"/>
            <w:r>
              <w:rPr>
                <w:color w:val="222222"/>
                <w:sz w:val="20"/>
                <w:szCs w:val="20"/>
              </w:rPr>
              <w:t xml:space="preserve">, </w:t>
            </w:r>
            <w:proofErr w:type="spellStart"/>
            <w:r>
              <w:rPr>
                <w:color w:val="222222"/>
                <w:sz w:val="20"/>
                <w:szCs w:val="20"/>
              </w:rPr>
              <w:t>Plotly</w:t>
            </w:r>
            <w:proofErr w:type="spellEnd"/>
          </w:p>
        </w:tc>
      </w:tr>
      <w:tr w:rsidR="00EE0E0F">
        <w:tblPrEx>
          <w:tblCellMar>
            <w:top w:w="0" w:type="dxa"/>
            <w:bottom w:w="0" w:type="dxa"/>
          </w:tblCellMar>
        </w:tblPrEx>
        <w:tc>
          <w:tcPr>
            <w:tcW w:w="3200" w:type="dxa"/>
            <w:shd w:val="clear" w:color="auto" w:fill="F2F6FB"/>
            <w:tcMar>
              <w:top w:w="80" w:type="dxa"/>
              <w:left w:w="100" w:type="dxa"/>
              <w:bottom w:w="80" w:type="dxa"/>
              <w:right w:w="100" w:type="dxa"/>
            </w:tcMar>
            <w:vAlign w:val="center"/>
          </w:tcPr>
          <w:p w:rsidR="00EE0E0F" w:rsidRDefault="00104130">
            <w:r>
              <w:rPr>
                <w:color w:val="222222"/>
                <w:sz w:val="20"/>
                <w:szCs w:val="20"/>
              </w:rPr>
              <w:t>Notebook Environment</w:t>
            </w:r>
          </w:p>
        </w:tc>
        <w:tc>
          <w:tcPr>
            <w:tcW w:w="5800" w:type="dxa"/>
            <w:shd w:val="clear" w:color="auto" w:fill="F2F6FB"/>
            <w:tcMar>
              <w:top w:w="80" w:type="dxa"/>
              <w:left w:w="100" w:type="dxa"/>
              <w:bottom w:w="80" w:type="dxa"/>
              <w:right w:w="100" w:type="dxa"/>
            </w:tcMar>
            <w:vAlign w:val="center"/>
          </w:tcPr>
          <w:p w:rsidR="00EE0E0F" w:rsidRDefault="00104130">
            <w:proofErr w:type="spellStart"/>
            <w:r>
              <w:rPr>
                <w:color w:val="222222"/>
                <w:sz w:val="20"/>
                <w:szCs w:val="20"/>
              </w:rPr>
              <w:t>Jupyter</w:t>
            </w:r>
            <w:proofErr w:type="spellEnd"/>
            <w:r>
              <w:rPr>
                <w:color w:val="222222"/>
                <w:sz w:val="20"/>
                <w:szCs w:val="20"/>
              </w:rPr>
              <w:t xml:space="preserve"> Notebook</w:t>
            </w:r>
          </w:p>
        </w:tc>
      </w:tr>
      <w:tr w:rsidR="00EE0E0F">
        <w:tblPrEx>
          <w:tblCellMar>
            <w:top w:w="0" w:type="dxa"/>
            <w:bottom w:w="0" w:type="dxa"/>
          </w:tblCellMar>
        </w:tblPrEx>
        <w:tc>
          <w:tcPr>
            <w:tcW w:w="3200" w:type="dxa"/>
            <w:tcMar>
              <w:top w:w="80" w:type="dxa"/>
              <w:left w:w="100" w:type="dxa"/>
              <w:bottom w:w="80" w:type="dxa"/>
              <w:right w:w="100" w:type="dxa"/>
            </w:tcMar>
            <w:vAlign w:val="center"/>
          </w:tcPr>
          <w:p w:rsidR="00EE0E0F" w:rsidRDefault="00104130">
            <w:r>
              <w:rPr>
                <w:color w:val="222222"/>
                <w:sz w:val="20"/>
                <w:szCs w:val="20"/>
              </w:rPr>
              <w:t>Business Intelligence</w:t>
            </w:r>
          </w:p>
        </w:tc>
        <w:tc>
          <w:tcPr>
            <w:tcW w:w="5800" w:type="dxa"/>
            <w:tcMar>
              <w:top w:w="80" w:type="dxa"/>
              <w:left w:w="100" w:type="dxa"/>
              <w:bottom w:w="80" w:type="dxa"/>
              <w:right w:w="100" w:type="dxa"/>
            </w:tcMar>
            <w:vAlign w:val="center"/>
          </w:tcPr>
          <w:p w:rsidR="00EE0E0F" w:rsidRDefault="00104130">
            <w:r>
              <w:rPr>
                <w:color w:val="222222"/>
                <w:sz w:val="20"/>
                <w:szCs w:val="20"/>
              </w:rPr>
              <w:t>Microsoft Power BI</w:t>
            </w:r>
          </w:p>
        </w:tc>
      </w:tr>
      <w:tr w:rsidR="00EE0E0F">
        <w:tblPrEx>
          <w:tblCellMar>
            <w:top w:w="0" w:type="dxa"/>
            <w:bottom w:w="0" w:type="dxa"/>
          </w:tblCellMar>
        </w:tblPrEx>
        <w:tc>
          <w:tcPr>
            <w:tcW w:w="3200" w:type="dxa"/>
            <w:shd w:val="clear" w:color="auto" w:fill="F2F6FB"/>
            <w:tcMar>
              <w:top w:w="80" w:type="dxa"/>
              <w:left w:w="100" w:type="dxa"/>
              <w:bottom w:w="80" w:type="dxa"/>
              <w:right w:w="100" w:type="dxa"/>
            </w:tcMar>
            <w:vAlign w:val="center"/>
          </w:tcPr>
          <w:p w:rsidR="00EE0E0F" w:rsidRDefault="00104130">
            <w:r>
              <w:rPr>
                <w:color w:val="222222"/>
                <w:sz w:val="20"/>
                <w:szCs w:val="20"/>
              </w:rPr>
              <w:t>Version Control</w:t>
            </w:r>
          </w:p>
        </w:tc>
        <w:tc>
          <w:tcPr>
            <w:tcW w:w="5800" w:type="dxa"/>
            <w:shd w:val="clear" w:color="auto" w:fill="F2F6FB"/>
            <w:tcMar>
              <w:top w:w="80" w:type="dxa"/>
              <w:left w:w="100" w:type="dxa"/>
              <w:bottom w:w="80" w:type="dxa"/>
              <w:right w:w="100" w:type="dxa"/>
            </w:tcMar>
            <w:vAlign w:val="center"/>
          </w:tcPr>
          <w:p w:rsidR="00EE0E0F" w:rsidRDefault="00104130">
            <w:proofErr w:type="spellStart"/>
            <w:r>
              <w:rPr>
                <w:color w:val="222222"/>
                <w:sz w:val="20"/>
                <w:szCs w:val="20"/>
              </w:rPr>
              <w:t>Git</w:t>
            </w:r>
            <w:proofErr w:type="spellEnd"/>
            <w:r>
              <w:rPr>
                <w:color w:val="222222"/>
                <w:sz w:val="20"/>
                <w:szCs w:val="20"/>
              </w:rPr>
              <w:t xml:space="preserve"> &amp; </w:t>
            </w:r>
            <w:proofErr w:type="spellStart"/>
            <w:r>
              <w:rPr>
                <w:color w:val="222222"/>
                <w:sz w:val="20"/>
                <w:szCs w:val="20"/>
              </w:rPr>
              <w:t>GitHub</w:t>
            </w:r>
            <w:proofErr w:type="spellEnd"/>
          </w:p>
        </w:tc>
      </w:tr>
      <w:tr w:rsidR="00EE0E0F">
        <w:tblPrEx>
          <w:tblCellMar>
            <w:top w:w="0" w:type="dxa"/>
            <w:bottom w:w="0" w:type="dxa"/>
          </w:tblCellMar>
        </w:tblPrEx>
        <w:tc>
          <w:tcPr>
            <w:tcW w:w="3200" w:type="dxa"/>
            <w:tcMar>
              <w:top w:w="80" w:type="dxa"/>
              <w:left w:w="100" w:type="dxa"/>
              <w:bottom w:w="80" w:type="dxa"/>
              <w:right w:w="100" w:type="dxa"/>
            </w:tcMar>
            <w:vAlign w:val="center"/>
          </w:tcPr>
          <w:p w:rsidR="00EE0E0F" w:rsidRDefault="00104130">
            <w:r>
              <w:rPr>
                <w:color w:val="222222"/>
                <w:sz w:val="20"/>
                <w:szCs w:val="20"/>
              </w:rPr>
              <w:t>External Data Source</w:t>
            </w:r>
          </w:p>
        </w:tc>
        <w:tc>
          <w:tcPr>
            <w:tcW w:w="5800" w:type="dxa"/>
            <w:tcMar>
              <w:top w:w="80" w:type="dxa"/>
              <w:left w:w="100" w:type="dxa"/>
              <w:bottom w:w="80" w:type="dxa"/>
              <w:right w:w="100" w:type="dxa"/>
            </w:tcMar>
            <w:vAlign w:val="center"/>
          </w:tcPr>
          <w:p w:rsidR="00EE0E0F" w:rsidRDefault="00104130">
            <w:r>
              <w:rPr>
                <w:color w:val="222222"/>
                <w:sz w:val="20"/>
                <w:szCs w:val="20"/>
              </w:rPr>
              <w:t>mfapi.in (Live NAV API)</w:t>
            </w:r>
          </w:p>
        </w:tc>
      </w:tr>
    </w:tbl>
    <w:p w:rsidR="00EE0E0F" w:rsidRDefault="00EE0E0F">
      <w:pPr>
        <w:spacing w:after="200"/>
      </w:pPr>
    </w:p>
    <w:p w:rsidR="00EE0E0F" w:rsidRDefault="00104130">
      <w:pPr>
        <w:pStyle w:val="Heading2"/>
        <w:spacing w:before="300" w:after="150"/>
      </w:pPr>
      <w:bookmarkStart w:id="9" w:name="_Toc234514542"/>
      <w:r>
        <w:t>3.3 Project Workflow</w:t>
      </w:r>
      <w:bookmarkEnd w:id="9"/>
    </w:p>
    <w:p w:rsidR="00EE0E0F" w:rsidRDefault="00104130">
      <w:pPr>
        <w:spacing w:after="160" w:line="300" w:lineRule="auto"/>
        <w:jc w:val="both"/>
      </w:pPr>
      <w:r>
        <w:t>The methodology was executed across five structured stages, mirroring the actual day-wise execution of the internship:</w:t>
      </w:r>
    </w:p>
    <w:p w:rsidR="00EE0E0F" w:rsidRDefault="00104130">
      <w:pPr>
        <w:pStyle w:val="ListParagraph"/>
        <w:numPr>
          <w:ilvl w:val="0"/>
          <w:numId w:val="1"/>
        </w:numPr>
        <w:spacing w:after="90" w:line="280" w:lineRule="auto"/>
      </w:pPr>
      <w:r>
        <w:t>Stage 1 - Data Ingestion: Raw CSV datasets were loaded and explored using Pandas; a live NAV-fetching script was built against the mfapi.in public API; initial data quality checks were performed.</w:t>
      </w:r>
    </w:p>
    <w:p w:rsidR="00EE0E0F" w:rsidRDefault="00104130">
      <w:pPr>
        <w:pStyle w:val="ListParagraph"/>
        <w:numPr>
          <w:ilvl w:val="0"/>
          <w:numId w:val="1"/>
        </w:numPr>
        <w:spacing w:after="90" w:line="280" w:lineRule="auto"/>
      </w:pPr>
      <w:r>
        <w:t xml:space="preserve">Stage 2 - Data Cleaning &amp; Database Design: Datasets were cleaned (type casting, deduplication, null handling, </w:t>
      </w:r>
      <w:proofErr w:type="gramStart"/>
      <w:r>
        <w:t>outlier</w:t>
      </w:r>
      <w:proofErr w:type="gramEnd"/>
      <w:r>
        <w:t xml:space="preserve"> flagging) and a normalized SQLite schema was designed and populated using </w:t>
      </w:r>
      <w:proofErr w:type="spellStart"/>
      <w:r>
        <w:t>SQLAlchemy</w:t>
      </w:r>
      <w:proofErr w:type="spellEnd"/>
      <w:r>
        <w:t>.</w:t>
      </w:r>
    </w:p>
    <w:p w:rsidR="00EE0E0F" w:rsidRDefault="00104130">
      <w:pPr>
        <w:pStyle w:val="ListParagraph"/>
        <w:numPr>
          <w:ilvl w:val="0"/>
          <w:numId w:val="1"/>
        </w:numPr>
        <w:spacing w:after="90" w:line="280" w:lineRule="auto"/>
      </w:pPr>
      <w:r>
        <w:lastRenderedPageBreak/>
        <w:t xml:space="preserve">Stage 3 - Exploratory Data Analysis: NAV trends, AUM growth, SIP inflow patterns, investor demographics, sector allocation, and fund correlations were </w:t>
      </w:r>
      <w:proofErr w:type="spellStart"/>
      <w:r>
        <w:t>analysed</w:t>
      </w:r>
      <w:proofErr w:type="spellEnd"/>
      <w:r>
        <w:t xml:space="preserve"> and </w:t>
      </w:r>
      <w:proofErr w:type="spellStart"/>
      <w:r>
        <w:t>visualised</w:t>
      </w:r>
      <w:proofErr w:type="spellEnd"/>
      <w:r>
        <w:t>.</w:t>
      </w:r>
    </w:p>
    <w:p w:rsidR="00EE0E0F" w:rsidRDefault="00104130">
      <w:pPr>
        <w:pStyle w:val="ListParagraph"/>
        <w:numPr>
          <w:ilvl w:val="0"/>
          <w:numId w:val="1"/>
        </w:numPr>
        <w:spacing w:after="90" w:line="280" w:lineRule="auto"/>
      </w:pPr>
      <w:r>
        <w:t xml:space="preserve">Stage 4 - Performance Analytics: Return and risk-adjusted performance metrics (CAGR, Sharpe, </w:t>
      </w:r>
      <w:proofErr w:type="spellStart"/>
      <w:r>
        <w:t>Sortino</w:t>
      </w:r>
      <w:proofErr w:type="spellEnd"/>
      <w:r>
        <w:t xml:space="preserve">, Alpha, Beta, </w:t>
      </w:r>
      <w:proofErr w:type="gramStart"/>
      <w:r>
        <w:t>Drawdown</w:t>
      </w:r>
      <w:proofErr w:type="gramEnd"/>
      <w:r>
        <w:t>) were computed and a composite Fund Scorecard was built.</w:t>
      </w:r>
    </w:p>
    <w:p w:rsidR="00EE0E0F" w:rsidRDefault="00104130">
      <w:pPr>
        <w:pStyle w:val="ListParagraph"/>
        <w:numPr>
          <w:ilvl w:val="0"/>
          <w:numId w:val="1"/>
        </w:numPr>
        <w:spacing w:after="90" w:line="280" w:lineRule="auto"/>
      </w:pPr>
      <w:r>
        <w:t xml:space="preserve">Stage 5 - Advanced Analytics: </w:t>
      </w:r>
      <w:proofErr w:type="spellStart"/>
      <w:r>
        <w:t>VaR</w:t>
      </w:r>
      <w:proofErr w:type="spellEnd"/>
      <w:r>
        <w:t>/</w:t>
      </w:r>
      <w:proofErr w:type="spellStart"/>
      <w:r>
        <w:t>CVaR</w:t>
      </w:r>
      <w:proofErr w:type="spellEnd"/>
      <w:r>
        <w:t>, rolling Sharpe ratios, investor cohort analysis, SIP continuity classification, a recommendation engine, and HHI-based concentration analysis were implemented.</w:t>
      </w:r>
    </w:p>
    <w:p w:rsidR="00EE0E0F" w:rsidRDefault="00104130">
      <w:pPr>
        <w:spacing w:after="160" w:line="300" w:lineRule="auto"/>
        <w:jc w:val="both"/>
      </w:pPr>
      <w:r>
        <w:t>The final analytical outputs (CSV reports and the SQLite database) were then imported into Power BI to construct an interactive dashboard, completing the analytics lifecycle from raw data to business-ready visual insight.</w:t>
      </w:r>
    </w:p>
    <w:p w:rsidR="00EE0E0F" w:rsidRDefault="00104130">
      <w:pPr>
        <w:pStyle w:val="Heading1"/>
        <w:pageBreakBefore/>
        <w:spacing w:before="400"/>
      </w:pPr>
      <w:bookmarkStart w:id="10" w:name="_Toc234514543"/>
      <w:r>
        <w:lastRenderedPageBreak/>
        <w:t>4. Dataset Description</w:t>
      </w:r>
      <w:bookmarkEnd w:id="10"/>
    </w:p>
    <w:p w:rsidR="00EE0E0F" w:rsidRDefault="00104130">
      <w:pPr>
        <w:spacing w:after="160" w:line="300" w:lineRule="auto"/>
        <w:jc w:val="both"/>
      </w:pPr>
      <w:r>
        <w:t>The project uses a combination of synthetically generated and API-sourced datasets representing a realistic cross-section of the Indian mutual fund industry from 2022 to 2026. All raw files are stored under data/raw/ and their cleaned counterparts under data/processed/. The dataset consists of ten primary CSV files, described below.</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3600"/>
        <w:gridCol w:w="2100"/>
      </w:tblGrid>
      <w:tr w:rsidR="00EE0E0F">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rsidR="00EE0E0F" w:rsidRDefault="00104130">
            <w:r>
              <w:rPr>
                <w:b/>
                <w:bCs/>
                <w:color w:val="FFFFFF"/>
                <w:sz w:val="20"/>
                <w:szCs w:val="20"/>
              </w:rPr>
              <w:t>#</w:t>
            </w:r>
          </w:p>
        </w:tc>
        <w:tc>
          <w:tcPr>
            <w:tcW w:w="2600" w:type="dxa"/>
            <w:shd w:val="clear" w:color="auto" w:fill="1F3864"/>
            <w:tcMar>
              <w:top w:w="80" w:type="dxa"/>
              <w:left w:w="100" w:type="dxa"/>
              <w:bottom w:w="80" w:type="dxa"/>
              <w:right w:w="100" w:type="dxa"/>
            </w:tcMar>
            <w:vAlign w:val="center"/>
          </w:tcPr>
          <w:p w:rsidR="00EE0E0F" w:rsidRDefault="00104130">
            <w:r>
              <w:rPr>
                <w:b/>
                <w:bCs/>
                <w:color w:val="FFFFFF"/>
                <w:sz w:val="20"/>
                <w:szCs w:val="20"/>
              </w:rPr>
              <w:t>Dataset</w:t>
            </w:r>
          </w:p>
        </w:tc>
        <w:tc>
          <w:tcPr>
            <w:tcW w:w="3600" w:type="dxa"/>
            <w:shd w:val="clear" w:color="auto" w:fill="1F3864"/>
            <w:tcMar>
              <w:top w:w="80" w:type="dxa"/>
              <w:left w:w="100" w:type="dxa"/>
              <w:bottom w:w="80" w:type="dxa"/>
              <w:right w:w="100" w:type="dxa"/>
            </w:tcMar>
            <w:vAlign w:val="center"/>
          </w:tcPr>
          <w:p w:rsidR="00EE0E0F" w:rsidRDefault="00104130">
            <w:r>
              <w:rPr>
                <w:b/>
                <w:bCs/>
                <w:color w:val="FFFFFF"/>
                <w:sz w:val="20"/>
                <w:szCs w:val="20"/>
              </w:rPr>
              <w:t>File</w:t>
            </w:r>
          </w:p>
        </w:tc>
        <w:tc>
          <w:tcPr>
            <w:tcW w:w="2100" w:type="dxa"/>
            <w:shd w:val="clear" w:color="auto" w:fill="1F3864"/>
            <w:tcMar>
              <w:top w:w="80" w:type="dxa"/>
              <w:left w:w="100" w:type="dxa"/>
              <w:bottom w:w="80" w:type="dxa"/>
              <w:right w:w="100" w:type="dxa"/>
            </w:tcMar>
            <w:vAlign w:val="center"/>
          </w:tcPr>
          <w:p w:rsidR="00EE0E0F" w:rsidRDefault="00104130">
            <w:r>
              <w:rPr>
                <w:b/>
                <w:bCs/>
                <w:color w:val="FFFFFF"/>
                <w:sz w:val="20"/>
                <w:szCs w:val="20"/>
              </w:rPr>
              <w:t>Approx. Rows</w:t>
            </w:r>
          </w:p>
        </w:tc>
      </w:tr>
      <w:tr w:rsidR="00EE0E0F">
        <w:tblPrEx>
          <w:tblCellMar>
            <w:top w:w="0" w:type="dxa"/>
            <w:bottom w:w="0" w:type="dxa"/>
          </w:tblCellMar>
        </w:tblPrEx>
        <w:tc>
          <w:tcPr>
            <w:tcW w:w="700" w:type="dxa"/>
            <w:tcMar>
              <w:top w:w="80" w:type="dxa"/>
              <w:left w:w="100" w:type="dxa"/>
              <w:bottom w:w="80" w:type="dxa"/>
              <w:right w:w="100" w:type="dxa"/>
            </w:tcMar>
            <w:vAlign w:val="center"/>
          </w:tcPr>
          <w:p w:rsidR="00EE0E0F" w:rsidRDefault="00104130">
            <w:r>
              <w:rPr>
                <w:color w:val="222222"/>
                <w:sz w:val="20"/>
                <w:szCs w:val="20"/>
              </w:rPr>
              <w:t>1</w:t>
            </w:r>
          </w:p>
        </w:tc>
        <w:tc>
          <w:tcPr>
            <w:tcW w:w="2600" w:type="dxa"/>
            <w:tcMar>
              <w:top w:w="80" w:type="dxa"/>
              <w:left w:w="100" w:type="dxa"/>
              <w:bottom w:w="80" w:type="dxa"/>
              <w:right w:w="100" w:type="dxa"/>
            </w:tcMar>
            <w:vAlign w:val="center"/>
          </w:tcPr>
          <w:p w:rsidR="00EE0E0F" w:rsidRDefault="00104130">
            <w:r>
              <w:rPr>
                <w:color w:val="222222"/>
                <w:sz w:val="20"/>
                <w:szCs w:val="20"/>
              </w:rPr>
              <w:t>Fund Master</w:t>
            </w:r>
          </w:p>
        </w:tc>
        <w:tc>
          <w:tcPr>
            <w:tcW w:w="3600" w:type="dxa"/>
            <w:tcMar>
              <w:top w:w="80" w:type="dxa"/>
              <w:left w:w="100" w:type="dxa"/>
              <w:bottom w:w="80" w:type="dxa"/>
              <w:right w:w="100" w:type="dxa"/>
            </w:tcMar>
            <w:vAlign w:val="center"/>
          </w:tcPr>
          <w:p w:rsidR="00EE0E0F" w:rsidRDefault="00104130">
            <w:r>
              <w:rPr>
                <w:color w:val="222222"/>
                <w:sz w:val="20"/>
                <w:szCs w:val="20"/>
              </w:rPr>
              <w:t>01_fund_master.csv</w:t>
            </w:r>
          </w:p>
        </w:tc>
        <w:tc>
          <w:tcPr>
            <w:tcW w:w="2100" w:type="dxa"/>
            <w:tcMar>
              <w:top w:w="80" w:type="dxa"/>
              <w:left w:w="100" w:type="dxa"/>
              <w:bottom w:w="80" w:type="dxa"/>
              <w:right w:w="100" w:type="dxa"/>
            </w:tcMar>
            <w:vAlign w:val="center"/>
          </w:tcPr>
          <w:p w:rsidR="00EE0E0F" w:rsidRDefault="00104130">
            <w:r>
              <w:rPr>
                <w:color w:val="222222"/>
                <w:sz w:val="20"/>
                <w:szCs w:val="20"/>
              </w:rPr>
              <w:t>40</w:t>
            </w:r>
          </w:p>
        </w:tc>
      </w:tr>
      <w:tr w:rsidR="00EE0E0F">
        <w:tblPrEx>
          <w:tblCellMar>
            <w:top w:w="0" w:type="dxa"/>
            <w:bottom w:w="0" w:type="dxa"/>
          </w:tblCellMar>
        </w:tblPrEx>
        <w:tc>
          <w:tcPr>
            <w:tcW w:w="700" w:type="dxa"/>
            <w:shd w:val="clear" w:color="auto" w:fill="F2F6FB"/>
            <w:tcMar>
              <w:top w:w="80" w:type="dxa"/>
              <w:left w:w="100" w:type="dxa"/>
              <w:bottom w:w="80" w:type="dxa"/>
              <w:right w:w="100" w:type="dxa"/>
            </w:tcMar>
            <w:vAlign w:val="center"/>
          </w:tcPr>
          <w:p w:rsidR="00EE0E0F" w:rsidRDefault="00104130">
            <w:r>
              <w:rPr>
                <w:color w:val="222222"/>
                <w:sz w:val="20"/>
                <w:szCs w:val="20"/>
              </w:rPr>
              <w:t>2</w:t>
            </w:r>
          </w:p>
        </w:tc>
        <w:tc>
          <w:tcPr>
            <w:tcW w:w="2600" w:type="dxa"/>
            <w:shd w:val="clear" w:color="auto" w:fill="F2F6FB"/>
            <w:tcMar>
              <w:top w:w="80" w:type="dxa"/>
              <w:left w:w="100" w:type="dxa"/>
              <w:bottom w:w="80" w:type="dxa"/>
              <w:right w:w="100" w:type="dxa"/>
            </w:tcMar>
            <w:vAlign w:val="center"/>
          </w:tcPr>
          <w:p w:rsidR="00EE0E0F" w:rsidRDefault="00104130">
            <w:r>
              <w:rPr>
                <w:color w:val="222222"/>
                <w:sz w:val="20"/>
                <w:szCs w:val="20"/>
              </w:rPr>
              <w:t>NAV History</w:t>
            </w:r>
          </w:p>
        </w:tc>
        <w:tc>
          <w:tcPr>
            <w:tcW w:w="3600" w:type="dxa"/>
            <w:shd w:val="clear" w:color="auto" w:fill="F2F6FB"/>
            <w:tcMar>
              <w:top w:w="80" w:type="dxa"/>
              <w:left w:w="100" w:type="dxa"/>
              <w:bottom w:w="80" w:type="dxa"/>
              <w:right w:w="100" w:type="dxa"/>
            </w:tcMar>
            <w:vAlign w:val="center"/>
          </w:tcPr>
          <w:p w:rsidR="00EE0E0F" w:rsidRDefault="00104130">
            <w:r>
              <w:rPr>
                <w:color w:val="222222"/>
                <w:sz w:val="20"/>
                <w:szCs w:val="20"/>
              </w:rPr>
              <w:t>02_nav_history.csv</w:t>
            </w:r>
          </w:p>
        </w:tc>
        <w:tc>
          <w:tcPr>
            <w:tcW w:w="2100" w:type="dxa"/>
            <w:shd w:val="clear" w:color="auto" w:fill="F2F6FB"/>
            <w:tcMar>
              <w:top w:w="80" w:type="dxa"/>
              <w:left w:w="100" w:type="dxa"/>
              <w:bottom w:w="80" w:type="dxa"/>
              <w:right w:w="100" w:type="dxa"/>
            </w:tcMar>
            <w:vAlign w:val="center"/>
          </w:tcPr>
          <w:p w:rsidR="00EE0E0F" w:rsidRDefault="00104130">
            <w:r>
              <w:rPr>
                <w:color w:val="222222"/>
                <w:sz w:val="20"/>
                <w:szCs w:val="20"/>
              </w:rPr>
              <w:t>46,000</w:t>
            </w:r>
          </w:p>
        </w:tc>
      </w:tr>
      <w:tr w:rsidR="00EE0E0F">
        <w:tblPrEx>
          <w:tblCellMar>
            <w:top w:w="0" w:type="dxa"/>
            <w:bottom w:w="0" w:type="dxa"/>
          </w:tblCellMar>
        </w:tblPrEx>
        <w:tc>
          <w:tcPr>
            <w:tcW w:w="700" w:type="dxa"/>
            <w:tcMar>
              <w:top w:w="80" w:type="dxa"/>
              <w:left w:w="100" w:type="dxa"/>
              <w:bottom w:w="80" w:type="dxa"/>
              <w:right w:w="100" w:type="dxa"/>
            </w:tcMar>
            <w:vAlign w:val="center"/>
          </w:tcPr>
          <w:p w:rsidR="00EE0E0F" w:rsidRDefault="00104130">
            <w:r>
              <w:rPr>
                <w:color w:val="222222"/>
                <w:sz w:val="20"/>
                <w:szCs w:val="20"/>
              </w:rPr>
              <w:t>3</w:t>
            </w:r>
          </w:p>
        </w:tc>
        <w:tc>
          <w:tcPr>
            <w:tcW w:w="2600" w:type="dxa"/>
            <w:tcMar>
              <w:top w:w="80" w:type="dxa"/>
              <w:left w:w="100" w:type="dxa"/>
              <w:bottom w:w="80" w:type="dxa"/>
              <w:right w:w="100" w:type="dxa"/>
            </w:tcMar>
            <w:vAlign w:val="center"/>
          </w:tcPr>
          <w:p w:rsidR="00EE0E0F" w:rsidRDefault="00104130">
            <w:r>
              <w:rPr>
                <w:color w:val="222222"/>
                <w:sz w:val="20"/>
                <w:szCs w:val="20"/>
              </w:rPr>
              <w:t>AUM by Fund House</w:t>
            </w:r>
          </w:p>
        </w:tc>
        <w:tc>
          <w:tcPr>
            <w:tcW w:w="3600" w:type="dxa"/>
            <w:tcMar>
              <w:top w:w="80" w:type="dxa"/>
              <w:left w:w="100" w:type="dxa"/>
              <w:bottom w:w="80" w:type="dxa"/>
              <w:right w:w="100" w:type="dxa"/>
            </w:tcMar>
            <w:vAlign w:val="center"/>
          </w:tcPr>
          <w:p w:rsidR="00EE0E0F" w:rsidRDefault="00104130">
            <w:r>
              <w:rPr>
                <w:color w:val="222222"/>
                <w:sz w:val="20"/>
                <w:szCs w:val="20"/>
              </w:rPr>
              <w:t>03_aum_by_fund_house.csv</w:t>
            </w:r>
          </w:p>
        </w:tc>
        <w:tc>
          <w:tcPr>
            <w:tcW w:w="2100" w:type="dxa"/>
            <w:tcMar>
              <w:top w:w="80" w:type="dxa"/>
              <w:left w:w="100" w:type="dxa"/>
              <w:bottom w:w="80" w:type="dxa"/>
              <w:right w:w="100" w:type="dxa"/>
            </w:tcMar>
            <w:vAlign w:val="center"/>
          </w:tcPr>
          <w:p w:rsidR="00EE0E0F" w:rsidRDefault="00104130">
            <w:r>
              <w:rPr>
                <w:color w:val="222222"/>
                <w:sz w:val="20"/>
                <w:szCs w:val="20"/>
              </w:rPr>
              <w:t>170+</w:t>
            </w:r>
          </w:p>
        </w:tc>
      </w:tr>
      <w:tr w:rsidR="00EE0E0F">
        <w:tblPrEx>
          <w:tblCellMar>
            <w:top w:w="0" w:type="dxa"/>
            <w:bottom w:w="0" w:type="dxa"/>
          </w:tblCellMar>
        </w:tblPrEx>
        <w:tc>
          <w:tcPr>
            <w:tcW w:w="700" w:type="dxa"/>
            <w:shd w:val="clear" w:color="auto" w:fill="F2F6FB"/>
            <w:tcMar>
              <w:top w:w="80" w:type="dxa"/>
              <w:left w:w="100" w:type="dxa"/>
              <w:bottom w:w="80" w:type="dxa"/>
              <w:right w:w="100" w:type="dxa"/>
            </w:tcMar>
            <w:vAlign w:val="center"/>
          </w:tcPr>
          <w:p w:rsidR="00EE0E0F" w:rsidRDefault="00104130">
            <w:r>
              <w:rPr>
                <w:color w:val="222222"/>
                <w:sz w:val="20"/>
                <w:szCs w:val="20"/>
              </w:rPr>
              <w:t>4</w:t>
            </w:r>
          </w:p>
        </w:tc>
        <w:tc>
          <w:tcPr>
            <w:tcW w:w="2600" w:type="dxa"/>
            <w:shd w:val="clear" w:color="auto" w:fill="F2F6FB"/>
            <w:tcMar>
              <w:top w:w="80" w:type="dxa"/>
              <w:left w:w="100" w:type="dxa"/>
              <w:bottom w:w="80" w:type="dxa"/>
              <w:right w:w="100" w:type="dxa"/>
            </w:tcMar>
            <w:vAlign w:val="center"/>
          </w:tcPr>
          <w:p w:rsidR="00EE0E0F" w:rsidRDefault="00104130">
            <w:r>
              <w:rPr>
                <w:color w:val="222222"/>
                <w:sz w:val="20"/>
                <w:szCs w:val="20"/>
              </w:rPr>
              <w:t>Monthly SIP Inflows</w:t>
            </w:r>
          </w:p>
        </w:tc>
        <w:tc>
          <w:tcPr>
            <w:tcW w:w="3600" w:type="dxa"/>
            <w:shd w:val="clear" w:color="auto" w:fill="F2F6FB"/>
            <w:tcMar>
              <w:top w:w="80" w:type="dxa"/>
              <w:left w:w="100" w:type="dxa"/>
              <w:bottom w:w="80" w:type="dxa"/>
              <w:right w:w="100" w:type="dxa"/>
            </w:tcMar>
            <w:vAlign w:val="center"/>
          </w:tcPr>
          <w:p w:rsidR="00EE0E0F" w:rsidRDefault="00104130">
            <w:r>
              <w:rPr>
                <w:color w:val="222222"/>
                <w:sz w:val="20"/>
                <w:szCs w:val="20"/>
              </w:rPr>
              <w:t>04_monthly_sip_inflows.csv</w:t>
            </w:r>
          </w:p>
        </w:tc>
        <w:tc>
          <w:tcPr>
            <w:tcW w:w="2100" w:type="dxa"/>
            <w:shd w:val="clear" w:color="auto" w:fill="F2F6FB"/>
            <w:tcMar>
              <w:top w:w="80" w:type="dxa"/>
              <w:left w:w="100" w:type="dxa"/>
              <w:bottom w:w="80" w:type="dxa"/>
              <w:right w:w="100" w:type="dxa"/>
            </w:tcMar>
            <w:vAlign w:val="center"/>
          </w:tcPr>
          <w:p w:rsidR="00EE0E0F" w:rsidRDefault="00104130">
            <w:r>
              <w:rPr>
                <w:color w:val="222222"/>
                <w:sz w:val="20"/>
                <w:szCs w:val="20"/>
              </w:rPr>
              <w:t>40+</w:t>
            </w:r>
          </w:p>
        </w:tc>
      </w:tr>
      <w:tr w:rsidR="00EE0E0F">
        <w:tblPrEx>
          <w:tblCellMar>
            <w:top w:w="0" w:type="dxa"/>
            <w:bottom w:w="0" w:type="dxa"/>
          </w:tblCellMar>
        </w:tblPrEx>
        <w:tc>
          <w:tcPr>
            <w:tcW w:w="700" w:type="dxa"/>
            <w:tcMar>
              <w:top w:w="80" w:type="dxa"/>
              <w:left w:w="100" w:type="dxa"/>
              <w:bottom w:w="80" w:type="dxa"/>
              <w:right w:w="100" w:type="dxa"/>
            </w:tcMar>
            <w:vAlign w:val="center"/>
          </w:tcPr>
          <w:p w:rsidR="00EE0E0F" w:rsidRDefault="00104130">
            <w:r>
              <w:rPr>
                <w:color w:val="222222"/>
                <w:sz w:val="20"/>
                <w:szCs w:val="20"/>
              </w:rPr>
              <w:t>5</w:t>
            </w:r>
          </w:p>
        </w:tc>
        <w:tc>
          <w:tcPr>
            <w:tcW w:w="2600" w:type="dxa"/>
            <w:tcMar>
              <w:top w:w="80" w:type="dxa"/>
              <w:left w:w="100" w:type="dxa"/>
              <w:bottom w:w="80" w:type="dxa"/>
              <w:right w:w="100" w:type="dxa"/>
            </w:tcMar>
            <w:vAlign w:val="center"/>
          </w:tcPr>
          <w:p w:rsidR="00EE0E0F" w:rsidRDefault="00104130">
            <w:r>
              <w:rPr>
                <w:color w:val="222222"/>
                <w:sz w:val="20"/>
                <w:szCs w:val="20"/>
              </w:rPr>
              <w:t>Category Inflows</w:t>
            </w:r>
          </w:p>
        </w:tc>
        <w:tc>
          <w:tcPr>
            <w:tcW w:w="3600" w:type="dxa"/>
            <w:tcMar>
              <w:top w:w="80" w:type="dxa"/>
              <w:left w:w="100" w:type="dxa"/>
              <w:bottom w:w="80" w:type="dxa"/>
              <w:right w:w="100" w:type="dxa"/>
            </w:tcMar>
            <w:vAlign w:val="center"/>
          </w:tcPr>
          <w:p w:rsidR="00EE0E0F" w:rsidRDefault="00104130">
            <w:r>
              <w:rPr>
                <w:color w:val="222222"/>
                <w:sz w:val="20"/>
                <w:szCs w:val="20"/>
              </w:rPr>
              <w:t>05_category_inflows.csv</w:t>
            </w:r>
          </w:p>
        </w:tc>
        <w:tc>
          <w:tcPr>
            <w:tcW w:w="2100" w:type="dxa"/>
            <w:tcMar>
              <w:top w:w="80" w:type="dxa"/>
              <w:left w:w="100" w:type="dxa"/>
              <w:bottom w:w="80" w:type="dxa"/>
              <w:right w:w="100" w:type="dxa"/>
            </w:tcMar>
            <w:vAlign w:val="center"/>
          </w:tcPr>
          <w:p w:rsidR="00EE0E0F" w:rsidRDefault="00104130">
            <w:r>
              <w:rPr>
                <w:color w:val="222222"/>
                <w:sz w:val="20"/>
                <w:szCs w:val="20"/>
              </w:rPr>
              <w:t>80+</w:t>
            </w:r>
          </w:p>
        </w:tc>
      </w:tr>
      <w:tr w:rsidR="00EE0E0F">
        <w:tblPrEx>
          <w:tblCellMar>
            <w:top w:w="0" w:type="dxa"/>
            <w:bottom w:w="0" w:type="dxa"/>
          </w:tblCellMar>
        </w:tblPrEx>
        <w:tc>
          <w:tcPr>
            <w:tcW w:w="700" w:type="dxa"/>
            <w:shd w:val="clear" w:color="auto" w:fill="F2F6FB"/>
            <w:tcMar>
              <w:top w:w="80" w:type="dxa"/>
              <w:left w:w="100" w:type="dxa"/>
              <w:bottom w:w="80" w:type="dxa"/>
              <w:right w:w="100" w:type="dxa"/>
            </w:tcMar>
            <w:vAlign w:val="center"/>
          </w:tcPr>
          <w:p w:rsidR="00EE0E0F" w:rsidRDefault="00104130">
            <w:r>
              <w:rPr>
                <w:color w:val="222222"/>
                <w:sz w:val="20"/>
                <w:szCs w:val="20"/>
              </w:rPr>
              <w:t>6</w:t>
            </w:r>
          </w:p>
        </w:tc>
        <w:tc>
          <w:tcPr>
            <w:tcW w:w="2600" w:type="dxa"/>
            <w:shd w:val="clear" w:color="auto" w:fill="F2F6FB"/>
            <w:tcMar>
              <w:top w:w="80" w:type="dxa"/>
              <w:left w:w="100" w:type="dxa"/>
              <w:bottom w:w="80" w:type="dxa"/>
              <w:right w:w="100" w:type="dxa"/>
            </w:tcMar>
            <w:vAlign w:val="center"/>
          </w:tcPr>
          <w:p w:rsidR="00EE0E0F" w:rsidRDefault="00104130">
            <w:r>
              <w:rPr>
                <w:color w:val="222222"/>
                <w:sz w:val="20"/>
                <w:szCs w:val="20"/>
              </w:rPr>
              <w:t>Industry Folio Count</w:t>
            </w:r>
          </w:p>
        </w:tc>
        <w:tc>
          <w:tcPr>
            <w:tcW w:w="3600" w:type="dxa"/>
            <w:shd w:val="clear" w:color="auto" w:fill="F2F6FB"/>
            <w:tcMar>
              <w:top w:w="80" w:type="dxa"/>
              <w:left w:w="100" w:type="dxa"/>
              <w:bottom w:w="80" w:type="dxa"/>
              <w:right w:w="100" w:type="dxa"/>
            </w:tcMar>
            <w:vAlign w:val="center"/>
          </w:tcPr>
          <w:p w:rsidR="00EE0E0F" w:rsidRDefault="00104130">
            <w:r>
              <w:rPr>
                <w:color w:val="222222"/>
                <w:sz w:val="20"/>
                <w:szCs w:val="20"/>
              </w:rPr>
              <w:t>06_industry_folio_count.csv</w:t>
            </w:r>
          </w:p>
        </w:tc>
        <w:tc>
          <w:tcPr>
            <w:tcW w:w="2100" w:type="dxa"/>
            <w:shd w:val="clear" w:color="auto" w:fill="F2F6FB"/>
            <w:tcMar>
              <w:top w:w="80" w:type="dxa"/>
              <w:left w:w="100" w:type="dxa"/>
              <w:bottom w:w="80" w:type="dxa"/>
              <w:right w:w="100" w:type="dxa"/>
            </w:tcMar>
            <w:vAlign w:val="center"/>
          </w:tcPr>
          <w:p w:rsidR="00EE0E0F" w:rsidRDefault="00104130">
            <w:r>
              <w:rPr>
                <w:color w:val="222222"/>
                <w:sz w:val="20"/>
                <w:szCs w:val="20"/>
              </w:rPr>
              <w:t>40+</w:t>
            </w:r>
          </w:p>
        </w:tc>
      </w:tr>
      <w:tr w:rsidR="00EE0E0F">
        <w:tblPrEx>
          <w:tblCellMar>
            <w:top w:w="0" w:type="dxa"/>
            <w:bottom w:w="0" w:type="dxa"/>
          </w:tblCellMar>
        </w:tblPrEx>
        <w:tc>
          <w:tcPr>
            <w:tcW w:w="700" w:type="dxa"/>
            <w:tcMar>
              <w:top w:w="80" w:type="dxa"/>
              <w:left w:w="100" w:type="dxa"/>
              <w:bottom w:w="80" w:type="dxa"/>
              <w:right w:w="100" w:type="dxa"/>
            </w:tcMar>
            <w:vAlign w:val="center"/>
          </w:tcPr>
          <w:p w:rsidR="00EE0E0F" w:rsidRDefault="00104130">
            <w:r>
              <w:rPr>
                <w:color w:val="222222"/>
                <w:sz w:val="20"/>
                <w:szCs w:val="20"/>
              </w:rPr>
              <w:t>7</w:t>
            </w:r>
          </w:p>
        </w:tc>
        <w:tc>
          <w:tcPr>
            <w:tcW w:w="2600" w:type="dxa"/>
            <w:tcMar>
              <w:top w:w="80" w:type="dxa"/>
              <w:left w:w="100" w:type="dxa"/>
              <w:bottom w:w="80" w:type="dxa"/>
              <w:right w:w="100" w:type="dxa"/>
            </w:tcMar>
            <w:vAlign w:val="center"/>
          </w:tcPr>
          <w:p w:rsidR="00EE0E0F" w:rsidRDefault="00104130">
            <w:r>
              <w:rPr>
                <w:color w:val="222222"/>
                <w:sz w:val="20"/>
                <w:szCs w:val="20"/>
              </w:rPr>
              <w:t>Scheme Performance</w:t>
            </w:r>
          </w:p>
        </w:tc>
        <w:tc>
          <w:tcPr>
            <w:tcW w:w="3600" w:type="dxa"/>
            <w:tcMar>
              <w:top w:w="80" w:type="dxa"/>
              <w:left w:w="100" w:type="dxa"/>
              <w:bottom w:w="80" w:type="dxa"/>
              <w:right w:w="100" w:type="dxa"/>
            </w:tcMar>
            <w:vAlign w:val="center"/>
          </w:tcPr>
          <w:p w:rsidR="00EE0E0F" w:rsidRDefault="00104130">
            <w:r>
              <w:rPr>
                <w:color w:val="222222"/>
                <w:sz w:val="20"/>
                <w:szCs w:val="20"/>
              </w:rPr>
              <w:t>07_scheme_performance.csv</w:t>
            </w:r>
          </w:p>
        </w:tc>
        <w:tc>
          <w:tcPr>
            <w:tcW w:w="2100" w:type="dxa"/>
            <w:tcMar>
              <w:top w:w="80" w:type="dxa"/>
              <w:left w:w="100" w:type="dxa"/>
              <w:bottom w:w="80" w:type="dxa"/>
              <w:right w:w="100" w:type="dxa"/>
            </w:tcMar>
            <w:vAlign w:val="center"/>
          </w:tcPr>
          <w:p w:rsidR="00EE0E0F" w:rsidRDefault="00104130">
            <w:r>
              <w:rPr>
                <w:color w:val="222222"/>
                <w:sz w:val="20"/>
                <w:szCs w:val="20"/>
              </w:rPr>
              <w:t>40</w:t>
            </w:r>
          </w:p>
        </w:tc>
      </w:tr>
      <w:tr w:rsidR="00EE0E0F">
        <w:tblPrEx>
          <w:tblCellMar>
            <w:top w:w="0" w:type="dxa"/>
            <w:bottom w:w="0" w:type="dxa"/>
          </w:tblCellMar>
        </w:tblPrEx>
        <w:tc>
          <w:tcPr>
            <w:tcW w:w="700" w:type="dxa"/>
            <w:shd w:val="clear" w:color="auto" w:fill="F2F6FB"/>
            <w:tcMar>
              <w:top w:w="80" w:type="dxa"/>
              <w:left w:w="100" w:type="dxa"/>
              <w:bottom w:w="80" w:type="dxa"/>
              <w:right w:w="100" w:type="dxa"/>
            </w:tcMar>
            <w:vAlign w:val="center"/>
          </w:tcPr>
          <w:p w:rsidR="00EE0E0F" w:rsidRDefault="00104130">
            <w:r>
              <w:rPr>
                <w:color w:val="222222"/>
                <w:sz w:val="20"/>
                <w:szCs w:val="20"/>
              </w:rPr>
              <w:t>8</w:t>
            </w:r>
          </w:p>
        </w:tc>
        <w:tc>
          <w:tcPr>
            <w:tcW w:w="2600" w:type="dxa"/>
            <w:shd w:val="clear" w:color="auto" w:fill="F2F6FB"/>
            <w:tcMar>
              <w:top w:w="80" w:type="dxa"/>
              <w:left w:w="100" w:type="dxa"/>
              <w:bottom w:w="80" w:type="dxa"/>
              <w:right w:w="100" w:type="dxa"/>
            </w:tcMar>
            <w:vAlign w:val="center"/>
          </w:tcPr>
          <w:p w:rsidR="00EE0E0F" w:rsidRDefault="00104130">
            <w:r>
              <w:rPr>
                <w:color w:val="222222"/>
                <w:sz w:val="20"/>
                <w:szCs w:val="20"/>
              </w:rPr>
              <w:t>Investor Transactions</w:t>
            </w:r>
          </w:p>
        </w:tc>
        <w:tc>
          <w:tcPr>
            <w:tcW w:w="3600" w:type="dxa"/>
            <w:shd w:val="clear" w:color="auto" w:fill="F2F6FB"/>
            <w:tcMar>
              <w:top w:w="80" w:type="dxa"/>
              <w:left w:w="100" w:type="dxa"/>
              <w:bottom w:w="80" w:type="dxa"/>
              <w:right w:w="100" w:type="dxa"/>
            </w:tcMar>
            <w:vAlign w:val="center"/>
          </w:tcPr>
          <w:p w:rsidR="00EE0E0F" w:rsidRDefault="00104130">
            <w:r>
              <w:rPr>
                <w:color w:val="222222"/>
                <w:sz w:val="20"/>
                <w:szCs w:val="20"/>
              </w:rPr>
              <w:t>08_investor_transactions.csv</w:t>
            </w:r>
          </w:p>
        </w:tc>
        <w:tc>
          <w:tcPr>
            <w:tcW w:w="2100" w:type="dxa"/>
            <w:shd w:val="clear" w:color="auto" w:fill="F2F6FB"/>
            <w:tcMar>
              <w:top w:w="80" w:type="dxa"/>
              <w:left w:w="100" w:type="dxa"/>
              <w:bottom w:w="80" w:type="dxa"/>
              <w:right w:w="100" w:type="dxa"/>
            </w:tcMar>
            <w:vAlign w:val="center"/>
          </w:tcPr>
          <w:p w:rsidR="00EE0E0F" w:rsidRDefault="00104130">
            <w:r>
              <w:rPr>
                <w:color w:val="222222"/>
                <w:sz w:val="20"/>
                <w:szCs w:val="20"/>
              </w:rPr>
              <w:t>32,778</w:t>
            </w:r>
          </w:p>
        </w:tc>
      </w:tr>
      <w:tr w:rsidR="00EE0E0F">
        <w:tblPrEx>
          <w:tblCellMar>
            <w:top w:w="0" w:type="dxa"/>
            <w:bottom w:w="0" w:type="dxa"/>
          </w:tblCellMar>
        </w:tblPrEx>
        <w:tc>
          <w:tcPr>
            <w:tcW w:w="700" w:type="dxa"/>
            <w:tcMar>
              <w:top w:w="80" w:type="dxa"/>
              <w:left w:w="100" w:type="dxa"/>
              <w:bottom w:w="80" w:type="dxa"/>
              <w:right w:w="100" w:type="dxa"/>
            </w:tcMar>
            <w:vAlign w:val="center"/>
          </w:tcPr>
          <w:p w:rsidR="00EE0E0F" w:rsidRDefault="00104130">
            <w:r>
              <w:rPr>
                <w:color w:val="222222"/>
                <w:sz w:val="20"/>
                <w:szCs w:val="20"/>
              </w:rPr>
              <w:t>9</w:t>
            </w:r>
          </w:p>
        </w:tc>
        <w:tc>
          <w:tcPr>
            <w:tcW w:w="2600" w:type="dxa"/>
            <w:tcMar>
              <w:top w:w="80" w:type="dxa"/>
              <w:left w:w="100" w:type="dxa"/>
              <w:bottom w:w="80" w:type="dxa"/>
              <w:right w:w="100" w:type="dxa"/>
            </w:tcMar>
            <w:vAlign w:val="center"/>
          </w:tcPr>
          <w:p w:rsidR="00EE0E0F" w:rsidRDefault="00104130">
            <w:r>
              <w:rPr>
                <w:color w:val="222222"/>
                <w:sz w:val="20"/>
                <w:szCs w:val="20"/>
              </w:rPr>
              <w:t>Portfolio Holdings</w:t>
            </w:r>
          </w:p>
        </w:tc>
        <w:tc>
          <w:tcPr>
            <w:tcW w:w="3600" w:type="dxa"/>
            <w:tcMar>
              <w:top w:w="80" w:type="dxa"/>
              <w:left w:w="100" w:type="dxa"/>
              <w:bottom w:w="80" w:type="dxa"/>
              <w:right w:w="100" w:type="dxa"/>
            </w:tcMar>
            <w:vAlign w:val="center"/>
          </w:tcPr>
          <w:p w:rsidR="00EE0E0F" w:rsidRDefault="00104130">
            <w:r>
              <w:rPr>
                <w:color w:val="222222"/>
                <w:sz w:val="20"/>
                <w:szCs w:val="20"/>
              </w:rPr>
              <w:t>09_portfolio_holdings.csv</w:t>
            </w:r>
          </w:p>
        </w:tc>
        <w:tc>
          <w:tcPr>
            <w:tcW w:w="2100" w:type="dxa"/>
            <w:tcMar>
              <w:top w:w="80" w:type="dxa"/>
              <w:left w:w="100" w:type="dxa"/>
              <w:bottom w:w="80" w:type="dxa"/>
              <w:right w:w="100" w:type="dxa"/>
            </w:tcMar>
            <w:vAlign w:val="center"/>
          </w:tcPr>
          <w:p w:rsidR="00EE0E0F" w:rsidRDefault="00104130">
            <w:r>
              <w:rPr>
                <w:color w:val="222222"/>
                <w:sz w:val="20"/>
                <w:szCs w:val="20"/>
              </w:rPr>
              <w:t>300+</w:t>
            </w:r>
          </w:p>
        </w:tc>
      </w:tr>
      <w:tr w:rsidR="00EE0E0F">
        <w:tblPrEx>
          <w:tblCellMar>
            <w:top w:w="0" w:type="dxa"/>
            <w:bottom w:w="0" w:type="dxa"/>
          </w:tblCellMar>
        </w:tblPrEx>
        <w:tc>
          <w:tcPr>
            <w:tcW w:w="700" w:type="dxa"/>
            <w:shd w:val="clear" w:color="auto" w:fill="F2F6FB"/>
            <w:tcMar>
              <w:top w:w="80" w:type="dxa"/>
              <w:left w:w="100" w:type="dxa"/>
              <w:bottom w:w="80" w:type="dxa"/>
              <w:right w:w="100" w:type="dxa"/>
            </w:tcMar>
            <w:vAlign w:val="center"/>
          </w:tcPr>
          <w:p w:rsidR="00EE0E0F" w:rsidRDefault="00104130">
            <w:r>
              <w:rPr>
                <w:color w:val="222222"/>
                <w:sz w:val="20"/>
                <w:szCs w:val="20"/>
              </w:rPr>
              <w:t>10</w:t>
            </w:r>
          </w:p>
        </w:tc>
        <w:tc>
          <w:tcPr>
            <w:tcW w:w="2600" w:type="dxa"/>
            <w:shd w:val="clear" w:color="auto" w:fill="F2F6FB"/>
            <w:tcMar>
              <w:top w:w="80" w:type="dxa"/>
              <w:left w:w="100" w:type="dxa"/>
              <w:bottom w:w="80" w:type="dxa"/>
              <w:right w:w="100" w:type="dxa"/>
            </w:tcMar>
            <w:vAlign w:val="center"/>
          </w:tcPr>
          <w:p w:rsidR="00EE0E0F" w:rsidRDefault="00104130">
            <w:r>
              <w:rPr>
                <w:color w:val="222222"/>
                <w:sz w:val="20"/>
                <w:szCs w:val="20"/>
              </w:rPr>
              <w:t>Benchmark Indices</w:t>
            </w:r>
          </w:p>
        </w:tc>
        <w:tc>
          <w:tcPr>
            <w:tcW w:w="3600" w:type="dxa"/>
            <w:shd w:val="clear" w:color="auto" w:fill="F2F6FB"/>
            <w:tcMar>
              <w:top w:w="80" w:type="dxa"/>
              <w:left w:w="100" w:type="dxa"/>
              <w:bottom w:w="80" w:type="dxa"/>
              <w:right w:w="100" w:type="dxa"/>
            </w:tcMar>
            <w:vAlign w:val="center"/>
          </w:tcPr>
          <w:p w:rsidR="00EE0E0F" w:rsidRDefault="00104130">
            <w:r>
              <w:rPr>
                <w:color w:val="222222"/>
                <w:sz w:val="20"/>
                <w:szCs w:val="20"/>
              </w:rPr>
              <w:t>10_benchmark_indices.csv</w:t>
            </w:r>
          </w:p>
        </w:tc>
        <w:tc>
          <w:tcPr>
            <w:tcW w:w="2100" w:type="dxa"/>
            <w:shd w:val="clear" w:color="auto" w:fill="F2F6FB"/>
            <w:tcMar>
              <w:top w:w="80" w:type="dxa"/>
              <w:left w:w="100" w:type="dxa"/>
              <w:bottom w:w="80" w:type="dxa"/>
              <w:right w:w="100" w:type="dxa"/>
            </w:tcMar>
            <w:vAlign w:val="center"/>
          </w:tcPr>
          <w:p w:rsidR="00EE0E0F" w:rsidRDefault="00104130">
            <w:r>
              <w:rPr>
                <w:color w:val="222222"/>
                <w:sz w:val="20"/>
                <w:szCs w:val="20"/>
              </w:rPr>
              <w:t>1,000+</w:t>
            </w:r>
          </w:p>
        </w:tc>
      </w:tr>
    </w:tbl>
    <w:p w:rsidR="00EE0E0F" w:rsidRDefault="00EE0E0F">
      <w:pPr>
        <w:spacing w:after="200"/>
      </w:pPr>
    </w:p>
    <w:p w:rsidR="00EE0E0F" w:rsidRDefault="00104130">
      <w:pPr>
        <w:pStyle w:val="Heading2"/>
        <w:spacing w:before="300" w:after="150"/>
      </w:pPr>
      <w:bookmarkStart w:id="11" w:name="_Toc234514544"/>
      <w:r>
        <w:t>4.1 Fund Master Dataset</w:t>
      </w:r>
      <w:bookmarkEnd w:id="11"/>
    </w:p>
    <w:p w:rsidR="00EE0E0F" w:rsidRDefault="00104130">
      <w:pPr>
        <w:spacing w:after="160" w:line="300" w:lineRule="auto"/>
        <w:jc w:val="both"/>
      </w:pPr>
      <w:r>
        <w:t xml:space="preserve">Contains static attributes for all 40 mutual fund schemes: AMFI code, fund house, scheme name, category (Equity/Debt), sub-category, plan type, launch date, benchmark index, expense ratio, exit load, minimum SIP and </w:t>
      </w:r>
      <w:proofErr w:type="spellStart"/>
      <w:r>
        <w:t>lumpsum</w:t>
      </w:r>
      <w:proofErr w:type="spellEnd"/>
      <w:r>
        <w:t xml:space="preserve"> amounts, fund manager, risk category, and SEBI category code. The 40 schemes are distributed across 10 fund houses: SBI Mutual Fund, HDFC Mutual Fund, ICICI Prudential MF, Nippon India MF, </w:t>
      </w:r>
      <w:proofErr w:type="spellStart"/>
      <w:r>
        <w:t>Kotak</w:t>
      </w:r>
      <w:proofErr w:type="spellEnd"/>
      <w:r>
        <w:t xml:space="preserve"> Mahindra MF, Axis Mutual Fund, Aditya Birla Sun Life MF, UTI Mutual Fund, </w:t>
      </w:r>
      <w:proofErr w:type="spellStart"/>
      <w:r>
        <w:t>Mirae</w:t>
      </w:r>
      <w:proofErr w:type="spellEnd"/>
      <w:r>
        <w:t xml:space="preserve"> Asset MF, and DSP Mutual Fund.</w:t>
      </w:r>
    </w:p>
    <w:p w:rsidR="00EE0E0F" w:rsidRDefault="00104130">
      <w:pPr>
        <w:pStyle w:val="Heading2"/>
        <w:spacing w:before="300" w:after="150"/>
      </w:pPr>
      <w:bookmarkStart w:id="12" w:name="_Toc234514545"/>
      <w:r>
        <w:t>4.2 NAV History Dataset</w:t>
      </w:r>
      <w:bookmarkEnd w:id="12"/>
    </w:p>
    <w:p w:rsidR="00EE0E0F" w:rsidRDefault="00104130">
      <w:pPr>
        <w:spacing w:after="160" w:line="300" w:lineRule="auto"/>
        <w:jc w:val="both"/>
      </w:pPr>
      <w:r>
        <w:t xml:space="preserve">Contains daily Net Asset Value (NAV) records for each scheme (identified by AMFI code) between 2022 and 2026, </w:t>
      </w:r>
      <w:proofErr w:type="spellStart"/>
      <w:r>
        <w:t>totalling</w:t>
      </w:r>
      <w:proofErr w:type="spellEnd"/>
      <w:r>
        <w:t xml:space="preserve"> approximately 46,000 rows. This dataset forms the backbone of all return and risk calculations performed in the Performance and Advanced Analytics stages.</w:t>
      </w:r>
    </w:p>
    <w:p w:rsidR="00EE0E0F" w:rsidRDefault="00104130">
      <w:pPr>
        <w:pStyle w:val="Heading2"/>
        <w:spacing w:before="300" w:after="150"/>
      </w:pPr>
      <w:bookmarkStart w:id="13" w:name="_Toc234514546"/>
      <w:r>
        <w:t>4.3 Investor Transactions Dataset</w:t>
      </w:r>
      <w:bookmarkEnd w:id="13"/>
    </w:p>
    <w:p w:rsidR="00EE0E0F" w:rsidRDefault="00104130">
      <w:pPr>
        <w:spacing w:after="160" w:line="300" w:lineRule="auto"/>
        <w:jc w:val="both"/>
      </w:pPr>
      <w:r>
        <w:t xml:space="preserve">Contains 32,778 transaction records across 5,000 unique investors, capturing transaction date, AMFI code, transaction type (SIP, </w:t>
      </w:r>
      <w:proofErr w:type="spellStart"/>
      <w:r>
        <w:t>Lumpsum</w:t>
      </w:r>
      <w:proofErr w:type="spellEnd"/>
      <w:r>
        <w:t xml:space="preserve">, or Redemption), amount invested (INR), investor state, city, city </w:t>
      </w:r>
      <w:r>
        <w:lastRenderedPageBreak/>
        <w:t xml:space="preserve">tier (T30/B30), age group, gender, annual income bracket, payment mode, and KYC status. Of the transactions, 19,716 (~60%) are SIP transactions, 8,095 (~25%) are </w:t>
      </w:r>
      <w:proofErr w:type="spellStart"/>
      <w:r>
        <w:t>Lumpsum</w:t>
      </w:r>
      <w:proofErr w:type="spellEnd"/>
      <w:r>
        <w:t xml:space="preserve"> investments, and 4,967 (~15%) are Redemptions, with total transacted value of approximately INR 352 crore across the dataset.</w:t>
      </w:r>
    </w:p>
    <w:p w:rsidR="00EE0E0F" w:rsidRDefault="00104130">
      <w:pPr>
        <w:pStyle w:val="Heading2"/>
        <w:spacing w:before="300" w:after="150"/>
      </w:pPr>
      <w:bookmarkStart w:id="14" w:name="_Toc234514547"/>
      <w:r>
        <w:t>4.4 Other Supporting Datasets</w:t>
      </w:r>
      <w:bookmarkEnd w:id="14"/>
    </w:p>
    <w:p w:rsidR="00EE0E0F" w:rsidRDefault="00104130">
      <w:pPr>
        <w:pStyle w:val="ListParagraph"/>
        <w:numPr>
          <w:ilvl w:val="0"/>
          <w:numId w:val="1"/>
        </w:numPr>
        <w:spacing w:after="90" w:line="280" w:lineRule="auto"/>
      </w:pPr>
      <w:r>
        <w:t>AUM by Fund House - Quarterly AUM (in lakh crore and crore) by fund house, along with number of schemes managed.</w:t>
      </w:r>
    </w:p>
    <w:p w:rsidR="00EE0E0F" w:rsidRDefault="00104130">
      <w:pPr>
        <w:pStyle w:val="ListParagraph"/>
        <w:numPr>
          <w:ilvl w:val="0"/>
          <w:numId w:val="1"/>
        </w:numPr>
        <w:spacing w:after="90" w:line="280" w:lineRule="auto"/>
      </w:pPr>
      <w:r>
        <w:t>Monthly SIP Inflows - Industry-wide monthly SIP contribution figures used to study retail investment trends.</w:t>
      </w:r>
    </w:p>
    <w:p w:rsidR="00EE0E0F" w:rsidRDefault="00104130">
      <w:pPr>
        <w:pStyle w:val="ListParagraph"/>
        <w:numPr>
          <w:ilvl w:val="0"/>
          <w:numId w:val="1"/>
        </w:numPr>
        <w:spacing w:after="90" w:line="280" w:lineRule="auto"/>
      </w:pPr>
      <w:r>
        <w:t xml:space="preserve">Category Inflows - Net inflows by fund category over time, used to build the category inflow </w:t>
      </w:r>
      <w:proofErr w:type="spellStart"/>
      <w:r>
        <w:t>heatmap</w:t>
      </w:r>
      <w:proofErr w:type="spellEnd"/>
      <w:r>
        <w:t>.</w:t>
      </w:r>
    </w:p>
    <w:p w:rsidR="00EE0E0F" w:rsidRDefault="00104130">
      <w:pPr>
        <w:pStyle w:val="ListParagraph"/>
        <w:numPr>
          <w:ilvl w:val="0"/>
          <w:numId w:val="1"/>
        </w:numPr>
        <w:spacing w:after="90" w:line="280" w:lineRule="auto"/>
      </w:pPr>
      <w:r>
        <w:t>Industry Folio Count - Total investor folio counts over time, indicating industry-wide retail participation growth.</w:t>
      </w:r>
    </w:p>
    <w:p w:rsidR="00EE0E0F" w:rsidRDefault="00104130">
      <w:pPr>
        <w:pStyle w:val="ListParagraph"/>
        <w:numPr>
          <w:ilvl w:val="0"/>
          <w:numId w:val="1"/>
        </w:numPr>
        <w:spacing w:after="90" w:line="280" w:lineRule="auto"/>
      </w:pPr>
      <w:r>
        <w:t>Scheme Performance - Pre-computed 1-year, 3-year, and 5-year returns, benchmark returns, Alpha, Beta, Sharpe/</w:t>
      </w:r>
      <w:proofErr w:type="spellStart"/>
      <w:r>
        <w:t>Sortino</w:t>
      </w:r>
      <w:proofErr w:type="spellEnd"/>
      <w:r>
        <w:t xml:space="preserve"> ratios, standard deviation, maximum drawdown, AUM, expense ratio, Morningstar rating, and risk grade for each scheme.</w:t>
      </w:r>
    </w:p>
    <w:p w:rsidR="00EE0E0F" w:rsidRDefault="00104130">
      <w:pPr>
        <w:pStyle w:val="ListParagraph"/>
        <w:numPr>
          <w:ilvl w:val="0"/>
          <w:numId w:val="1"/>
        </w:numPr>
        <w:spacing w:after="90" w:line="280" w:lineRule="auto"/>
      </w:pPr>
      <w:r>
        <w:t>Portfolio Holdings - Sector-wise weight allocation for each equity scheme, used for concentration (HHI) analysis.</w:t>
      </w:r>
    </w:p>
    <w:p w:rsidR="00EE0E0F" w:rsidRDefault="00104130">
      <w:pPr>
        <w:pStyle w:val="ListParagraph"/>
        <w:numPr>
          <w:ilvl w:val="0"/>
          <w:numId w:val="1"/>
        </w:numPr>
        <w:spacing w:after="90" w:line="280" w:lineRule="auto"/>
      </w:pPr>
      <w:r>
        <w:t>Benchmark Indices - Daily closing values for NIFTY50 and NIFTY100 indices, used for Alpha/Beta and benchmark comparison analysis.</w:t>
      </w:r>
    </w:p>
    <w:p w:rsidR="00EE0E0F" w:rsidRDefault="00104130">
      <w:pPr>
        <w:pStyle w:val="Heading1"/>
        <w:pageBreakBefore/>
        <w:spacing w:before="400"/>
      </w:pPr>
      <w:bookmarkStart w:id="15" w:name="_Toc234514548"/>
      <w:r>
        <w:lastRenderedPageBreak/>
        <w:t>5. ETL Pipeline</w:t>
      </w:r>
      <w:bookmarkEnd w:id="15"/>
    </w:p>
    <w:p w:rsidR="00EE0E0F" w:rsidRDefault="00104130">
      <w:pPr>
        <w:spacing w:after="160" w:line="300" w:lineRule="auto"/>
        <w:jc w:val="both"/>
      </w:pPr>
      <w:r>
        <w:t xml:space="preserve">The ETL (Extract, Transform, Load) pipeline forms the foundation of the project, converting raw, inconsistent source files into clean, structured datasets ready for analysis and database loading. The pipeline was implemented through a combination of </w:t>
      </w:r>
      <w:proofErr w:type="spellStart"/>
      <w:r>
        <w:t>Jupyter</w:t>
      </w:r>
      <w:proofErr w:type="spellEnd"/>
      <w:r>
        <w:t xml:space="preserve"> notebooks and standalone Python scripts stored under scripts/.</w:t>
      </w:r>
    </w:p>
    <w:p w:rsidR="00EE0E0F" w:rsidRDefault="00104130">
      <w:pPr>
        <w:pStyle w:val="Heading2"/>
        <w:spacing w:before="300" w:after="150"/>
      </w:pPr>
      <w:bookmarkStart w:id="16" w:name="_Toc234514549"/>
      <w:r>
        <w:t>5.1 Extract</w:t>
      </w:r>
      <w:bookmarkEnd w:id="16"/>
    </w:p>
    <w:p w:rsidR="00EE0E0F" w:rsidRDefault="00104130">
      <w:pPr>
        <w:spacing w:after="160" w:line="300" w:lineRule="auto"/>
        <w:jc w:val="both"/>
      </w:pPr>
      <w:r>
        <w:t xml:space="preserve">Raw data was extracted from two sources. First, static CSV files (fund master, NAV history, AUM, transactions, holdings, </w:t>
      </w:r>
      <w:proofErr w:type="gramStart"/>
      <w:r>
        <w:t>benchmark</w:t>
      </w:r>
      <w:proofErr w:type="gramEnd"/>
      <w:r>
        <w:t xml:space="preserve"> indices) were provided as flat files under data/raw/. Second, a live NAV extraction script (live_nav_fetch.py) was developed to pull real-time NAV history for six major schemes (HDFC, SBI, ICICI, Nippon, Axis, </w:t>
      </w:r>
      <w:proofErr w:type="spellStart"/>
      <w:r>
        <w:t>Kotak</w:t>
      </w:r>
      <w:proofErr w:type="spellEnd"/>
      <w:r>
        <w:t>) directly from the public mfapi.in Mutual Fund API using the requests library, demonstrating the ability to integrate external live data sources into the pipeline.</w:t>
      </w:r>
    </w:p>
    <w:p w:rsidR="00EE0E0F" w:rsidRDefault="0010413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proofErr w:type="spellStart"/>
      <w:r>
        <w:rPr>
          <w:rFonts w:ascii="Consolas" w:eastAsia="Consolas" w:hAnsi="Consolas" w:cs="Consolas"/>
          <w:color w:val="222222"/>
          <w:sz w:val="18"/>
          <w:szCs w:val="18"/>
        </w:rPr>
        <w:t>url</w:t>
      </w:r>
      <w:proofErr w:type="spellEnd"/>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f"https</w:t>
      </w:r>
      <w:proofErr w:type="spellEnd"/>
      <w:r>
        <w:rPr>
          <w:rFonts w:ascii="Consolas" w:eastAsia="Consolas" w:hAnsi="Consolas" w:cs="Consolas"/>
          <w:color w:val="222222"/>
          <w:sz w:val="18"/>
          <w:szCs w:val="18"/>
        </w:rPr>
        <w:t xml:space="preserve">://api.mfapi.in/mf/{code}" response = </w:t>
      </w:r>
      <w:proofErr w:type="spellStart"/>
      <w:r>
        <w:rPr>
          <w:rFonts w:ascii="Consolas" w:eastAsia="Consolas" w:hAnsi="Consolas" w:cs="Consolas"/>
          <w:color w:val="222222"/>
          <w:sz w:val="18"/>
          <w:szCs w:val="18"/>
        </w:rPr>
        <w:t>requests.get</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url</w:t>
      </w:r>
      <w:proofErr w:type="spellEnd"/>
      <w:r>
        <w:rPr>
          <w:rFonts w:ascii="Consolas" w:eastAsia="Consolas" w:hAnsi="Consolas" w:cs="Consolas"/>
          <w:color w:val="222222"/>
          <w:sz w:val="18"/>
          <w:szCs w:val="18"/>
        </w:rPr>
        <w:t xml:space="preserve">) data = </w:t>
      </w:r>
      <w:proofErr w:type="spellStart"/>
      <w:r>
        <w:rPr>
          <w:rFonts w:ascii="Consolas" w:eastAsia="Consolas" w:hAnsi="Consolas" w:cs="Consolas"/>
          <w:color w:val="222222"/>
          <w:sz w:val="18"/>
          <w:szCs w:val="18"/>
        </w:rPr>
        <w:t>response.json</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df</w:t>
      </w:r>
      <w:proofErr w:type="spellEnd"/>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pd.DataFrame</w:t>
      </w:r>
      <w:proofErr w:type="spellEnd"/>
      <w:r>
        <w:rPr>
          <w:rFonts w:ascii="Consolas" w:eastAsia="Consolas" w:hAnsi="Consolas" w:cs="Consolas"/>
          <w:color w:val="222222"/>
          <w:sz w:val="18"/>
          <w:szCs w:val="18"/>
        </w:rPr>
        <w:t xml:space="preserve">(data["data"]) </w:t>
      </w:r>
      <w:proofErr w:type="spellStart"/>
      <w:r>
        <w:rPr>
          <w:rFonts w:ascii="Consolas" w:eastAsia="Consolas" w:hAnsi="Consolas" w:cs="Consolas"/>
          <w:color w:val="222222"/>
          <w:sz w:val="18"/>
          <w:szCs w:val="18"/>
        </w:rPr>
        <w:t>df.to_csv</w:t>
      </w:r>
      <w:proofErr w:type="spellEnd"/>
      <w:r>
        <w:rPr>
          <w:rFonts w:ascii="Consolas" w:eastAsia="Consolas" w:hAnsi="Consolas" w:cs="Consolas"/>
          <w:color w:val="222222"/>
          <w:sz w:val="18"/>
          <w:szCs w:val="18"/>
        </w:rPr>
        <w:t>(f"../data/raw</w:t>
      </w:r>
      <w:proofErr w:type="gramStart"/>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name}.csv", index=False)</w:t>
      </w:r>
    </w:p>
    <w:p w:rsidR="00EE0E0F" w:rsidRDefault="00104130">
      <w:pPr>
        <w:pStyle w:val="Heading2"/>
        <w:spacing w:before="300" w:after="150"/>
      </w:pPr>
      <w:bookmarkStart w:id="17" w:name="_Toc234514550"/>
      <w:r>
        <w:t>5.2 Transform</w:t>
      </w:r>
      <w:bookmarkEnd w:id="17"/>
    </w:p>
    <w:p w:rsidR="00EE0E0F" w:rsidRDefault="00104130">
      <w:pPr>
        <w:spacing w:after="160" w:line="300" w:lineRule="auto"/>
        <w:jc w:val="both"/>
      </w:pPr>
      <w:r>
        <w:t>Data cleaning and transformation were performed through a set of dedicated scripts, each targeting a specific dataset:</w:t>
      </w:r>
    </w:p>
    <w:p w:rsidR="00EE0E0F" w:rsidRDefault="00104130">
      <w:pPr>
        <w:pStyle w:val="ListParagraph"/>
        <w:numPr>
          <w:ilvl w:val="0"/>
          <w:numId w:val="1"/>
        </w:numPr>
        <w:spacing w:after="90" w:line="280" w:lineRule="auto"/>
      </w:pPr>
      <w:r>
        <w:t xml:space="preserve">clean_nav.py - Converts the date column to </w:t>
      </w:r>
      <w:proofErr w:type="spellStart"/>
      <w:r>
        <w:t>datetime</w:t>
      </w:r>
      <w:proofErr w:type="spellEnd"/>
      <w:r>
        <w:t>, sorts records by AMFI code and date, forward-fills missing NAV values within each fund group, removes duplicate rows, and filters out non-positive NAV entries. Output: nav_history_clean.csv.</w:t>
      </w:r>
    </w:p>
    <w:p w:rsidR="00EE0E0F" w:rsidRDefault="00104130">
      <w:pPr>
        <w:pStyle w:val="ListParagraph"/>
        <w:numPr>
          <w:ilvl w:val="0"/>
          <w:numId w:val="1"/>
        </w:numPr>
        <w:spacing w:after="90" w:line="280" w:lineRule="auto"/>
      </w:pPr>
      <w:r>
        <w:t>clean_performance.py - Coerces return and expense ratio columns to numeric types, flags expense ratio anomalies outside the valid 0.1%-2.5% range, and saves the validated file as scheme_performance_clean.csv.</w:t>
      </w:r>
    </w:p>
    <w:p w:rsidR="00EE0E0F" w:rsidRDefault="00104130">
      <w:pPr>
        <w:pStyle w:val="ListParagraph"/>
        <w:numPr>
          <w:ilvl w:val="0"/>
          <w:numId w:val="1"/>
        </w:numPr>
        <w:spacing w:after="90" w:line="280" w:lineRule="auto"/>
      </w:pPr>
      <w:r>
        <w:t xml:space="preserve">clean_transactions.py - Converts transaction dates to </w:t>
      </w:r>
      <w:proofErr w:type="spellStart"/>
      <w:r>
        <w:t>datetime</w:t>
      </w:r>
      <w:proofErr w:type="spellEnd"/>
      <w:r>
        <w:t xml:space="preserve">, standardizes transaction type labels (SIP, </w:t>
      </w:r>
      <w:proofErr w:type="spellStart"/>
      <w:r>
        <w:t>Lumpsum</w:t>
      </w:r>
      <w:proofErr w:type="spellEnd"/>
      <w:r>
        <w:t>, Redemption) via string cleaning and mapping, filters out non-positive transaction amounts, and validates KYC status values (YES/NO/PENDING).</w:t>
      </w:r>
    </w:p>
    <w:p w:rsidR="00EE0E0F" w:rsidRDefault="00104130">
      <w:pPr>
        <w:pStyle w:val="ListParagraph"/>
        <w:numPr>
          <w:ilvl w:val="0"/>
          <w:numId w:val="1"/>
        </w:numPr>
        <w:spacing w:after="90" w:line="280" w:lineRule="auto"/>
      </w:pPr>
      <w:r>
        <w:t>clean_remaining.py - Applies deduplication across the remaining seven datasets (fund master, AUM, SIP inflows, category inflows, folio counts, portfolio holdings, benchmark indices) and saves each as a *_clean.csv file.</w:t>
      </w:r>
    </w:p>
    <w:p w:rsidR="00EE0E0F" w:rsidRDefault="00104130">
      <w:pPr>
        <w:pStyle w:val="ListParagraph"/>
        <w:numPr>
          <w:ilvl w:val="0"/>
          <w:numId w:val="1"/>
        </w:numPr>
        <w:spacing w:after="90" w:line="280" w:lineRule="auto"/>
      </w:pPr>
      <w:r>
        <w:t>check_columns.py - A diagnostic utility used during development to inspect column names and structures of raw datasets before writing cleaning logic.</w:t>
      </w:r>
    </w:p>
    <w:p w:rsidR="00EE0E0F" w:rsidRDefault="00104130">
      <w:pPr>
        <w:pStyle w:val="Heading2"/>
        <w:spacing w:before="300" w:after="150"/>
      </w:pPr>
      <w:bookmarkStart w:id="18" w:name="_Toc234514551"/>
      <w:r>
        <w:t>5.3 Load</w:t>
      </w:r>
      <w:bookmarkEnd w:id="18"/>
    </w:p>
    <w:p w:rsidR="00EE0E0F" w:rsidRDefault="00104130">
      <w:pPr>
        <w:spacing w:after="160" w:line="300" w:lineRule="auto"/>
        <w:jc w:val="both"/>
      </w:pPr>
      <w:r>
        <w:t>The cleaned datasets were loaded into a SQLite database (</w:t>
      </w:r>
      <w:proofErr w:type="spellStart"/>
      <w:r>
        <w:t>bluestock_mf.db</w:t>
      </w:r>
      <w:proofErr w:type="spellEnd"/>
      <w:r>
        <w:t xml:space="preserve">) using </w:t>
      </w:r>
      <w:proofErr w:type="spellStart"/>
      <w:r>
        <w:t>SQLAlchemy</w:t>
      </w:r>
      <w:proofErr w:type="spellEnd"/>
      <w:r>
        <w:t xml:space="preserve"> via load_database.py. Each cleaned CSV was mapped to a corresponding database table (</w:t>
      </w:r>
      <w:proofErr w:type="spellStart"/>
      <w:r>
        <w:t>dim_fund</w:t>
      </w:r>
      <w:proofErr w:type="spellEnd"/>
      <w:r>
        <w:t xml:space="preserve">, </w:t>
      </w:r>
      <w:proofErr w:type="spellStart"/>
      <w:r>
        <w:t>fact_nav</w:t>
      </w:r>
      <w:proofErr w:type="spellEnd"/>
      <w:r>
        <w:t xml:space="preserve">, </w:t>
      </w:r>
      <w:proofErr w:type="spellStart"/>
      <w:r>
        <w:lastRenderedPageBreak/>
        <w:t>fact_transactions</w:t>
      </w:r>
      <w:proofErr w:type="spellEnd"/>
      <w:r>
        <w:t xml:space="preserve">, </w:t>
      </w:r>
      <w:proofErr w:type="spellStart"/>
      <w:r>
        <w:t>fact_performance</w:t>
      </w:r>
      <w:proofErr w:type="spellEnd"/>
      <w:r>
        <w:t xml:space="preserve">) using the </w:t>
      </w:r>
      <w:proofErr w:type="spellStart"/>
      <w:r>
        <w:t>to_</w:t>
      </w:r>
      <w:proofErr w:type="gramStart"/>
      <w:r>
        <w:t>sql</w:t>
      </w:r>
      <w:proofErr w:type="spellEnd"/>
      <w:r>
        <w:t>(</w:t>
      </w:r>
      <w:proofErr w:type="gramEnd"/>
      <w:r>
        <w:t xml:space="preserve">) method with </w:t>
      </w:r>
      <w:proofErr w:type="spellStart"/>
      <w:r>
        <w:t>if_exists</w:t>
      </w:r>
      <w:proofErr w:type="spellEnd"/>
      <w:r>
        <w:t>="replace", ensuring the database could be rebuilt end-to-end from the cleaned CSV files at any point.</w:t>
      </w:r>
    </w:p>
    <w:p w:rsidR="00EE0E0F" w:rsidRDefault="0010413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proofErr w:type="gramStart"/>
      <w:r>
        <w:rPr>
          <w:rFonts w:ascii="Consolas" w:eastAsia="Consolas" w:hAnsi="Consolas" w:cs="Consolas"/>
          <w:color w:val="222222"/>
          <w:sz w:val="18"/>
          <w:szCs w:val="18"/>
        </w:rPr>
        <w:t>engine</w:t>
      </w:r>
      <w:proofErr w:type="gramEnd"/>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create_engine</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sqlite</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bluestock_mf.db</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fund.to_sql</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dim_fund</w:t>
      </w:r>
      <w:proofErr w:type="spellEnd"/>
      <w:r>
        <w:rPr>
          <w:rFonts w:ascii="Consolas" w:eastAsia="Consolas" w:hAnsi="Consolas" w:cs="Consolas"/>
          <w:color w:val="222222"/>
          <w:sz w:val="18"/>
          <w:szCs w:val="18"/>
        </w:rPr>
        <w:t xml:space="preserve">", engine, </w:t>
      </w:r>
      <w:proofErr w:type="spellStart"/>
      <w:r>
        <w:rPr>
          <w:rFonts w:ascii="Consolas" w:eastAsia="Consolas" w:hAnsi="Consolas" w:cs="Consolas"/>
          <w:color w:val="222222"/>
          <w:sz w:val="18"/>
          <w:szCs w:val="18"/>
        </w:rPr>
        <w:t>if_exists</w:t>
      </w:r>
      <w:proofErr w:type="spellEnd"/>
      <w:r>
        <w:rPr>
          <w:rFonts w:ascii="Consolas" w:eastAsia="Consolas" w:hAnsi="Consolas" w:cs="Consolas"/>
          <w:color w:val="222222"/>
          <w:sz w:val="18"/>
          <w:szCs w:val="18"/>
        </w:rPr>
        <w:t xml:space="preserve">="replace", index=False) </w:t>
      </w:r>
      <w:proofErr w:type="spellStart"/>
      <w:r>
        <w:rPr>
          <w:rFonts w:ascii="Consolas" w:eastAsia="Consolas" w:hAnsi="Consolas" w:cs="Consolas"/>
          <w:color w:val="222222"/>
          <w:sz w:val="18"/>
          <w:szCs w:val="18"/>
        </w:rPr>
        <w:t>nav.to_sql</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fact_nav</w:t>
      </w:r>
      <w:proofErr w:type="spellEnd"/>
      <w:r>
        <w:rPr>
          <w:rFonts w:ascii="Consolas" w:eastAsia="Consolas" w:hAnsi="Consolas" w:cs="Consolas"/>
          <w:color w:val="222222"/>
          <w:sz w:val="18"/>
          <w:szCs w:val="18"/>
        </w:rPr>
        <w:t xml:space="preserve">", engine, </w:t>
      </w:r>
      <w:proofErr w:type="spellStart"/>
      <w:r>
        <w:rPr>
          <w:rFonts w:ascii="Consolas" w:eastAsia="Consolas" w:hAnsi="Consolas" w:cs="Consolas"/>
          <w:color w:val="222222"/>
          <w:sz w:val="18"/>
          <w:szCs w:val="18"/>
        </w:rPr>
        <w:t>if_exists</w:t>
      </w:r>
      <w:proofErr w:type="spellEnd"/>
      <w:r>
        <w:rPr>
          <w:rFonts w:ascii="Consolas" w:eastAsia="Consolas" w:hAnsi="Consolas" w:cs="Consolas"/>
          <w:color w:val="222222"/>
          <w:sz w:val="18"/>
          <w:szCs w:val="18"/>
        </w:rPr>
        <w:t xml:space="preserve">="replace", index=False) </w:t>
      </w:r>
      <w:proofErr w:type="spellStart"/>
      <w:r>
        <w:rPr>
          <w:rFonts w:ascii="Consolas" w:eastAsia="Consolas" w:hAnsi="Consolas" w:cs="Consolas"/>
          <w:color w:val="222222"/>
          <w:sz w:val="18"/>
          <w:szCs w:val="18"/>
        </w:rPr>
        <w:t>trans.to_sql</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fact_transactions</w:t>
      </w:r>
      <w:proofErr w:type="spellEnd"/>
      <w:r>
        <w:rPr>
          <w:rFonts w:ascii="Consolas" w:eastAsia="Consolas" w:hAnsi="Consolas" w:cs="Consolas"/>
          <w:color w:val="222222"/>
          <w:sz w:val="18"/>
          <w:szCs w:val="18"/>
        </w:rPr>
        <w:t xml:space="preserve">", engine, </w:t>
      </w:r>
      <w:proofErr w:type="spellStart"/>
      <w:r>
        <w:rPr>
          <w:rFonts w:ascii="Consolas" w:eastAsia="Consolas" w:hAnsi="Consolas" w:cs="Consolas"/>
          <w:color w:val="222222"/>
          <w:sz w:val="18"/>
          <w:szCs w:val="18"/>
        </w:rPr>
        <w:t>if_exists</w:t>
      </w:r>
      <w:proofErr w:type="spellEnd"/>
      <w:r>
        <w:rPr>
          <w:rFonts w:ascii="Consolas" w:eastAsia="Consolas" w:hAnsi="Consolas" w:cs="Consolas"/>
          <w:color w:val="222222"/>
          <w:sz w:val="18"/>
          <w:szCs w:val="18"/>
        </w:rPr>
        <w:t xml:space="preserve">="replace", index=False) </w:t>
      </w:r>
      <w:proofErr w:type="spellStart"/>
      <w:r>
        <w:rPr>
          <w:rFonts w:ascii="Consolas" w:eastAsia="Consolas" w:hAnsi="Consolas" w:cs="Consolas"/>
          <w:color w:val="222222"/>
          <w:sz w:val="18"/>
          <w:szCs w:val="18"/>
        </w:rPr>
        <w:t>perf.to_sql</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fact_performance</w:t>
      </w:r>
      <w:proofErr w:type="spellEnd"/>
      <w:r>
        <w:rPr>
          <w:rFonts w:ascii="Consolas" w:eastAsia="Consolas" w:hAnsi="Consolas" w:cs="Consolas"/>
          <w:color w:val="222222"/>
          <w:sz w:val="18"/>
          <w:szCs w:val="18"/>
        </w:rPr>
        <w:t xml:space="preserve">", engine, </w:t>
      </w:r>
      <w:proofErr w:type="spellStart"/>
      <w:r>
        <w:rPr>
          <w:rFonts w:ascii="Consolas" w:eastAsia="Consolas" w:hAnsi="Consolas" w:cs="Consolas"/>
          <w:color w:val="222222"/>
          <w:sz w:val="18"/>
          <w:szCs w:val="18"/>
        </w:rPr>
        <w:t>if_exists</w:t>
      </w:r>
      <w:proofErr w:type="spellEnd"/>
      <w:r>
        <w:rPr>
          <w:rFonts w:ascii="Consolas" w:eastAsia="Consolas" w:hAnsi="Consolas" w:cs="Consolas"/>
          <w:color w:val="222222"/>
          <w:sz w:val="18"/>
          <w:szCs w:val="18"/>
        </w:rPr>
        <w:t>="replace", index=False)</w:t>
      </w:r>
    </w:p>
    <w:p w:rsidR="00EE0E0F" w:rsidRDefault="00104130">
      <w:pPr>
        <w:pStyle w:val="Heading2"/>
        <w:spacing w:before="300" w:after="150"/>
      </w:pPr>
      <w:bookmarkStart w:id="19" w:name="_Toc234514552"/>
      <w:r>
        <w:t>5.4 Data Quality Summary</w:t>
      </w:r>
      <w:bookmarkEnd w:id="19"/>
    </w:p>
    <w:p w:rsidR="00EE0E0F" w:rsidRDefault="00104130">
      <w:pPr>
        <w:spacing w:after="160" w:line="300" w:lineRule="auto"/>
        <w:jc w:val="both"/>
      </w:pPr>
      <w:r>
        <w:t>A data quality report (reports/data_quality_report.txt) was generated to document the validation checks performed. Key findings include:</w:t>
      </w:r>
    </w:p>
    <w:p w:rsidR="00EE0E0F" w:rsidRDefault="00104130">
      <w:pPr>
        <w:pStyle w:val="ListParagraph"/>
        <w:numPr>
          <w:ilvl w:val="0"/>
          <w:numId w:val="1"/>
        </w:numPr>
        <w:spacing w:after="90" w:line="280" w:lineRule="auto"/>
      </w:pPr>
      <w:r>
        <w:t>All 40 AMFI codes present in the fund master were confirmed to exist in the NAV history table, with no missing scheme codes.</w:t>
      </w:r>
    </w:p>
    <w:p w:rsidR="00EE0E0F" w:rsidRDefault="00104130">
      <w:pPr>
        <w:pStyle w:val="ListParagraph"/>
        <w:numPr>
          <w:ilvl w:val="0"/>
          <w:numId w:val="1"/>
        </w:numPr>
        <w:spacing w:after="90" w:line="280" w:lineRule="auto"/>
      </w:pPr>
      <w:r>
        <w:t>The NAV history dataset contains approximately 46,000 validated records after cleaning.</w:t>
      </w:r>
    </w:p>
    <w:p w:rsidR="00EE0E0F" w:rsidRDefault="00104130">
      <w:pPr>
        <w:pStyle w:val="ListParagraph"/>
        <w:numPr>
          <w:ilvl w:val="0"/>
          <w:numId w:val="1"/>
        </w:numPr>
        <w:spacing w:after="90" w:line="280" w:lineRule="auto"/>
      </w:pPr>
      <w:r>
        <w:t>Risk categories across all schemes were confirmed to be properly and consistently classified.</w:t>
      </w:r>
    </w:p>
    <w:p w:rsidR="00EE0E0F" w:rsidRDefault="00104130">
      <w:pPr>
        <w:pStyle w:val="ListParagraph"/>
        <w:numPr>
          <w:ilvl w:val="0"/>
          <w:numId w:val="1"/>
        </w:numPr>
        <w:spacing w:after="90" w:line="280" w:lineRule="auto"/>
      </w:pPr>
      <w:r>
        <w:t>No major data inconsistencies were identified between the raw and processed datasets after the cleaning stage.</w:t>
      </w:r>
    </w:p>
    <w:p w:rsidR="00EE0E0F" w:rsidRDefault="00EE0E0F" w:rsidP="00C02A4B">
      <w:pPr>
        <w:pBdr>
          <w:top w:val="dashed" w:sz="4" w:space="0" w:color="AAAAAA"/>
          <w:left w:val="dashed" w:sz="4" w:space="0" w:color="AAAAAA"/>
          <w:bottom w:val="dashed" w:sz="4" w:space="0" w:color="AAAAAA"/>
          <w:right w:val="dashed" w:sz="4" w:space="0" w:color="AAAAAA"/>
        </w:pBdr>
        <w:shd w:val="clear" w:color="auto" w:fill="FAFAFA"/>
        <w:spacing w:before="200" w:after="300"/>
        <w:ind w:left="400" w:right="400"/>
      </w:pPr>
    </w:p>
    <w:p w:rsidR="00EE0E0F" w:rsidRDefault="00104130">
      <w:pPr>
        <w:pStyle w:val="Heading1"/>
        <w:pageBreakBefore/>
        <w:spacing w:before="400"/>
      </w:pPr>
      <w:bookmarkStart w:id="20" w:name="_Toc234514553"/>
      <w:r>
        <w:lastRenderedPageBreak/>
        <w:t>6. Database Design</w:t>
      </w:r>
      <w:bookmarkEnd w:id="20"/>
    </w:p>
    <w:p w:rsidR="00EE0E0F" w:rsidRDefault="00104130">
      <w:pPr>
        <w:spacing w:after="160" w:line="300" w:lineRule="auto"/>
        <w:jc w:val="both"/>
      </w:pPr>
      <w:r>
        <w:t xml:space="preserve">A normalized relational schema was designed to support efficient analytical querying using SQLite, a lightweight, file-based relational database engine well suited for a self-contained analytics project of this scale. The database file </w:t>
      </w:r>
      <w:proofErr w:type="spellStart"/>
      <w:r>
        <w:t>bluestock_mf.db</w:t>
      </w:r>
      <w:proofErr w:type="spellEnd"/>
      <w:r>
        <w:t xml:space="preserve"> follows a simple star-schema-inspired design with one dimension table and three fact tables.</w:t>
      </w:r>
    </w:p>
    <w:p w:rsidR="00EE0E0F" w:rsidRDefault="00104130">
      <w:pPr>
        <w:pStyle w:val="Heading2"/>
        <w:spacing w:before="300" w:after="150"/>
      </w:pPr>
      <w:bookmarkStart w:id="21" w:name="_Toc234514554"/>
      <w:r>
        <w:t>6.1 Entity-Relationship Overview</w:t>
      </w:r>
      <w:bookmarkEnd w:id="21"/>
    </w:p>
    <w:p w:rsidR="00EE0E0F" w:rsidRDefault="00104130">
      <w:pPr>
        <w:spacing w:after="160" w:line="300" w:lineRule="auto"/>
        <w:jc w:val="both"/>
      </w:pPr>
      <w:r>
        <w:t xml:space="preserve">The </w:t>
      </w:r>
      <w:proofErr w:type="spellStart"/>
      <w:r>
        <w:t>dim_fund</w:t>
      </w:r>
      <w:proofErr w:type="spellEnd"/>
      <w:r>
        <w:t xml:space="preserve"> table serves as the central dimension table, holding static scheme-level attributes. It is linked via the </w:t>
      </w:r>
      <w:proofErr w:type="spellStart"/>
      <w:r>
        <w:t>amfi_code</w:t>
      </w:r>
      <w:proofErr w:type="spellEnd"/>
      <w:r>
        <w:t xml:space="preserve"> key to three fact tables: </w:t>
      </w:r>
      <w:proofErr w:type="spellStart"/>
      <w:r>
        <w:t>fact_nav</w:t>
      </w:r>
      <w:proofErr w:type="spellEnd"/>
      <w:r>
        <w:t xml:space="preserve"> (time-series NAV data), </w:t>
      </w:r>
      <w:proofErr w:type="spellStart"/>
      <w:r>
        <w:t>fact_transactions</w:t>
      </w:r>
      <w:proofErr w:type="spellEnd"/>
      <w:r>
        <w:t xml:space="preserve"> (investor-level transaction records), and </w:t>
      </w:r>
      <w:proofErr w:type="spellStart"/>
      <w:r>
        <w:t>fact_performance</w:t>
      </w:r>
      <w:proofErr w:type="spellEnd"/>
      <w:r>
        <w:t xml:space="preserve"> (pre-computed performance metrics). This design allows analysts to join transactional and time-series data back to fund attributes such as fund house, category, and risk grade with a single key.</w:t>
      </w:r>
    </w:p>
    <w:p w:rsidR="00EE0E0F" w:rsidRDefault="00104130">
      <w:pPr>
        <w:pStyle w:val="Heading2"/>
        <w:spacing w:before="300" w:after="150"/>
      </w:pPr>
      <w:bookmarkStart w:id="22" w:name="_Toc234514555"/>
      <w:r>
        <w:t>6.2 Table Schema</w:t>
      </w:r>
      <w:bookmarkEnd w:id="22"/>
    </w:p>
    <w:p w:rsidR="00EE0E0F" w:rsidRDefault="00104130">
      <w:pPr>
        <w:pStyle w:val="Heading3"/>
      </w:pPr>
      <w:bookmarkStart w:id="23" w:name="_Toc234514556"/>
      <w:proofErr w:type="spellStart"/>
      <w:r>
        <w:t>dim_fund</w:t>
      </w:r>
      <w:bookmarkEnd w:id="23"/>
      <w:proofErr w:type="spellEnd"/>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00"/>
      </w:tblGrid>
      <w:tr w:rsidR="00EE0E0F">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rsidR="00EE0E0F" w:rsidRDefault="00104130">
            <w:r>
              <w:rPr>
                <w:b/>
                <w:bCs/>
                <w:color w:val="FFFFFF"/>
                <w:sz w:val="20"/>
                <w:szCs w:val="20"/>
              </w:rPr>
              <w:t>Column</w:t>
            </w:r>
          </w:p>
        </w:tc>
        <w:tc>
          <w:tcPr>
            <w:tcW w:w="2000" w:type="dxa"/>
            <w:shd w:val="clear" w:color="auto" w:fill="1F3864"/>
            <w:tcMar>
              <w:top w:w="80" w:type="dxa"/>
              <w:left w:w="100" w:type="dxa"/>
              <w:bottom w:w="80" w:type="dxa"/>
              <w:right w:w="100" w:type="dxa"/>
            </w:tcMar>
            <w:vAlign w:val="center"/>
          </w:tcPr>
          <w:p w:rsidR="00EE0E0F" w:rsidRDefault="00104130">
            <w:r>
              <w:rPr>
                <w:b/>
                <w:bCs/>
                <w:color w:val="FFFFFF"/>
                <w:sz w:val="20"/>
                <w:szCs w:val="20"/>
              </w:rPr>
              <w:t>Type</w:t>
            </w:r>
          </w:p>
        </w:tc>
        <w:tc>
          <w:tcPr>
            <w:tcW w:w="4800" w:type="dxa"/>
            <w:shd w:val="clear" w:color="auto" w:fill="1F3864"/>
            <w:tcMar>
              <w:top w:w="80" w:type="dxa"/>
              <w:left w:w="100" w:type="dxa"/>
              <w:bottom w:w="80" w:type="dxa"/>
              <w:right w:w="100" w:type="dxa"/>
            </w:tcMar>
            <w:vAlign w:val="center"/>
          </w:tcPr>
          <w:p w:rsidR="00EE0E0F" w:rsidRDefault="00104130">
            <w:r>
              <w:rPr>
                <w:b/>
                <w:bCs/>
                <w:color w:val="FFFFFF"/>
                <w:sz w:val="20"/>
                <w:szCs w:val="20"/>
              </w:rPr>
              <w:t>Description</w:t>
            </w:r>
          </w:p>
        </w:tc>
      </w:tr>
      <w:tr w:rsidR="00EE0E0F">
        <w:tblPrEx>
          <w:tblCellMar>
            <w:top w:w="0" w:type="dxa"/>
            <w:bottom w:w="0" w:type="dxa"/>
          </w:tblCellMar>
        </w:tblPrEx>
        <w:tc>
          <w:tcPr>
            <w:tcW w:w="2200" w:type="dxa"/>
            <w:tcMar>
              <w:top w:w="80" w:type="dxa"/>
              <w:left w:w="100" w:type="dxa"/>
              <w:bottom w:w="80" w:type="dxa"/>
              <w:right w:w="100" w:type="dxa"/>
            </w:tcMar>
            <w:vAlign w:val="center"/>
          </w:tcPr>
          <w:p w:rsidR="00EE0E0F" w:rsidRDefault="00104130">
            <w:proofErr w:type="spellStart"/>
            <w:r>
              <w:rPr>
                <w:color w:val="222222"/>
                <w:sz w:val="20"/>
                <w:szCs w:val="20"/>
              </w:rPr>
              <w:t>amfi_code</w:t>
            </w:r>
            <w:proofErr w:type="spellEnd"/>
          </w:p>
        </w:tc>
        <w:tc>
          <w:tcPr>
            <w:tcW w:w="2000" w:type="dxa"/>
            <w:tcMar>
              <w:top w:w="80" w:type="dxa"/>
              <w:left w:w="100" w:type="dxa"/>
              <w:bottom w:w="80" w:type="dxa"/>
              <w:right w:w="100" w:type="dxa"/>
            </w:tcMar>
            <w:vAlign w:val="center"/>
          </w:tcPr>
          <w:p w:rsidR="00EE0E0F" w:rsidRDefault="00104130">
            <w:r>
              <w:rPr>
                <w:color w:val="222222"/>
                <w:sz w:val="20"/>
                <w:szCs w:val="20"/>
              </w:rPr>
              <w:t>INTEGER (PK)</w:t>
            </w:r>
          </w:p>
        </w:tc>
        <w:tc>
          <w:tcPr>
            <w:tcW w:w="4800" w:type="dxa"/>
            <w:tcMar>
              <w:top w:w="80" w:type="dxa"/>
              <w:left w:w="100" w:type="dxa"/>
              <w:bottom w:w="80" w:type="dxa"/>
              <w:right w:w="100" w:type="dxa"/>
            </w:tcMar>
            <w:vAlign w:val="center"/>
          </w:tcPr>
          <w:p w:rsidR="00EE0E0F" w:rsidRDefault="00104130">
            <w:r>
              <w:rPr>
                <w:color w:val="222222"/>
                <w:sz w:val="20"/>
                <w:szCs w:val="20"/>
              </w:rPr>
              <w:t>Unique AMFI scheme identifier</w:t>
            </w:r>
          </w:p>
        </w:tc>
      </w:tr>
      <w:tr w:rsidR="00EE0E0F">
        <w:tblPrEx>
          <w:tblCellMar>
            <w:top w:w="0" w:type="dxa"/>
            <w:bottom w:w="0" w:type="dxa"/>
          </w:tblCellMar>
        </w:tblPrEx>
        <w:tc>
          <w:tcPr>
            <w:tcW w:w="2200" w:type="dxa"/>
            <w:shd w:val="clear" w:color="auto" w:fill="F2F6FB"/>
            <w:tcMar>
              <w:top w:w="80" w:type="dxa"/>
              <w:left w:w="100" w:type="dxa"/>
              <w:bottom w:w="80" w:type="dxa"/>
              <w:right w:w="100" w:type="dxa"/>
            </w:tcMar>
            <w:vAlign w:val="center"/>
          </w:tcPr>
          <w:p w:rsidR="00EE0E0F" w:rsidRDefault="00104130">
            <w:proofErr w:type="spellStart"/>
            <w:r>
              <w:rPr>
                <w:color w:val="222222"/>
                <w:sz w:val="20"/>
                <w:szCs w:val="20"/>
              </w:rPr>
              <w:t>scheme_name</w:t>
            </w:r>
            <w:proofErr w:type="spellEnd"/>
          </w:p>
        </w:tc>
        <w:tc>
          <w:tcPr>
            <w:tcW w:w="2000" w:type="dxa"/>
            <w:shd w:val="clear" w:color="auto" w:fill="F2F6FB"/>
            <w:tcMar>
              <w:top w:w="80" w:type="dxa"/>
              <w:left w:w="100" w:type="dxa"/>
              <w:bottom w:w="80" w:type="dxa"/>
              <w:right w:w="100" w:type="dxa"/>
            </w:tcMar>
            <w:vAlign w:val="center"/>
          </w:tcPr>
          <w:p w:rsidR="00EE0E0F" w:rsidRDefault="00104130">
            <w:r>
              <w:rPr>
                <w:color w:val="222222"/>
                <w:sz w:val="20"/>
                <w:szCs w:val="20"/>
              </w:rPr>
              <w:t>TEXT</w:t>
            </w:r>
          </w:p>
        </w:tc>
        <w:tc>
          <w:tcPr>
            <w:tcW w:w="4800" w:type="dxa"/>
            <w:shd w:val="clear" w:color="auto" w:fill="F2F6FB"/>
            <w:tcMar>
              <w:top w:w="80" w:type="dxa"/>
              <w:left w:w="100" w:type="dxa"/>
              <w:bottom w:w="80" w:type="dxa"/>
              <w:right w:w="100" w:type="dxa"/>
            </w:tcMar>
            <w:vAlign w:val="center"/>
          </w:tcPr>
          <w:p w:rsidR="00EE0E0F" w:rsidRDefault="00104130">
            <w:r>
              <w:rPr>
                <w:color w:val="222222"/>
                <w:sz w:val="20"/>
                <w:szCs w:val="20"/>
              </w:rPr>
              <w:t>Full scheme name</w:t>
            </w:r>
          </w:p>
        </w:tc>
      </w:tr>
      <w:tr w:rsidR="00EE0E0F">
        <w:tblPrEx>
          <w:tblCellMar>
            <w:top w:w="0" w:type="dxa"/>
            <w:bottom w:w="0" w:type="dxa"/>
          </w:tblCellMar>
        </w:tblPrEx>
        <w:tc>
          <w:tcPr>
            <w:tcW w:w="2200" w:type="dxa"/>
            <w:tcMar>
              <w:top w:w="80" w:type="dxa"/>
              <w:left w:w="100" w:type="dxa"/>
              <w:bottom w:w="80" w:type="dxa"/>
              <w:right w:w="100" w:type="dxa"/>
            </w:tcMar>
            <w:vAlign w:val="center"/>
          </w:tcPr>
          <w:p w:rsidR="00EE0E0F" w:rsidRDefault="00104130">
            <w:proofErr w:type="spellStart"/>
            <w:r>
              <w:rPr>
                <w:color w:val="222222"/>
                <w:sz w:val="20"/>
                <w:szCs w:val="20"/>
              </w:rPr>
              <w:t>fund_house</w:t>
            </w:r>
            <w:proofErr w:type="spellEnd"/>
          </w:p>
        </w:tc>
        <w:tc>
          <w:tcPr>
            <w:tcW w:w="2000" w:type="dxa"/>
            <w:tcMar>
              <w:top w:w="80" w:type="dxa"/>
              <w:left w:w="100" w:type="dxa"/>
              <w:bottom w:w="80" w:type="dxa"/>
              <w:right w:w="100" w:type="dxa"/>
            </w:tcMar>
            <w:vAlign w:val="center"/>
          </w:tcPr>
          <w:p w:rsidR="00EE0E0F" w:rsidRDefault="00104130">
            <w:r>
              <w:rPr>
                <w:color w:val="222222"/>
                <w:sz w:val="20"/>
                <w:szCs w:val="20"/>
              </w:rPr>
              <w:t>TEXT</w:t>
            </w:r>
          </w:p>
        </w:tc>
        <w:tc>
          <w:tcPr>
            <w:tcW w:w="4800" w:type="dxa"/>
            <w:tcMar>
              <w:top w:w="80" w:type="dxa"/>
              <w:left w:w="100" w:type="dxa"/>
              <w:bottom w:w="80" w:type="dxa"/>
              <w:right w:w="100" w:type="dxa"/>
            </w:tcMar>
            <w:vAlign w:val="center"/>
          </w:tcPr>
          <w:p w:rsidR="00EE0E0F" w:rsidRDefault="00104130">
            <w:r>
              <w:rPr>
                <w:color w:val="222222"/>
                <w:sz w:val="20"/>
                <w:szCs w:val="20"/>
              </w:rPr>
              <w:t>Asset Management Company</w:t>
            </w:r>
          </w:p>
        </w:tc>
      </w:tr>
      <w:tr w:rsidR="00EE0E0F">
        <w:tblPrEx>
          <w:tblCellMar>
            <w:top w:w="0" w:type="dxa"/>
            <w:bottom w:w="0" w:type="dxa"/>
          </w:tblCellMar>
        </w:tblPrEx>
        <w:tc>
          <w:tcPr>
            <w:tcW w:w="2200" w:type="dxa"/>
            <w:shd w:val="clear" w:color="auto" w:fill="F2F6FB"/>
            <w:tcMar>
              <w:top w:w="80" w:type="dxa"/>
              <w:left w:w="100" w:type="dxa"/>
              <w:bottom w:w="80" w:type="dxa"/>
              <w:right w:w="100" w:type="dxa"/>
            </w:tcMar>
            <w:vAlign w:val="center"/>
          </w:tcPr>
          <w:p w:rsidR="00EE0E0F" w:rsidRDefault="00104130">
            <w:r>
              <w:rPr>
                <w:color w:val="222222"/>
                <w:sz w:val="20"/>
                <w:szCs w:val="20"/>
              </w:rPr>
              <w:t>category</w:t>
            </w:r>
          </w:p>
        </w:tc>
        <w:tc>
          <w:tcPr>
            <w:tcW w:w="2000" w:type="dxa"/>
            <w:shd w:val="clear" w:color="auto" w:fill="F2F6FB"/>
            <w:tcMar>
              <w:top w:w="80" w:type="dxa"/>
              <w:left w:w="100" w:type="dxa"/>
              <w:bottom w:w="80" w:type="dxa"/>
              <w:right w:w="100" w:type="dxa"/>
            </w:tcMar>
            <w:vAlign w:val="center"/>
          </w:tcPr>
          <w:p w:rsidR="00EE0E0F" w:rsidRDefault="00104130">
            <w:r>
              <w:rPr>
                <w:color w:val="222222"/>
                <w:sz w:val="20"/>
                <w:szCs w:val="20"/>
              </w:rPr>
              <w:t>TEXT</w:t>
            </w:r>
          </w:p>
        </w:tc>
        <w:tc>
          <w:tcPr>
            <w:tcW w:w="4800" w:type="dxa"/>
            <w:shd w:val="clear" w:color="auto" w:fill="F2F6FB"/>
            <w:tcMar>
              <w:top w:w="80" w:type="dxa"/>
              <w:left w:w="100" w:type="dxa"/>
              <w:bottom w:w="80" w:type="dxa"/>
              <w:right w:w="100" w:type="dxa"/>
            </w:tcMar>
            <w:vAlign w:val="center"/>
          </w:tcPr>
          <w:p w:rsidR="00EE0E0F" w:rsidRDefault="00104130">
            <w:r>
              <w:rPr>
                <w:color w:val="222222"/>
                <w:sz w:val="20"/>
                <w:szCs w:val="20"/>
              </w:rPr>
              <w:t>Equity or Debt</w:t>
            </w:r>
          </w:p>
        </w:tc>
      </w:tr>
    </w:tbl>
    <w:p w:rsidR="00EE0E0F" w:rsidRDefault="00EE0E0F">
      <w:pPr>
        <w:spacing w:after="180"/>
      </w:pPr>
    </w:p>
    <w:p w:rsidR="00EE0E0F" w:rsidRDefault="00104130">
      <w:pPr>
        <w:pStyle w:val="Heading3"/>
      </w:pPr>
      <w:bookmarkStart w:id="24" w:name="_Toc234514557"/>
      <w:proofErr w:type="spellStart"/>
      <w:r>
        <w:t>fact_nav</w:t>
      </w:r>
      <w:bookmarkEnd w:id="24"/>
      <w:proofErr w:type="spellEnd"/>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00"/>
      </w:tblGrid>
      <w:tr w:rsidR="00EE0E0F">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rsidR="00EE0E0F" w:rsidRDefault="00104130">
            <w:r>
              <w:rPr>
                <w:b/>
                <w:bCs/>
                <w:color w:val="FFFFFF"/>
                <w:sz w:val="20"/>
                <w:szCs w:val="20"/>
              </w:rPr>
              <w:t>Column</w:t>
            </w:r>
          </w:p>
        </w:tc>
        <w:tc>
          <w:tcPr>
            <w:tcW w:w="2000" w:type="dxa"/>
            <w:shd w:val="clear" w:color="auto" w:fill="1F3864"/>
            <w:tcMar>
              <w:top w:w="80" w:type="dxa"/>
              <w:left w:w="100" w:type="dxa"/>
              <w:bottom w:w="80" w:type="dxa"/>
              <w:right w:w="100" w:type="dxa"/>
            </w:tcMar>
            <w:vAlign w:val="center"/>
          </w:tcPr>
          <w:p w:rsidR="00EE0E0F" w:rsidRDefault="00104130">
            <w:r>
              <w:rPr>
                <w:b/>
                <w:bCs/>
                <w:color w:val="FFFFFF"/>
                <w:sz w:val="20"/>
                <w:szCs w:val="20"/>
              </w:rPr>
              <w:t>Type</w:t>
            </w:r>
          </w:p>
        </w:tc>
        <w:tc>
          <w:tcPr>
            <w:tcW w:w="4800" w:type="dxa"/>
            <w:shd w:val="clear" w:color="auto" w:fill="1F3864"/>
            <w:tcMar>
              <w:top w:w="80" w:type="dxa"/>
              <w:left w:w="100" w:type="dxa"/>
              <w:bottom w:w="80" w:type="dxa"/>
              <w:right w:w="100" w:type="dxa"/>
            </w:tcMar>
            <w:vAlign w:val="center"/>
          </w:tcPr>
          <w:p w:rsidR="00EE0E0F" w:rsidRDefault="00104130">
            <w:r>
              <w:rPr>
                <w:b/>
                <w:bCs/>
                <w:color w:val="FFFFFF"/>
                <w:sz w:val="20"/>
                <w:szCs w:val="20"/>
              </w:rPr>
              <w:t>Description</w:t>
            </w:r>
          </w:p>
        </w:tc>
      </w:tr>
      <w:tr w:rsidR="00EE0E0F">
        <w:tblPrEx>
          <w:tblCellMar>
            <w:top w:w="0" w:type="dxa"/>
            <w:bottom w:w="0" w:type="dxa"/>
          </w:tblCellMar>
        </w:tblPrEx>
        <w:tc>
          <w:tcPr>
            <w:tcW w:w="2200" w:type="dxa"/>
            <w:tcMar>
              <w:top w:w="80" w:type="dxa"/>
              <w:left w:w="100" w:type="dxa"/>
              <w:bottom w:w="80" w:type="dxa"/>
              <w:right w:w="100" w:type="dxa"/>
            </w:tcMar>
            <w:vAlign w:val="center"/>
          </w:tcPr>
          <w:p w:rsidR="00EE0E0F" w:rsidRDefault="00104130">
            <w:proofErr w:type="spellStart"/>
            <w:r>
              <w:rPr>
                <w:color w:val="222222"/>
                <w:sz w:val="20"/>
                <w:szCs w:val="20"/>
              </w:rPr>
              <w:t>amfi_code</w:t>
            </w:r>
            <w:proofErr w:type="spellEnd"/>
          </w:p>
        </w:tc>
        <w:tc>
          <w:tcPr>
            <w:tcW w:w="2000" w:type="dxa"/>
            <w:tcMar>
              <w:top w:w="80" w:type="dxa"/>
              <w:left w:w="100" w:type="dxa"/>
              <w:bottom w:w="80" w:type="dxa"/>
              <w:right w:w="100" w:type="dxa"/>
            </w:tcMar>
            <w:vAlign w:val="center"/>
          </w:tcPr>
          <w:p w:rsidR="00EE0E0F" w:rsidRDefault="00104130">
            <w:r>
              <w:rPr>
                <w:color w:val="222222"/>
                <w:sz w:val="20"/>
                <w:szCs w:val="20"/>
              </w:rPr>
              <w:t>INTEGER</w:t>
            </w:r>
          </w:p>
        </w:tc>
        <w:tc>
          <w:tcPr>
            <w:tcW w:w="4800" w:type="dxa"/>
            <w:tcMar>
              <w:top w:w="80" w:type="dxa"/>
              <w:left w:w="100" w:type="dxa"/>
              <w:bottom w:w="80" w:type="dxa"/>
              <w:right w:w="100" w:type="dxa"/>
            </w:tcMar>
            <w:vAlign w:val="center"/>
          </w:tcPr>
          <w:p w:rsidR="00EE0E0F" w:rsidRDefault="00104130">
            <w:r>
              <w:rPr>
                <w:color w:val="222222"/>
                <w:sz w:val="20"/>
                <w:szCs w:val="20"/>
              </w:rPr>
              <w:t xml:space="preserve">Foreign key to </w:t>
            </w:r>
            <w:proofErr w:type="spellStart"/>
            <w:r>
              <w:rPr>
                <w:color w:val="222222"/>
                <w:sz w:val="20"/>
                <w:szCs w:val="20"/>
              </w:rPr>
              <w:t>dim_fund</w:t>
            </w:r>
            <w:proofErr w:type="spellEnd"/>
          </w:p>
        </w:tc>
      </w:tr>
      <w:tr w:rsidR="00EE0E0F">
        <w:tblPrEx>
          <w:tblCellMar>
            <w:top w:w="0" w:type="dxa"/>
            <w:bottom w:w="0" w:type="dxa"/>
          </w:tblCellMar>
        </w:tblPrEx>
        <w:tc>
          <w:tcPr>
            <w:tcW w:w="2200" w:type="dxa"/>
            <w:shd w:val="clear" w:color="auto" w:fill="F2F6FB"/>
            <w:tcMar>
              <w:top w:w="80" w:type="dxa"/>
              <w:left w:w="100" w:type="dxa"/>
              <w:bottom w:w="80" w:type="dxa"/>
              <w:right w:w="100" w:type="dxa"/>
            </w:tcMar>
            <w:vAlign w:val="center"/>
          </w:tcPr>
          <w:p w:rsidR="00EE0E0F" w:rsidRDefault="00104130">
            <w:r>
              <w:rPr>
                <w:color w:val="222222"/>
                <w:sz w:val="20"/>
                <w:szCs w:val="20"/>
              </w:rPr>
              <w:t>date</w:t>
            </w:r>
          </w:p>
        </w:tc>
        <w:tc>
          <w:tcPr>
            <w:tcW w:w="2000" w:type="dxa"/>
            <w:shd w:val="clear" w:color="auto" w:fill="F2F6FB"/>
            <w:tcMar>
              <w:top w:w="80" w:type="dxa"/>
              <w:left w:w="100" w:type="dxa"/>
              <w:bottom w:w="80" w:type="dxa"/>
              <w:right w:w="100" w:type="dxa"/>
            </w:tcMar>
            <w:vAlign w:val="center"/>
          </w:tcPr>
          <w:p w:rsidR="00EE0E0F" w:rsidRDefault="00104130">
            <w:r>
              <w:rPr>
                <w:color w:val="222222"/>
                <w:sz w:val="20"/>
                <w:szCs w:val="20"/>
              </w:rPr>
              <w:t>DATE</w:t>
            </w:r>
          </w:p>
        </w:tc>
        <w:tc>
          <w:tcPr>
            <w:tcW w:w="4800" w:type="dxa"/>
            <w:shd w:val="clear" w:color="auto" w:fill="F2F6FB"/>
            <w:tcMar>
              <w:top w:w="80" w:type="dxa"/>
              <w:left w:w="100" w:type="dxa"/>
              <w:bottom w:w="80" w:type="dxa"/>
              <w:right w:w="100" w:type="dxa"/>
            </w:tcMar>
            <w:vAlign w:val="center"/>
          </w:tcPr>
          <w:p w:rsidR="00EE0E0F" w:rsidRDefault="00104130">
            <w:r>
              <w:rPr>
                <w:color w:val="222222"/>
                <w:sz w:val="20"/>
                <w:szCs w:val="20"/>
              </w:rPr>
              <w:t>NAV date</w:t>
            </w:r>
          </w:p>
        </w:tc>
      </w:tr>
      <w:tr w:rsidR="00EE0E0F">
        <w:tblPrEx>
          <w:tblCellMar>
            <w:top w:w="0" w:type="dxa"/>
            <w:bottom w:w="0" w:type="dxa"/>
          </w:tblCellMar>
        </w:tblPrEx>
        <w:tc>
          <w:tcPr>
            <w:tcW w:w="2200" w:type="dxa"/>
            <w:tcMar>
              <w:top w:w="80" w:type="dxa"/>
              <w:left w:w="100" w:type="dxa"/>
              <w:bottom w:w="80" w:type="dxa"/>
              <w:right w:w="100" w:type="dxa"/>
            </w:tcMar>
            <w:vAlign w:val="center"/>
          </w:tcPr>
          <w:p w:rsidR="00EE0E0F" w:rsidRDefault="00104130">
            <w:proofErr w:type="spellStart"/>
            <w:r>
              <w:rPr>
                <w:color w:val="222222"/>
                <w:sz w:val="20"/>
                <w:szCs w:val="20"/>
              </w:rPr>
              <w:t>nav</w:t>
            </w:r>
            <w:proofErr w:type="spellEnd"/>
          </w:p>
        </w:tc>
        <w:tc>
          <w:tcPr>
            <w:tcW w:w="2000" w:type="dxa"/>
            <w:tcMar>
              <w:top w:w="80" w:type="dxa"/>
              <w:left w:w="100" w:type="dxa"/>
              <w:bottom w:w="80" w:type="dxa"/>
              <w:right w:w="100" w:type="dxa"/>
            </w:tcMar>
            <w:vAlign w:val="center"/>
          </w:tcPr>
          <w:p w:rsidR="00EE0E0F" w:rsidRDefault="00104130">
            <w:r>
              <w:rPr>
                <w:color w:val="222222"/>
                <w:sz w:val="20"/>
                <w:szCs w:val="20"/>
              </w:rPr>
              <w:t>REAL</w:t>
            </w:r>
          </w:p>
        </w:tc>
        <w:tc>
          <w:tcPr>
            <w:tcW w:w="4800" w:type="dxa"/>
            <w:tcMar>
              <w:top w:w="80" w:type="dxa"/>
              <w:left w:w="100" w:type="dxa"/>
              <w:bottom w:w="80" w:type="dxa"/>
              <w:right w:w="100" w:type="dxa"/>
            </w:tcMar>
            <w:vAlign w:val="center"/>
          </w:tcPr>
          <w:p w:rsidR="00EE0E0F" w:rsidRDefault="00104130">
            <w:r>
              <w:rPr>
                <w:color w:val="222222"/>
                <w:sz w:val="20"/>
                <w:szCs w:val="20"/>
              </w:rPr>
              <w:t>Net Asset Value on that date</w:t>
            </w:r>
          </w:p>
        </w:tc>
      </w:tr>
    </w:tbl>
    <w:p w:rsidR="00EE0E0F" w:rsidRDefault="00EE0E0F">
      <w:pPr>
        <w:spacing w:after="180"/>
      </w:pPr>
    </w:p>
    <w:p w:rsidR="00EE0E0F" w:rsidRDefault="00104130">
      <w:pPr>
        <w:pStyle w:val="Heading3"/>
      </w:pPr>
      <w:bookmarkStart w:id="25" w:name="_Toc234514558"/>
      <w:proofErr w:type="spellStart"/>
      <w:r>
        <w:t>fact_transactions</w:t>
      </w:r>
      <w:bookmarkEnd w:id="25"/>
      <w:proofErr w:type="spellEnd"/>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93"/>
        <w:gridCol w:w="2813"/>
        <w:gridCol w:w="3094"/>
      </w:tblGrid>
      <w:tr w:rsidR="00EE0E0F">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rsidR="00EE0E0F" w:rsidRDefault="00104130">
            <w:r>
              <w:rPr>
                <w:b/>
                <w:bCs/>
                <w:color w:val="FFFFFF"/>
                <w:sz w:val="20"/>
                <w:szCs w:val="20"/>
              </w:rPr>
              <w:t>Column</w:t>
            </w:r>
          </w:p>
        </w:tc>
        <w:tc>
          <w:tcPr>
            <w:tcW w:w="2000" w:type="dxa"/>
            <w:shd w:val="clear" w:color="auto" w:fill="1F3864"/>
            <w:tcMar>
              <w:top w:w="80" w:type="dxa"/>
              <w:left w:w="100" w:type="dxa"/>
              <w:bottom w:w="80" w:type="dxa"/>
              <w:right w:w="100" w:type="dxa"/>
            </w:tcMar>
            <w:vAlign w:val="center"/>
          </w:tcPr>
          <w:p w:rsidR="00EE0E0F" w:rsidRDefault="00104130">
            <w:r>
              <w:rPr>
                <w:b/>
                <w:bCs/>
                <w:color w:val="FFFFFF"/>
                <w:sz w:val="20"/>
                <w:szCs w:val="20"/>
              </w:rPr>
              <w:t>Type</w:t>
            </w:r>
          </w:p>
        </w:tc>
        <w:tc>
          <w:tcPr>
            <w:tcW w:w="2200" w:type="dxa"/>
            <w:shd w:val="clear" w:color="auto" w:fill="1F3864"/>
            <w:tcMar>
              <w:top w:w="80" w:type="dxa"/>
              <w:left w:w="100" w:type="dxa"/>
              <w:bottom w:w="80" w:type="dxa"/>
              <w:right w:w="100" w:type="dxa"/>
            </w:tcMar>
            <w:vAlign w:val="center"/>
          </w:tcPr>
          <w:p w:rsidR="00EE0E0F" w:rsidRDefault="00104130">
            <w:r>
              <w:rPr>
                <w:b/>
                <w:bCs/>
                <w:color w:val="FFFFFF"/>
                <w:sz w:val="20"/>
                <w:szCs w:val="20"/>
              </w:rPr>
              <w:t>Description</w:t>
            </w:r>
          </w:p>
        </w:tc>
      </w:tr>
      <w:tr w:rsidR="00EE0E0F">
        <w:tblPrEx>
          <w:tblCellMar>
            <w:top w:w="0" w:type="dxa"/>
            <w:bottom w:w="0" w:type="dxa"/>
          </w:tblCellMar>
        </w:tblPrEx>
        <w:tc>
          <w:tcPr>
            <w:tcW w:w="2200" w:type="dxa"/>
            <w:tcMar>
              <w:top w:w="80" w:type="dxa"/>
              <w:left w:w="100" w:type="dxa"/>
              <w:bottom w:w="80" w:type="dxa"/>
              <w:right w:w="100" w:type="dxa"/>
            </w:tcMar>
            <w:vAlign w:val="center"/>
          </w:tcPr>
          <w:p w:rsidR="00EE0E0F" w:rsidRDefault="00104130">
            <w:proofErr w:type="spellStart"/>
            <w:r>
              <w:rPr>
                <w:color w:val="222222"/>
                <w:sz w:val="20"/>
                <w:szCs w:val="20"/>
              </w:rPr>
              <w:t>investor_id</w:t>
            </w:r>
            <w:proofErr w:type="spellEnd"/>
          </w:p>
        </w:tc>
        <w:tc>
          <w:tcPr>
            <w:tcW w:w="2000" w:type="dxa"/>
            <w:tcMar>
              <w:top w:w="80" w:type="dxa"/>
              <w:left w:w="100" w:type="dxa"/>
              <w:bottom w:w="80" w:type="dxa"/>
              <w:right w:w="100" w:type="dxa"/>
            </w:tcMar>
            <w:vAlign w:val="center"/>
          </w:tcPr>
          <w:p w:rsidR="00EE0E0F" w:rsidRDefault="00104130">
            <w:r>
              <w:rPr>
                <w:color w:val="222222"/>
                <w:sz w:val="20"/>
                <w:szCs w:val="20"/>
              </w:rPr>
              <w:t>INTEGER</w:t>
            </w:r>
          </w:p>
        </w:tc>
        <w:tc>
          <w:tcPr>
            <w:tcW w:w="2200" w:type="dxa"/>
            <w:tcMar>
              <w:top w:w="80" w:type="dxa"/>
              <w:left w:w="100" w:type="dxa"/>
              <w:bottom w:w="80" w:type="dxa"/>
              <w:right w:w="100" w:type="dxa"/>
            </w:tcMar>
            <w:vAlign w:val="center"/>
          </w:tcPr>
          <w:p w:rsidR="00EE0E0F" w:rsidRDefault="00104130">
            <w:r>
              <w:rPr>
                <w:color w:val="222222"/>
                <w:sz w:val="20"/>
                <w:szCs w:val="20"/>
              </w:rPr>
              <w:t>Unique investor identifier</w:t>
            </w:r>
          </w:p>
        </w:tc>
      </w:tr>
      <w:tr w:rsidR="00EE0E0F">
        <w:tblPrEx>
          <w:tblCellMar>
            <w:top w:w="0" w:type="dxa"/>
            <w:bottom w:w="0" w:type="dxa"/>
          </w:tblCellMar>
        </w:tblPrEx>
        <w:tc>
          <w:tcPr>
            <w:tcW w:w="2200" w:type="dxa"/>
            <w:shd w:val="clear" w:color="auto" w:fill="F2F6FB"/>
            <w:tcMar>
              <w:top w:w="80" w:type="dxa"/>
              <w:left w:w="100" w:type="dxa"/>
              <w:bottom w:w="80" w:type="dxa"/>
              <w:right w:w="100" w:type="dxa"/>
            </w:tcMar>
            <w:vAlign w:val="center"/>
          </w:tcPr>
          <w:p w:rsidR="00EE0E0F" w:rsidRDefault="00104130">
            <w:proofErr w:type="spellStart"/>
            <w:r>
              <w:rPr>
                <w:color w:val="222222"/>
                <w:sz w:val="20"/>
                <w:szCs w:val="20"/>
              </w:rPr>
              <w:t>amfi_code</w:t>
            </w:r>
            <w:proofErr w:type="spellEnd"/>
          </w:p>
        </w:tc>
        <w:tc>
          <w:tcPr>
            <w:tcW w:w="2000" w:type="dxa"/>
            <w:shd w:val="clear" w:color="auto" w:fill="F2F6FB"/>
            <w:tcMar>
              <w:top w:w="80" w:type="dxa"/>
              <w:left w:w="100" w:type="dxa"/>
              <w:bottom w:w="80" w:type="dxa"/>
              <w:right w:w="100" w:type="dxa"/>
            </w:tcMar>
            <w:vAlign w:val="center"/>
          </w:tcPr>
          <w:p w:rsidR="00EE0E0F" w:rsidRDefault="00104130">
            <w:r>
              <w:rPr>
                <w:color w:val="222222"/>
                <w:sz w:val="20"/>
                <w:szCs w:val="20"/>
              </w:rPr>
              <w:t>INTEGER</w:t>
            </w:r>
          </w:p>
        </w:tc>
        <w:tc>
          <w:tcPr>
            <w:tcW w:w="2200" w:type="dxa"/>
            <w:shd w:val="clear" w:color="auto" w:fill="F2F6FB"/>
            <w:tcMar>
              <w:top w:w="80" w:type="dxa"/>
              <w:left w:w="100" w:type="dxa"/>
              <w:bottom w:w="80" w:type="dxa"/>
              <w:right w:w="100" w:type="dxa"/>
            </w:tcMar>
            <w:vAlign w:val="center"/>
          </w:tcPr>
          <w:p w:rsidR="00EE0E0F" w:rsidRDefault="00104130">
            <w:r>
              <w:rPr>
                <w:color w:val="222222"/>
                <w:sz w:val="20"/>
                <w:szCs w:val="20"/>
              </w:rPr>
              <w:t xml:space="preserve">Foreign key to </w:t>
            </w:r>
            <w:proofErr w:type="spellStart"/>
            <w:r>
              <w:rPr>
                <w:color w:val="222222"/>
                <w:sz w:val="20"/>
                <w:szCs w:val="20"/>
              </w:rPr>
              <w:t>dim_fund</w:t>
            </w:r>
            <w:proofErr w:type="spellEnd"/>
          </w:p>
        </w:tc>
      </w:tr>
      <w:tr w:rsidR="00EE0E0F">
        <w:tblPrEx>
          <w:tblCellMar>
            <w:top w:w="0" w:type="dxa"/>
            <w:bottom w:w="0" w:type="dxa"/>
          </w:tblCellMar>
        </w:tblPrEx>
        <w:tc>
          <w:tcPr>
            <w:tcW w:w="2200" w:type="dxa"/>
            <w:tcMar>
              <w:top w:w="80" w:type="dxa"/>
              <w:left w:w="100" w:type="dxa"/>
              <w:bottom w:w="80" w:type="dxa"/>
              <w:right w:w="100" w:type="dxa"/>
            </w:tcMar>
            <w:vAlign w:val="center"/>
          </w:tcPr>
          <w:p w:rsidR="00EE0E0F" w:rsidRDefault="00104130">
            <w:proofErr w:type="spellStart"/>
            <w:r>
              <w:rPr>
                <w:color w:val="222222"/>
                <w:sz w:val="20"/>
                <w:szCs w:val="20"/>
              </w:rPr>
              <w:t>transaction_date</w:t>
            </w:r>
            <w:proofErr w:type="spellEnd"/>
          </w:p>
        </w:tc>
        <w:tc>
          <w:tcPr>
            <w:tcW w:w="2000" w:type="dxa"/>
            <w:tcMar>
              <w:top w:w="80" w:type="dxa"/>
              <w:left w:w="100" w:type="dxa"/>
              <w:bottom w:w="80" w:type="dxa"/>
              <w:right w:w="100" w:type="dxa"/>
            </w:tcMar>
            <w:vAlign w:val="center"/>
          </w:tcPr>
          <w:p w:rsidR="00EE0E0F" w:rsidRDefault="00104130">
            <w:r>
              <w:rPr>
                <w:color w:val="222222"/>
                <w:sz w:val="20"/>
                <w:szCs w:val="20"/>
              </w:rPr>
              <w:t>DATE</w:t>
            </w:r>
          </w:p>
        </w:tc>
        <w:tc>
          <w:tcPr>
            <w:tcW w:w="2200" w:type="dxa"/>
            <w:tcMar>
              <w:top w:w="80" w:type="dxa"/>
              <w:left w:w="100" w:type="dxa"/>
              <w:bottom w:w="80" w:type="dxa"/>
              <w:right w:w="100" w:type="dxa"/>
            </w:tcMar>
            <w:vAlign w:val="center"/>
          </w:tcPr>
          <w:p w:rsidR="00EE0E0F" w:rsidRDefault="00104130">
            <w:r>
              <w:rPr>
                <w:color w:val="222222"/>
                <w:sz w:val="20"/>
                <w:szCs w:val="20"/>
              </w:rPr>
              <w:t>Date of transaction</w:t>
            </w:r>
          </w:p>
        </w:tc>
      </w:tr>
      <w:tr w:rsidR="00EE0E0F">
        <w:tblPrEx>
          <w:tblCellMar>
            <w:top w:w="0" w:type="dxa"/>
            <w:bottom w:w="0" w:type="dxa"/>
          </w:tblCellMar>
        </w:tblPrEx>
        <w:tc>
          <w:tcPr>
            <w:tcW w:w="2200" w:type="dxa"/>
            <w:shd w:val="clear" w:color="auto" w:fill="F2F6FB"/>
            <w:tcMar>
              <w:top w:w="80" w:type="dxa"/>
              <w:left w:w="100" w:type="dxa"/>
              <w:bottom w:w="80" w:type="dxa"/>
              <w:right w:w="100" w:type="dxa"/>
            </w:tcMar>
            <w:vAlign w:val="center"/>
          </w:tcPr>
          <w:p w:rsidR="00EE0E0F" w:rsidRDefault="00104130">
            <w:proofErr w:type="spellStart"/>
            <w:r>
              <w:rPr>
                <w:color w:val="222222"/>
                <w:sz w:val="20"/>
                <w:szCs w:val="20"/>
              </w:rPr>
              <w:lastRenderedPageBreak/>
              <w:t>transaction_type</w:t>
            </w:r>
            <w:proofErr w:type="spellEnd"/>
          </w:p>
        </w:tc>
        <w:tc>
          <w:tcPr>
            <w:tcW w:w="2000" w:type="dxa"/>
            <w:shd w:val="clear" w:color="auto" w:fill="F2F6FB"/>
            <w:tcMar>
              <w:top w:w="80" w:type="dxa"/>
              <w:left w:w="100" w:type="dxa"/>
              <w:bottom w:w="80" w:type="dxa"/>
              <w:right w:w="100" w:type="dxa"/>
            </w:tcMar>
            <w:vAlign w:val="center"/>
          </w:tcPr>
          <w:p w:rsidR="00EE0E0F" w:rsidRDefault="00104130">
            <w:r>
              <w:rPr>
                <w:color w:val="222222"/>
                <w:sz w:val="20"/>
                <w:szCs w:val="20"/>
              </w:rPr>
              <w:t>TEXT</w:t>
            </w:r>
          </w:p>
        </w:tc>
        <w:tc>
          <w:tcPr>
            <w:tcW w:w="2200" w:type="dxa"/>
            <w:shd w:val="clear" w:color="auto" w:fill="F2F6FB"/>
            <w:tcMar>
              <w:top w:w="80" w:type="dxa"/>
              <w:left w:w="100" w:type="dxa"/>
              <w:bottom w:w="80" w:type="dxa"/>
              <w:right w:w="100" w:type="dxa"/>
            </w:tcMar>
            <w:vAlign w:val="center"/>
          </w:tcPr>
          <w:p w:rsidR="00EE0E0F" w:rsidRDefault="00104130">
            <w:r>
              <w:rPr>
                <w:color w:val="222222"/>
                <w:sz w:val="20"/>
                <w:szCs w:val="20"/>
              </w:rPr>
              <w:t xml:space="preserve">SIP / </w:t>
            </w:r>
            <w:proofErr w:type="spellStart"/>
            <w:r>
              <w:rPr>
                <w:color w:val="222222"/>
                <w:sz w:val="20"/>
                <w:szCs w:val="20"/>
              </w:rPr>
              <w:t>Lumpsum</w:t>
            </w:r>
            <w:proofErr w:type="spellEnd"/>
            <w:r>
              <w:rPr>
                <w:color w:val="222222"/>
                <w:sz w:val="20"/>
                <w:szCs w:val="20"/>
              </w:rPr>
              <w:t xml:space="preserve"> / Redemption</w:t>
            </w:r>
          </w:p>
        </w:tc>
      </w:tr>
      <w:tr w:rsidR="00EE0E0F">
        <w:tblPrEx>
          <w:tblCellMar>
            <w:top w:w="0" w:type="dxa"/>
            <w:bottom w:w="0" w:type="dxa"/>
          </w:tblCellMar>
        </w:tblPrEx>
        <w:tc>
          <w:tcPr>
            <w:tcW w:w="2200" w:type="dxa"/>
            <w:tcMar>
              <w:top w:w="80" w:type="dxa"/>
              <w:left w:w="100" w:type="dxa"/>
              <w:bottom w:w="80" w:type="dxa"/>
              <w:right w:w="100" w:type="dxa"/>
            </w:tcMar>
            <w:vAlign w:val="center"/>
          </w:tcPr>
          <w:p w:rsidR="00EE0E0F" w:rsidRDefault="00104130">
            <w:proofErr w:type="spellStart"/>
            <w:r>
              <w:rPr>
                <w:color w:val="222222"/>
                <w:sz w:val="20"/>
                <w:szCs w:val="20"/>
              </w:rPr>
              <w:t>amount_inr</w:t>
            </w:r>
            <w:proofErr w:type="spellEnd"/>
          </w:p>
        </w:tc>
        <w:tc>
          <w:tcPr>
            <w:tcW w:w="2000" w:type="dxa"/>
            <w:tcMar>
              <w:top w:w="80" w:type="dxa"/>
              <w:left w:w="100" w:type="dxa"/>
              <w:bottom w:w="80" w:type="dxa"/>
              <w:right w:w="100" w:type="dxa"/>
            </w:tcMar>
            <w:vAlign w:val="center"/>
          </w:tcPr>
          <w:p w:rsidR="00EE0E0F" w:rsidRDefault="00104130">
            <w:r>
              <w:rPr>
                <w:color w:val="222222"/>
                <w:sz w:val="20"/>
                <w:szCs w:val="20"/>
              </w:rPr>
              <w:t>REAL</w:t>
            </w:r>
          </w:p>
        </w:tc>
        <w:tc>
          <w:tcPr>
            <w:tcW w:w="2200" w:type="dxa"/>
            <w:tcMar>
              <w:top w:w="80" w:type="dxa"/>
              <w:left w:w="100" w:type="dxa"/>
              <w:bottom w:w="80" w:type="dxa"/>
              <w:right w:w="100" w:type="dxa"/>
            </w:tcMar>
            <w:vAlign w:val="center"/>
          </w:tcPr>
          <w:p w:rsidR="00EE0E0F" w:rsidRDefault="00104130">
            <w:r>
              <w:rPr>
                <w:color w:val="222222"/>
                <w:sz w:val="20"/>
                <w:szCs w:val="20"/>
              </w:rPr>
              <w:t>Transaction amount in INR</w:t>
            </w:r>
          </w:p>
        </w:tc>
      </w:tr>
    </w:tbl>
    <w:p w:rsidR="00EE0E0F" w:rsidRDefault="00EE0E0F">
      <w:pPr>
        <w:spacing w:after="180"/>
      </w:pPr>
    </w:p>
    <w:p w:rsidR="00EE0E0F" w:rsidRDefault="00104130">
      <w:pPr>
        <w:pStyle w:val="Heading3"/>
      </w:pPr>
      <w:bookmarkStart w:id="26" w:name="_Toc234514559"/>
      <w:proofErr w:type="spellStart"/>
      <w:r>
        <w:t>fact_performance</w:t>
      </w:r>
      <w:bookmarkEnd w:id="26"/>
      <w:proofErr w:type="spellEnd"/>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EE0E0F">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rsidR="00EE0E0F" w:rsidRDefault="00104130">
            <w:r>
              <w:rPr>
                <w:b/>
                <w:bCs/>
                <w:color w:val="FFFFFF"/>
                <w:sz w:val="20"/>
                <w:szCs w:val="20"/>
              </w:rPr>
              <w:t>Column</w:t>
            </w:r>
          </w:p>
        </w:tc>
        <w:tc>
          <w:tcPr>
            <w:tcW w:w="2200" w:type="dxa"/>
            <w:shd w:val="clear" w:color="auto" w:fill="1F3864"/>
            <w:tcMar>
              <w:top w:w="80" w:type="dxa"/>
              <w:left w:w="100" w:type="dxa"/>
              <w:bottom w:w="80" w:type="dxa"/>
              <w:right w:w="100" w:type="dxa"/>
            </w:tcMar>
            <w:vAlign w:val="center"/>
          </w:tcPr>
          <w:p w:rsidR="00EE0E0F" w:rsidRDefault="00104130">
            <w:r>
              <w:rPr>
                <w:b/>
                <w:bCs/>
                <w:color w:val="FFFFFF"/>
                <w:sz w:val="20"/>
                <w:szCs w:val="20"/>
              </w:rPr>
              <w:t>Type</w:t>
            </w:r>
          </w:p>
        </w:tc>
        <w:tc>
          <w:tcPr>
            <w:tcW w:w="2200" w:type="dxa"/>
            <w:shd w:val="clear" w:color="auto" w:fill="1F3864"/>
            <w:tcMar>
              <w:top w:w="80" w:type="dxa"/>
              <w:left w:w="100" w:type="dxa"/>
              <w:bottom w:w="80" w:type="dxa"/>
              <w:right w:w="100" w:type="dxa"/>
            </w:tcMar>
            <w:vAlign w:val="center"/>
          </w:tcPr>
          <w:p w:rsidR="00EE0E0F" w:rsidRDefault="00104130">
            <w:r>
              <w:rPr>
                <w:b/>
                <w:bCs/>
                <w:color w:val="FFFFFF"/>
                <w:sz w:val="20"/>
                <w:szCs w:val="20"/>
              </w:rPr>
              <w:t>Description</w:t>
            </w:r>
          </w:p>
        </w:tc>
      </w:tr>
      <w:tr w:rsidR="00EE0E0F">
        <w:tblPrEx>
          <w:tblCellMar>
            <w:top w:w="0" w:type="dxa"/>
            <w:bottom w:w="0" w:type="dxa"/>
          </w:tblCellMar>
        </w:tblPrEx>
        <w:tc>
          <w:tcPr>
            <w:tcW w:w="2200" w:type="dxa"/>
            <w:tcMar>
              <w:top w:w="80" w:type="dxa"/>
              <w:left w:w="100" w:type="dxa"/>
              <w:bottom w:w="80" w:type="dxa"/>
              <w:right w:w="100" w:type="dxa"/>
            </w:tcMar>
            <w:vAlign w:val="center"/>
          </w:tcPr>
          <w:p w:rsidR="00EE0E0F" w:rsidRDefault="00104130">
            <w:proofErr w:type="spellStart"/>
            <w:r>
              <w:rPr>
                <w:color w:val="222222"/>
                <w:sz w:val="20"/>
                <w:szCs w:val="20"/>
              </w:rPr>
              <w:t>amfi_code</w:t>
            </w:r>
            <w:proofErr w:type="spellEnd"/>
          </w:p>
        </w:tc>
        <w:tc>
          <w:tcPr>
            <w:tcW w:w="2200" w:type="dxa"/>
            <w:tcMar>
              <w:top w:w="80" w:type="dxa"/>
              <w:left w:w="100" w:type="dxa"/>
              <w:bottom w:w="80" w:type="dxa"/>
              <w:right w:w="100" w:type="dxa"/>
            </w:tcMar>
            <w:vAlign w:val="center"/>
          </w:tcPr>
          <w:p w:rsidR="00EE0E0F" w:rsidRDefault="00104130">
            <w:r>
              <w:rPr>
                <w:color w:val="222222"/>
                <w:sz w:val="20"/>
                <w:szCs w:val="20"/>
              </w:rPr>
              <w:t>INTEGER</w:t>
            </w:r>
          </w:p>
        </w:tc>
        <w:tc>
          <w:tcPr>
            <w:tcW w:w="2200" w:type="dxa"/>
            <w:tcMar>
              <w:top w:w="80" w:type="dxa"/>
              <w:left w:w="100" w:type="dxa"/>
              <w:bottom w:w="80" w:type="dxa"/>
              <w:right w:w="100" w:type="dxa"/>
            </w:tcMar>
            <w:vAlign w:val="center"/>
          </w:tcPr>
          <w:p w:rsidR="00EE0E0F" w:rsidRDefault="00104130">
            <w:r>
              <w:rPr>
                <w:color w:val="222222"/>
                <w:sz w:val="20"/>
                <w:szCs w:val="20"/>
              </w:rPr>
              <w:t xml:space="preserve">Foreign key to </w:t>
            </w:r>
            <w:proofErr w:type="spellStart"/>
            <w:r>
              <w:rPr>
                <w:color w:val="222222"/>
                <w:sz w:val="20"/>
                <w:szCs w:val="20"/>
              </w:rPr>
              <w:t>dim_fund</w:t>
            </w:r>
            <w:proofErr w:type="spellEnd"/>
          </w:p>
        </w:tc>
      </w:tr>
      <w:tr w:rsidR="00EE0E0F">
        <w:tblPrEx>
          <w:tblCellMar>
            <w:top w:w="0" w:type="dxa"/>
            <w:bottom w:w="0" w:type="dxa"/>
          </w:tblCellMar>
        </w:tblPrEx>
        <w:tc>
          <w:tcPr>
            <w:tcW w:w="2200" w:type="dxa"/>
            <w:shd w:val="clear" w:color="auto" w:fill="F2F6FB"/>
            <w:tcMar>
              <w:top w:w="80" w:type="dxa"/>
              <w:left w:w="100" w:type="dxa"/>
              <w:bottom w:w="80" w:type="dxa"/>
              <w:right w:w="100" w:type="dxa"/>
            </w:tcMar>
            <w:vAlign w:val="center"/>
          </w:tcPr>
          <w:p w:rsidR="00EE0E0F" w:rsidRDefault="00104130">
            <w:r>
              <w:rPr>
                <w:color w:val="222222"/>
                <w:sz w:val="20"/>
                <w:szCs w:val="20"/>
              </w:rPr>
              <w:t>return_1yr_pct</w:t>
            </w:r>
          </w:p>
        </w:tc>
        <w:tc>
          <w:tcPr>
            <w:tcW w:w="2200" w:type="dxa"/>
            <w:shd w:val="clear" w:color="auto" w:fill="F2F6FB"/>
            <w:tcMar>
              <w:top w:w="80" w:type="dxa"/>
              <w:left w:w="100" w:type="dxa"/>
              <w:bottom w:w="80" w:type="dxa"/>
              <w:right w:w="100" w:type="dxa"/>
            </w:tcMar>
            <w:vAlign w:val="center"/>
          </w:tcPr>
          <w:p w:rsidR="00EE0E0F" w:rsidRDefault="00104130">
            <w:r>
              <w:rPr>
                <w:color w:val="222222"/>
                <w:sz w:val="20"/>
                <w:szCs w:val="20"/>
              </w:rPr>
              <w:t>REAL</w:t>
            </w:r>
          </w:p>
        </w:tc>
        <w:tc>
          <w:tcPr>
            <w:tcW w:w="2200" w:type="dxa"/>
            <w:shd w:val="clear" w:color="auto" w:fill="F2F6FB"/>
            <w:tcMar>
              <w:top w:w="80" w:type="dxa"/>
              <w:left w:w="100" w:type="dxa"/>
              <w:bottom w:w="80" w:type="dxa"/>
              <w:right w:w="100" w:type="dxa"/>
            </w:tcMar>
            <w:vAlign w:val="center"/>
          </w:tcPr>
          <w:p w:rsidR="00EE0E0F" w:rsidRDefault="00104130">
            <w:r>
              <w:rPr>
                <w:color w:val="222222"/>
                <w:sz w:val="20"/>
                <w:szCs w:val="20"/>
              </w:rPr>
              <w:t>1-year trailing return (%)</w:t>
            </w:r>
          </w:p>
        </w:tc>
      </w:tr>
      <w:tr w:rsidR="00EE0E0F">
        <w:tblPrEx>
          <w:tblCellMar>
            <w:top w:w="0" w:type="dxa"/>
            <w:bottom w:w="0" w:type="dxa"/>
          </w:tblCellMar>
        </w:tblPrEx>
        <w:tc>
          <w:tcPr>
            <w:tcW w:w="2200" w:type="dxa"/>
            <w:tcMar>
              <w:top w:w="80" w:type="dxa"/>
              <w:left w:w="100" w:type="dxa"/>
              <w:bottom w:w="80" w:type="dxa"/>
              <w:right w:w="100" w:type="dxa"/>
            </w:tcMar>
            <w:vAlign w:val="center"/>
          </w:tcPr>
          <w:p w:rsidR="00EE0E0F" w:rsidRDefault="00104130">
            <w:r>
              <w:rPr>
                <w:color w:val="222222"/>
                <w:sz w:val="20"/>
                <w:szCs w:val="20"/>
              </w:rPr>
              <w:t>return_3yr_pct</w:t>
            </w:r>
          </w:p>
        </w:tc>
        <w:tc>
          <w:tcPr>
            <w:tcW w:w="2200" w:type="dxa"/>
            <w:tcMar>
              <w:top w:w="80" w:type="dxa"/>
              <w:left w:w="100" w:type="dxa"/>
              <w:bottom w:w="80" w:type="dxa"/>
              <w:right w:w="100" w:type="dxa"/>
            </w:tcMar>
            <w:vAlign w:val="center"/>
          </w:tcPr>
          <w:p w:rsidR="00EE0E0F" w:rsidRDefault="00104130">
            <w:r>
              <w:rPr>
                <w:color w:val="222222"/>
                <w:sz w:val="20"/>
                <w:szCs w:val="20"/>
              </w:rPr>
              <w:t>REAL</w:t>
            </w:r>
          </w:p>
        </w:tc>
        <w:tc>
          <w:tcPr>
            <w:tcW w:w="2200" w:type="dxa"/>
            <w:tcMar>
              <w:top w:w="80" w:type="dxa"/>
              <w:left w:w="100" w:type="dxa"/>
              <w:bottom w:w="80" w:type="dxa"/>
              <w:right w:w="100" w:type="dxa"/>
            </w:tcMar>
            <w:vAlign w:val="center"/>
          </w:tcPr>
          <w:p w:rsidR="00EE0E0F" w:rsidRDefault="00104130">
            <w:r>
              <w:rPr>
                <w:color w:val="222222"/>
                <w:sz w:val="20"/>
                <w:szCs w:val="20"/>
              </w:rPr>
              <w:t>3-year trailing return (%)</w:t>
            </w:r>
          </w:p>
        </w:tc>
      </w:tr>
      <w:tr w:rsidR="00EE0E0F">
        <w:tblPrEx>
          <w:tblCellMar>
            <w:top w:w="0" w:type="dxa"/>
            <w:bottom w:w="0" w:type="dxa"/>
          </w:tblCellMar>
        </w:tblPrEx>
        <w:tc>
          <w:tcPr>
            <w:tcW w:w="2200" w:type="dxa"/>
            <w:shd w:val="clear" w:color="auto" w:fill="F2F6FB"/>
            <w:tcMar>
              <w:top w:w="80" w:type="dxa"/>
              <w:left w:w="100" w:type="dxa"/>
              <w:bottom w:w="80" w:type="dxa"/>
              <w:right w:w="100" w:type="dxa"/>
            </w:tcMar>
            <w:vAlign w:val="center"/>
          </w:tcPr>
          <w:p w:rsidR="00EE0E0F" w:rsidRDefault="00104130">
            <w:r>
              <w:rPr>
                <w:color w:val="222222"/>
                <w:sz w:val="20"/>
                <w:szCs w:val="20"/>
              </w:rPr>
              <w:t>return_5yr_pct</w:t>
            </w:r>
          </w:p>
        </w:tc>
        <w:tc>
          <w:tcPr>
            <w:tcW w:w="2200" w:type="dxa"/>
            <w:shd w:val="clear" w:color="auto" w:fill="F2F6FB"/>
            <w:tcMar>
              <w:top w:w="80" w:type="dxa"/>
              <w:left w:w="100" w:type="dxa"/>
              <w:bottom w:w="80" w:type="dxa"/>
              <w:right w:w="100" w:type="dxa"/>
            </w:tcMar>
            <w:vAlign w:val="center"/>
          </w:tcPr>
          <w:p w:rsidR="00EE0E0F" w:rsidRDefault="00104130">
            <w:r>
              <w:rPr>
                <w:color w:val="222222"/>
                <w:sz w:val="20"/>
                <w:szCs w:val="20"/>
              </w:rPr>
              <w:t>REAL</w:t>
            </w:r>
          </w:p>
        </w:tc>
        <w:tc>
          <w:tcPr>
            <w:tcW w:w="2200" w:type="dxa"/>
            <w:shd w:val="clear" w:color="auto" w:fill="F2F6FB"/>
            <w:tcMar>
              <w:top w:w="80" w:type="dxa"/>
              <w:left w:w="100" w:type="dxa"/>
              <w:bottom w:w="80" w:type="dxa"/>
              <w:right w:w="100" w:type="dxa"/>
            </w:tcMar>
            <w:vAlign w:val="center"/>
          </w:tcPr>
          <w:p w:rsidR="00EE0E0F" w:rsidRDefault="00104130">
            <w:r>
              <w:rPr>
                <w:color w:val="222222"/>
                <w:sz w:val="20"/>
                <w:szCs w:val="20"/>
              </w:rPr>
              <w:t>5-year trailing return (%)</w:t>
            </w:r>
          </w:p>
        </w:tc>
      </w:tr>
      <w:tr w:rsidR="00EE0E0F">
        <w:tblPrEx>
          <w:tblCellMar>
            <w:top w:w="0" w:type="dxa"/>
            <w:bottom w:w="0" w:type="dxa"/>
          </w:tblCellMar>
        </w:tblPrEx>
        <w:tc>
          <w:tcPr>
            <w:tcW w:w="2200" w:type="dxa"/>
            <w:tcMar>
              <w:top w:w="80" w:type="dxa"/>
              <w:left w:w="100" w:type="dxa"/>
              <w:bottom w:w="80" w:type="dxa"/>
              <w:right w:w="100" w:type="dxa"/>
            </w:tcMar>
            <w:vAlign w:val="center"/>
          </w:tcPr>
          <w:p w:rsidR="00EE0E0F" w:rsidRDefault="00104130">
            <w:proofErr w:type="spellStart"/>
            <w:r>
              <w:rPr>
                <w:color w:val="222222"/>
                <w:sz w:val="20"/>
                <w:szCs w:val="20"/>
              </w:rPr>
              <w:t>expense_ratio_pct</w:t>
            </w:r>
            <w:proofErr w:type="spellEnd"/>
          </w:p>
        </w:tc>
        <w:tc>
          <w:tcPr>
            <w:tcW w:w="2200" w:type="dxa"/>
            <w:tcMar>
              <w:top w:w="80" w:type="dxa"/>
              <w:left w:w="100" w:type="dxa"/>
              <w:bottom w:w="80" w:type="dxa"/>
              <w:right w:w="100" w:type="dxa"/>
            </w:tcMar>
            <w:vAlign w:val="center"/>
          </w:tcPr>
          <w:p w:rsidR="00EE0E0F" w:rsidRDefault="00104130">
            <w:r>
              <w:rPr>
                <w:color w:val="222222"/>
                <w:sz w:val="20"/>
                <w:szCs w:val="20"/>
              </w:rPr>
              <w:t>REAL</w:t>
            </w:r>
          </w:p>
        </w:tc>
        <w:tc>
          <w:tcPr>
            <w:tcW w:w="2200" w:type="dxa"/>
            <w:tcMar>
              <w:top w:w="80" w:type="dxa"/>
              <w:left w:w="100" w:type="dxa"/>
              <w:bottom w:w="80" w:type="dxa"/>
              <w:right w:w="100" w:type="dxa"/>
            </w:tcMar>
            <w:vAlign w:val="center"/>
          </w:tcPr>
          <w:p w:rsidR="00EE0E0F" w:rsidRDefault="00104130">
            <w:r>
              <w:rPr>
                <w:color w:val="222222"/>
                <w:sz w:val="20"/>
                <w:szCs w:val="20"/>
              </w:rPr>
              <w:t>Total expense ratio (%)</w:t>
            </w:r>
          </w:p>
        </w:tc>
      </w:tr>
    </w:tbl>
    <w:p w:rsidR="00EE0E0F" w:rsidRDefault="00EE0E0F">
      <w:pPr>
        <w:spacing w:after="200"/>
      </w:pPr>
    </w:p>
    <w:p w:rsidR="00EE0E0F" w:rsidRDefault="00104130">
      <w:pPr>
        <w:pStyle w:val="Heading2"/>
        <w:spacing w:before="300" w:after="150"/>
      </w:pPr>
      <w:bookmarkStart w:id="27" w:name="_Toc234514560"/>
      <w:r>
        <w:t>6.3 Database Statistics</w:t>
      </w:r>
      <w:bookmarkEnd w:id="27"/>
    </w:p>
    <w:p w:rsidR="00EE0E0F" w:rsidRDefault="00104130">
      <w:pPr>
        <w:spacing w:after="160" w:line="300" w:lineRule="auto"/>
        <w:jc w:val="both"/>
      </w:pPr>
      <w:r>
        <w:t>After loading, the database contains the following record counts, confirming successful and complete data population:</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EE0E0F">
        <w:tblPrEx>
          <w:tblCellMar>
            <w:top w:w="0" w:type="dxa"/>
            <w:bottom w:w="0" w:type="dxa"/>
          </w:tblCellMar>
        </w:tblPrEx>
        <w:trPr>
          <w:tblHeader/>
        </w:trPr>
        <w:tc>
          <w:tcPr>
            <w:tcW w:w="4500" w:type="dxa"/>
            <w:shd w:val="clear" w:color="auto" w:fill="1F3864"/>
            <w:tcMar>
              <w:top w:w="80" w:type="dxa"/>
              <w:left w:w="100" w:type="dxa"/>
              <w:bottom w:w="80" w:type="dxa"/>
              <w:right w:w="100" w:type="dxa"/>
            </w:tcMar>
            <w:vAlign w:val="center"/>
          </w:tcPr>
          <w:p w:rsidR="00EE0E0F" w:rsidRDefault="00104130">
            <w:r>
              <w:rPr>
                <w:b/>
                <w:bCs/>
                <w:color w:val="FFFFFF"/>
                <w:sz w:val="20"/>
                <w:szCs w:val="20"/>
              </w:rPr>
              <w:t>Table</w:t>
            </w:r>
          </w:p>
        </w:tc>
        <w:tc>
          <w:tcPr>
            <w:tcW w:w="4500" w:type="dxa"/>
            <w:shd w:val="clear" w:color="auto" w:fill="1F3864"/>
            <w:tcMar>
              <w:top w:w="80" w:type="dxa"/>
              <w:left w:w="100" w:type="dxa"/>
              <w:bottom w:w="80" w:type="dxa"/>
              <w:right w:w="100" w:type="dxa"/>
            </w:tcMar>
            <w:vAlign w:val="center"/>
          </w:tcPr>
          <w:p w:rsidR="00EE0E0F" w:rsidRDefault="00104130">
            <w:r>
              <w:rPr>
                <w:b/>
                <w:bCs/>
                <w:color w:val="FFFFFF"/>
                <w:sz w:val="20"/>
                <w:szCs w:val="20"/>
              </w:rPr>
              <w:t>Row Count</w:t>
            </w:r>
          </w:p>
        </w:tc>
      </w:tr>
      <w:tr w:rsidR="00EE0E0F">
        <w:tblPrEx>
          <w:tblCellMar>
            <w:top w:w="0" w:type="dxa"/>
            <w:bottom w:w="0" w:type="dxa"/>
          </w:tblCellMar>
        </w:tblPrEx>
        <w:tc>
          <w:tcPr>
            <w:tcW w:w="4500" w:type="dxa"/>
            <w:tcMar>
              <w:top w:w="80" w:type="dxa"/>
              <w:left w:w="100" w:type="dxa"/>
              <w:bottom w:w="80" w:type="dxa"/>
              <w:right w:w="100" w:type="dxa"/>
            </w:tcMar>
            <w:vAlign w:val="center"/>
          </w:tcPr>
          <w:p w:rsidR="00EE0E0F" w:rsidRDefault="00104130">
            <w:proofErr w:type="spellStart"/>
            <w:r>
              <w:rPr>
                <w:color w:val="222222"/>
                <w:sz w:val="20"/>
                <w:szCs w:val="20"/>
              </w:rPr>
              <w:t>dim_fund</w:t>
            </w:r>
            <w:proofErr w:type="spellEnd"/>
          </w:p>
        </w:tc>
        <w:tc>
          <w:tcPr>
            <w:tcW w:w="4500" w:type="dxa"/>
            <w:tcMar>
              <w:top w:w="80" w:type="dxa"/>
              <w:left w:w="100" w:type="dxa"/>
              <w:bottom w:w="80" w:type="dxa"/>
              <w:right w:w="100" w:type="dxa"/>
            </w:tcMar>
            <w:vAlign w:val="center"/>
          </w:tcPr>
          <w:p w:rsidR="00EE0E0F" w:rsidRDefault="00104130">
            <w:r>
              <w:rPr>
                <w:color w:val="222222"/>
                <w:sz w:val="20"/>
                <w:szCs w:val="20"/>
              </w:rPr>
              <w:t>40</w:t>
            </w:r>
          </w:p>
        </w:tc>
      </w:tr>
      <w:tr w:rsidR="00EE0E0F">
        <w:tblPrEx>
          <w:tblCellMar>
            <w:top w:w="0" w:type="dxa"/>
            <w:bottom w:w="0" w:type="dxa"/>
          </w:tblCellMar>
        </w:tblPrEx>
        <w:tc>
          <w:tcPr>
            <w:tcW w:w="4500" w:type="dxa"/>
            <w:shd w:val="clear" w:color="auto" w:fill="F2F6FB"/>
            <w:tcMar>
              <w:top w:w="80" w:type="dxa"/>
              <w:left w:w="100" w:type="dxa"/>
              <w:bottom w:w="80" w:type="dxa"/>
              <w:right w:w="100" w:type="dxa"/>
            </w:tcMar>
            <w:vAlign w:val="center"/>
          </w:tcPr>
          <w:p w:rsidR="00EE0E0F" w:rsidRDefault="00104130">
            <w:proofErr w:type="spellStart"/>
            <w:r>
              <w:rPr>
                <w:color w:val="222222"/>
                <w:sz w:val="20"/>
                <w:szCs w:val="20"/>
              </w:rPr>
              <w:t>fact_nav</w:t>
            </w:r>
            <w:proofErr w:type="spellEnd"/>
          </w:p>
        </w:tc>
        <w:tc>
          <w:tcPr>
            <w:tcW w:w="4500" w:type="dxa"/>
            <w:shd w:val="clear" w:color="auto" w:fill="F2F6FB"/>
            <w:tcMar>
              <w:top w:w="80" w:type="dxa"/>
              <w:left w:w="100" w:type="dxa"/>
              <w:bottom w:w="80" w:type="dxa"/>
              <w:right w:w="100" w:type="dxa"/>
            </w:tcMar>
            <w:vAlign w:val="center"/>
          </w:tcPr>
          <w:p w:rsidR="00EE0E0F" w:rsidRDefault="00104130">
            <w:r>
              <w:rPr>
                <w:color w:val="222222"/>
                <w:sz w:val="20"/>
                <w:szCs w:val="20"/>
              </w:rPr>
              <w:t>~46,000</w:t>
            </w:r>
          </w:p>
        </w:tc>
      </w:tr>
      <w:tr w:rsidR="00EE0E0F">
        <w:tblPrEx>
          <w:tblCellMar>
            <w:top w:w="0" w:type="dxa"/>
            <w:bottom w:w="0" w:type="dxa"/>
          </w:tblCellMar>
        </w:tblPrEx>
        <w:tc>
          <w:tcPr>
            <w:tcW w:w="4500" w:type="dxa"/>
            <w:tcMar>
              <w:top w:w="80" w:type="dxa"/>
              <w:left w:w="100" w:type="dxa"/>
              <w:bottom w:w="80" w:type="dxa"/>
              <w:right w:w="100" w:type="dxa"/>
            </w:tcMar>
            <w:vAlign w:val="center"/>
          </w:tcPr>
          <w:p w:rsidR="00EE0E0F" w:rsidRDefault="00104130">
            <w:proofErr w:type="spellStart"/>
            <w:r>
              <w:rPr>
                <w:color w:val="222222"/>
                <w:sz w:val="20"/>
                <w:szCs w:val="20"/>
              </w:rPr>
              <w:t>fact_transactions</w:t>
            </w:r>
            <w:proofErr w:type="spellEnd"/>
          </w:p>
        </w:tc>
        <w:tc>
          <w:tcPr>
            <w:tcW w:w="4500" w:type="dxa"/>
            <w:tcMar>
              <w:top w:w="80" w:type="dxa"/>
              <w:left w:w="100" w:type="dxa"/>
              <w:bottom w:w="80" w:type="dxa"/>
              <w:right w:w="100" w:type="dxa"/>
            </w:tcMar>
            <w:vAlign w:val="center"/>
          </w:tcPr>
          <w:p w:rsidR="00EE0E0F" w:rsidRDefault="00104130">
            <w:r>
              <w:rPr>
                <w:color w:val="222222"/>
                <w:sz w:val="20"/>
                <w:szCs w:val="20"/>
              </w:rPr>
              <w:t>32,778</w:t>
            </w:r>
          </w:p>
        </w:tc>
      </w:tr>
      <w:tr w:rsidR="00EE0E0F">
        <w:tblPrEx>
          <w:tblCellMar>
            <w:top w:w="0" w:type="dxa"/>
            <w:bottom w:w="0" w:type="dxa"/>
          </w:tblCellMar>
        </w:tblPrEx>
        <w:tc>
          <w:tcPr>
            <w:tcW w:w="4500" w:type="dxa"/>
            <w:shd w:val="clear" w:color="auto" w:fill="F2F6FB"/>
            <w:tcMar>
              <w:top w:w="80" w:type="dxa"/>
              <w:left w:w="100" w:type="dxa"/>
              <w:bottom w:w="80" w:type="dxa"/>
              <w:right w:w="100" w:type="dxa"/>
            </w:tcMar>
            <w:vAlign w:val="center"/>
          </w:tcPr>
          <w:p w:rsidR="00EE0E0F" w:rsidRDefault="00104130">
            <w:proofErr w:type="spellStart"/>
            <w:r>
              <w:rPr>
                <w:color w:val="222222"/>
                <w:sz w:val="20"/>
                <w:szCs w:val="20"/>
              </w:rPr>
              <w:t>fact_performance</w:t>
            </w:r>
            <w:proofErr w:type="spellEnd"/>
          </w:p>
        </w:tc>
        <w:tc>
          <w:tcPr>
            <w:tcW w:w="4500" w:type="dxa"/>
            <w:shd w:val="clear" w:color="auto" w:fill="F2F6FB"/>
            <w:tcMar>
              <w:top w:w="80" w:type="dxa"/>
              <w:left w:w="100" w:type="dxa"/>
              <w:bottom w:w="80" w:type="dxa"/>
              <w:right w:w="100" w:type="dxa"/>
            </w:tcMar>
            <w:vAlign w:val="center"/>
          </w:tcPr>
          <w:p w:rsidR="00EE0E0F" w:rsidRDefault="00104130">
            <w:r>
              <w:rPr>
                <w:color w:val="222222"/>
                <w:sz w:val="20"/>
                <w:szCs w:val="20"/>
              </w:rPr>
              <w:t>40</w:t>
            </w:r>
          </w:p>
        </w:tc>
      </w:tr>
    </w:tbl>
    <w:p w:rsidR="00EE0E0F" w:rsidRDefault="00EE0E0F">
      <w:pPr>
        <w:spacing w:after="200"/>
      </w:pPr>
    </w:p>
    <w:p w:rsidR="00EE0E0F" w:rsidRDefault="00104130">
      <w:pPr>
        <w:pStyle w:val="Heading2"/>
        <w:spacing w:before="300" w:after="150"/>
      </w:pPr>
      <w:bookmarkStart w:id="28" w:name="_Toc234514561"/>
      <w:r>
        <w:t>6.4 Schema Definition (DDL)</w:t>
      </w:r>
      <w:bookmarkEnd w:id="28"/>
    </w:p>
    <w:p w:rsidR="00EE0E0F" w:rsidRDefault="0010413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r>
        <w:rPr>
          <w:rFonts w:ascii="Consolas" w:eastAsia="Consolas" w:hAnsi="Consolas" w:cs="Consolas"/>
          <w:color w:val="222222"/>
          <w:sz w:val="18"/>
          <w:szCs w:val="18"/>
        </w:rPr>
        <w:t xml:space="preserve">CREATE TABLE </w:t>
      </w:r>
      <w:proofErr w:type="spellStart"/>
      <w:r>
        <w:rPr>
          <w:rFonts w:ascii="Consolas" w:eastAsia="Consolas" w:hAnsi="Consolas" w:cs="Consolas"/>
          <w:color w:val="222222"/>
          <w:sz w:val="18"/>
          <w:szCs w:val="18"/>
        </w:rPr>
        <w:t>dim_fund</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amfi_code</w:t>
      </w:r>
      <w:proofErr w:type="spellEnd"/>
      <w:r>
        <w:rPr>
          <w:rFonts w:ascii="Consolas" w:eastAsia="Consolas" w:hAnsi="Consolas" w:cs="Consolas"/>
          <w:color w:val="222222"/>
          <w:sz w:val="18"/>
          <w:szCs w:val="18"/>
        </w:rPr>
        <w:t xml:space="preserve"> INTEGER PRIMARY KEY,     </w:t>
      </w:r>
      <w:proofErr w:type="spellStart"/>
      <w:r>
        <w:rPr>
          <w:rFonts w:ascii="Consolas" w:eastAsia="Consolas" w:hAnsi="Consolas" w:cs="Consolas"/>
          <w:color w:val="222222"/>
          <w:sz w:val="18"/>
          <w:szCs w:val="18"/>
        </w:rPr>
        <w:t>scheme_name</w:t>
      </w:r>
      <w:proofErr w:type="spellEnd"/>
      <w:r>
        <w:rPr>
          <w:rFonts w:ascii="Consolas" w:eastAsia="Consolas" w:hAnsi="Consolas" w:cs="Consolas"/>
          <w:color w:val="222222"/>
          <w:sz w:val="18"/>
          <w:szCs w:val="18"/>
        </w:rPr>
        <w:t xml:space="preserve"> TEXT,     </w:t>
      </w:r>
      <w:proofErr w:type="spellStart"/>
      <w:r>
        <w:rPr>
          <w:rFonts w:ascii="Consolas" w:eastAsia="Consolas" w:hAnsi="Consolas" w:cs="Consolas"/>
          <w:color w:val="222222"/>
          <w:sz w:val="18"/>
          <w:szCs w:val="18"/>
        </w:rPr>
        <w:t>fund_house</w:t>
      </w:r>
      <w:proofErr w:type="spellEnd"/>
      <w:r>
        <w:rPr>
          <w:rFonts w:ascii="Consolas" w:eastAsia="Consolas" w:hAnsi="Consolas" w:cs="Consolas"/>
          <w:color w:val="222222"/>
          <w:sz w:val="18"/>
          <w:szCs w:val="18"/>
        </w:rPr>
        <w:t xml:space="preserve"> TEXT,     category TEXT );  CREATE TABLE </w:t>
      </w:r>
      <w:proofErr w:type="spellStart"/>
      <w:r>
        <w:rPr>
          <w:rFonts w:ascii="Consolas" w:eastAsia="Consolas" w:hAnsi="Consolas" w:cs="Consolas"/>
          <w:color w:val="222222"/>
          <w:sz w:val="18"/>
          <w:szCs w:val="18"/>
        </w:rPr>
        <w:t>fact_nav</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amfi_code</w:t>
      </w:r>
      <w:proofErr w:type="spellEnd"/>
      <w:r>
        <w:rPr>
          <w:rFonts w:ascii="Consolas" w:eastAsia="Consolas" w:hAnsi="Consolas" w:cs="Consolas"/>
          <w:color w:val="222222"/>
          <w:sz w:val="18"/>
          <w:szCs w:val="18"/>
        </w:rPr>
        <w:t xml:space="preserve"> INTEGER,     date </w:t>
      </w:r>
      <w:proofErr w:type="spellStart"/>
      <w:r>
        <w:rPr>
          <w:rFonts w:ascii="Consolas" w:eastAsia="Consolas" w:hAnsi="Consolas" w:cs="Consolas"/>
          <w:color w:val="222222"/>
          <w:sz w:val="18"/>
          <w:szCs w:val="18"/>
        </w:rPr>
        <w:t>DATE</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nav</w:t>
      </w:r>
      <w:proofErr w:type="spellEnd"/>
      <w:r>
        <w:rPr>
          <w:rFonts w:ascii="Consolas" w:eastAsia="Consolas" w:hAnsi="Consolas" w:cs="Consolas"/>
          <w:color w:val="222222"/>
          <w:sz w:val="18"/>
          <w:szCs w:val="18"/>
        </w:rPr>
        <w:t xml:space="preserve"> REAL );  CREATE TABLE </w:t>
      </w:r>
      <w:proofErr w:type="spellStart"/>
      <w:r>
        <w:rPr>
          <w:rFonts w:ascii="Consolas" w:eastAsia="Consolas" w:hAnsi="Consolas" w:cs="Consolas"/>
          <w:color w:val="222222"/>
          <w:sz w:val="18"/>
          <w:szCs w:val="18"/>
        </w:rPr>
        <w:t>fact_transactions</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investor_id</w:t>
      </w:r>
      <w:proofErr w:type="spellEnd"/>
      <w:r>
        <w:rPr>
          <w:rFonts w:ascii="Consolas" w:eastAsia="Consolas" w:hAnsi="Consolas" w:cs="Consolas"/>
          <w:color w:val="222222"/>
          <w:sz w:val="18"/>
          <w:szCs w:val="18"/>
        </w:rPr>
        <w:t xml:space="preserve"> INTEGER,     </w:t>
      </w:r>
      <w:proofErr w:type="spellStart"/>
      <w:r>
        <w:rPr>
          <w:rFonts w:ascii="Consolas" w:eastAsia="Consolas" w:hAnsi="Consolas" w:cs="Consolas"/>
          <w:color w:val="222222"/>
          <w:sz w:val="18"/>
          <w:szCs w:val="18"/>
        </w:rPr>
        <w:t>amfi_code</w:t>
      </w:r>
      <w:proofErr w:type="spellEnd"/>
      <w:r>
        <w:rPr>
          <w:rFonts w:ascii="Consolas" w:eastAsia="Consolas" w:hAnsi="Consolas" w:cs="Consolas"/>
          <w:color w:val="222222"/>
          <w:sz w:val="18"/>
          <w:szCs w:val="18"/>
        </w:rPr>
        <w:t xml:space="preserve"> INTEGER,     </w:t>
      </w:r>
      <w:proofErr w:type="spellStart"/>
      <w:r>
        <w:rPr>
          <w:rFonts w:ascii="Consolas" w:eastAsia="Consolas" w:hAnsi="Consolas" w:cs="Consolas"/>
          <w:color w:val="222222"/>
          <w:sz w:val="18"/>
          <w:szCs w:val="18"/>
        </w:rPr>
        <w:t>transaction_date</w:t>
      </w:r>
      <w:proofErr w:type="spellEnd"/>
      <w:r>
        <w:rPr>
          <w:rFonts w:ascii="Consolas" w:eastAsia="Consolas" w:hAnsi="Consolas" w:cs="Consolas"/>
          <w:color w:val="222222"/>
          <w:sz w:val="18"/>
          <w:szCs w:val="18"/>
        </w:rPr>
        <w:t xml:space="preserve"> DATE,     </w:t>
      </w:r>
      <w:proofErr w:type="spellStart"/>
      <w:r>
        <w:rPr>
          <w:rFonts w:ascii="Consolas" w:eastAsia="Consolas" w:hAnsi="Consolas" w:cs="Consolas"/>
          <w:color w:val="222222"/>
          <w:sz w:val="18"/>
          <w:szCs w:val="18"/>
        </w:rPr>
        <w:t>transaction_type</w:t>
      </w:r>
      <w:proofErr w:type="spellEnd"/>
      <w:r>
        <w:rPr>
          <w:rFonts w:ascii="Consolas" w:eastAsia="Consolas" w:hAnsi="Consolas" w:cs="Consolas"/>
          <w:color w:val="222222"/>
          <w:sz w:val="18"/>
          <w:szCs w:val="18"/>
        </w:rPr>
        <w:t xml:space="preserve"> TEXT,     </w:t>
      </w:r>
      <w:proofErr w:type="spellStart"/>
      <w:r>
        <w:rPr>
          <w:rFonts w:ascii="Consolas" w:eastAsia="Consolas" w:hAnsi="Consolas" w:cs="Consolas"/>
          <w:color w:val="222222"/>
          <w:sz w:val="18"/>
          <w:szCs w:val="18"/>
        </w:rPr>
        <w:t>amount_inr</w:t>
      </w:r>
      <w:proofErr w:type="spellEnd"/>
      <w:r>
        <w:rPr>
          <w:rFonts w:ascii="Consolas" w:eastAsia="Consolas" w:hAnsi="Consolas" w:cs="Consolas"/>
          <w:color w:val="222222"/>
          <w:sz w:val="18"/>
          <w:szCs w:val="18"/>
        </w:rPr>
        <w:t xml:space="preserve"> REAL );  CREATE TABLE </w:t>
      </w:r>
      <w:proofErr w:type="spellStart"/>
      <w:r>
        <w:rPr>
          <w:rFonts w:ascii="Consolas" w:eastAsia="Consolas" w:hAnsi="Consolas" w:cs="Consolas"/>
          <w:color w:val="222222"/>
          <w:sz w:val="18"/>
          <w:szCs w:val="18"/>
        </w:rPr>
        <w:t>fact_performance</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amfi_code</w:t>
      </w:r>
      <w:proofErr w:type="spellEnd"/>
      <w:r>
        <w:rPr>
          <w:rFonts w:ascii="Consolas" w:eastAsia="Consolas" w:hAnsi="Consolas" w:cs="Consolas"/>
          <w:color w:val="222222"/>
          <w:sz w:val="18"/>
          <w:szCs w:val="18"/>
        </w:rPr>
        <w:t xml:space="preserve"> INTEGER,     return_1yr_pct REAL,     return_3yr_pct REAL,     return_5yr_pct REAL,     </w:t>
      </w:r>
      <w:proofErr w:type="spellStart"/>
      <w:r>
        <w:rPr>
          <w:rFonts w:ascii="Consolas" w:eastAsia="Consolas" w:hAnsi="Consolas" w:cs="Consolas"/>
          <w:color w:val="222222"/>
          <w:sz w:val="18"/>
          <w:szCs w:val="18"/>
        </w:rPr>
        <w:t>expense_ratio_pct</w:t>
      </w:r>
      <w:proofErr w:type="spellEnd"/>
      <w:r>
        <w:rPr>
          <w:rFonts w:ascii="Consolas" w:eastAsia="Consolas" w:hAnsi="Consolas" w:cs="Consolas"/>
          <w:color w:val="222222"/>
          <w:sz w:val="18"/>
          <w:szCs w:val="18"/>
        </w:rPr>
        <w:t xml:space="preserve"> REAL );</w:t>
      </w:r>
    </w:p>
    <w:p w:rsidR="00EE0E0F" w:rsidRDefault="00EE0E0F">
      <w:pPr>
        <w:pBdr>
          <w:top w:val="dashed" w:sz="4" w:space="0" w:color="AAAAAA"/>
          <w:left w:val="dashed" w:sz="4" w:space="0" w:color="AAAAAA"/>
          <w:bottom w:val="dashed" w:sz="4" w:space="0" w:color="AAAAAA"/>
          <w:right w:val="dashed" w:sz="4" w:space="0" w:color="AAAAAA"/>
        </w:pBdr>
        <w:shd w:val="clear" w:color="auto" w:fill="FAFAFA"/>
        <w:spacing w:before="200" w:after="300"/>
        <w:ind w:left="400" w:right="400"/>
        <w:jc w:val="center"/>
      </w:pPr>
    </w:p>
    <w:p w:rsidR="00EE0E0F" w:rsidRDefault="00104130">
      <w:pPr>
        <w:pStyle w:val="Heading1"/>
        <w:pageBreakBefore/>
        <w:spacing w:before="400"/>
      </w:pPr>
      <w:bookmarkStart w:id="29" w:name="_Toc234514562"/>
      <w:r>
        <w:lastRenderedPageBreak/>
        <w:t>7. SQL Queries</w:t>
      </w:r>
      <w:bookmarkEnd w:id="29"/>
    </w:p>
    <w:p w:rsidR="00EE0E0F" w:rsidRDefault="00104130">
      <w:pPr>
        <w:spacing w:after="160" w:line="300" w:lineRule="auto"/>
        <w:jc w:val="both"/>
      </w:pPr>
      <w:r>
        <w:t>A set of ten analytical SQL queries (</w:t>
      </w:r>
      <w:proofErr w:type="spellStart"/>
      <w:r>
        <w:t>sql</w:t>
      </w:r>
      <w:proofErr w:type="spellEnd"/>
      <w:r>
        <w:t>/</w:t>
      </w:r>
      <w:proofErr w:type="spellStart"/>
      <w:r>
        <w:t>queries.sql</w:t>
      </w:r>
      <w:proofErr w:type="spellEnd"/>
      <w:r>
        <w:t>) was written against the SQLite database to demonstrate the ability to extract business-relevant insights directly using SQL. These queries cover fund ranking, return analysis, expense ratio filtering, transaction segmentation, and risk-adjusted performance ranking.</w:t>
      </w:r>
    </w:p>
    <w:p w:rsidR="00EE0E0F" w:rsidRDefault="00104130">
      <w:pPr>
        <w:pStyle w:val="Heading2"/>
        <w:spacing w:before="300" w:after="150"/>
      </w:pPr>
      <w:bookmarkStart w:id="30" w:name="_Toc234514563"/>
      <w:r>
        <w:t>7.1 Representative Queries</w:t>
      </w:r>
      <w:bookmarkEnd w:id="30"/>
    </w:p>
    <w:p w:rsidR="00EE0E0F" w:rsidRDefault="00104130">
      <w:pPr>
        <w:spacing w:after="120"/>
      </w:pPr>
      <w:r>
        <w:rPr>
          <w:b/>
          <w:bCs/>
        </w:rPr>
        <w:t>Query 1: Top 5 Funds by AUM</w:t>
      </w:r>
    </w:p>
    <w:p w:rsidR="00EE0E0F" w:rsidRDefault="0010413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r>
        <w:rPr>
          <w:rFonts w:ascii="Consolas" w:eastAsia="Consolas" w:hAnsi="Consolas" w:cs="Consolas"/>
          <w:color w:val="222222"/>
          <w:sz w:val="18"/>
          <w:szCs w:val="18"/>
        </w:rPr>
        <w:t xml:space="preserve">SELECT </w:t>
      </w:r>
      <w:proofErr w:type="spellStart"/>
      <w:r>
        <w:rPr>
          <w:rFonts w:ascii="Consolas" w:eastAsia="Consolas" w:hAnsi="Consolas" w:cs="Consolas"/>
          <w:color w:val="222222"/>
          <w:sz w:val="18"/>
          <w:szCs w:val="18"/>
        </w:rPr>
        <w:t>scheme_name</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aum_crore</w:t>
      </w:r>
      <w:proofErr w:type="spellEnd"/>
      <w:r>
        <w:rPr>
          <w:rFonts w:ascii="Consolas" w:eastAsia="Consolas" w:hAnsi="Consolas" w:cs="Consolas"/>
          <w:color w:val="222222"/>
          <w:sz w:val="18"/>
          <w:szCs w:val="18"/>
        </w:rPr>
        <w:t xml:space="preserve"> FROM </w:t>
      </w:r>
      <w:proofErr w:type="spellStart"/>
      <w:r>
        <w:rPr>
          <w:rFonts w:ascii="Consolas" w:eastAsia="Consolas" w:hAnsi="Consolas" w:cs="Consolas"/>
          <w:color w:val="222222"/>
          <w:sz w:val="18"/>
          <w:szCs w:val="18"/>
        </w:rPr>
        <w:t>fact_performance</w:t>
      </w:r>
      <w:proofErr w:type="spellEnd"/>
      <w:r>
        <w:rPr>
          <w:rFonts w:ascii="Consolas" w:eastAsia="Consolas" w:hAnsi="Consolas" w:cs="Consolas"/>
          <w:color w:val="222222"/>
          <w:sz w:val="18"/>
          <w:szCs w:val="18"/>
        </w:rPr>
        <w:t xml:space="preserve"> ORDER BY </w:t>
      </w:r>
      <w:proofErr w:type="spellStart"/>
      <w:r>
        <w:rPr>
          <w:rFonts w:ascii="Consolas" w:eastAsia="Consolas" w:hAnsi="Consolas" w:cs="Consolas"/>
          <w:color w:val="222222"/>
          <w:sz w:val="18"/>
          <w:szCs w:val="18"/>
        </w:rPr>
        <w:t>aum_crore</w:t>
      </w:r>
      <w:proofErr w:type="spellEnd"/>
      <w:r>
        <w:rPr>
          <w:rFonts w:ascii="Consolas" w:eastAsia="Consolas" w:hAnsi="Consolas" w:cs="Consolas"/>
          <w:color w:val="222222"/>
          <w:sz w:val="18"/>
          <w:szCs w:val="18"/>
        </w:rPr>
        <w:t xml:space="preserve"> DESC LIMIT 5;</w:t>
      </w:r>
    </w:p>
    <w:p w:rsidR="00EE0E0F" w:rsidRDefault="00104130">
      <w:pPr>
        <w:spacing w:after="120"/>
      </w:pPr>
      <w:r>
        <w:rPr>
          <w:b/>
          <w:bCs/>
        </w:rPr>
        <w:t>Query 2: Average NAV by Month</w:t>
      </w:r>
    </w:p>
    <w:p w:rsidR="00EE0E0F" w:rsidRDefault="0010413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r>
        <w:rPr>
          <w:rFonts w:ascii="Consolas" w:eastAsia="Consolas" w:hAnsi="Consolas" w:cs="Consolas"/>
          <w:color w:val="222222"/>
          <w:sz w:val="18"/>
          <w:szCs w:val="18"/>
        </w:rPr>
        <w:t xml:space="preserve">SELECT </w:t>
      </w:r>
      <w:proofErr w:type="spellStart"/>
      <w:proofErr w:type="gramStart"/>
      <w:r>
        <w:rPr>
          <w:rFonts w:ascii="Consolas" w:eastAsia="Consolas" w:hAnsi="Consolas" w:cs="Consolas"/>
          <w:color w:val="222222"/>
          <w:sz w:val="18"/>
          <w:szCs w:val="18"/>
        </w:rPr>
        <w:t>strftime</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'%Y-%m', date) AS month,        AVG(</w:t>
      </w:r>
      <w:proofErr w:type="spellStart"/>
      <w:r>
        <w:rPr>
          <w:rFonts w:ascii="Consolas" w:eastAsia="Consolas" w:hAnsi="Consolas" w:cs="Consolas"/>
          <w:color w:val="222222"/>
          <w:sz w:val="18"/>
          <w:szCs w:val="18"/>
        </w:rPr>
        <w:t>nav</w:t>
      </w:r>
      <w:proofErr w:type="spellEnd"/>
      <w:r>
        <w:rPr>
          <w:rFonts w:ascii="Consolas" w:eastAsia="Consolas" w:hAnsi="Consolas" w:cs="Consolas"/>
          <w:color w:val="222222"/>
          <w:sz w:val="18"/>
          <w:szCs w:val="18"/>
        </w:rPr>
        <w:t xml:space="preserve">) AS </w:t>
      </w:r>
      <w:proofErr w:type="spellStart"/>
      <w:r>
        <w:rPr>
          <w:rFonts w:ascii="Consolas" w:eastAsia="Consolas" w:hAnsi="Consolas" w:cs="Consolas"/>
          <w:color w:val="222222"/>
          <w:sz w:val="18"/>
          <w:szCs w:val="18"/>
        </w:rPr>
        <w:t>avg_nav</w:t>
      </w:r>
      <w:proofErr w:type="spellEnd"/>
      <w:r>
        <w:rPr>
          <w:rFonts w:ascii="Consolas" w:eastAsia="Consolas" w:hAnsi="Consolas" w:cs="Consolas"/>
          <w:color w:val="222222"/>
          <w:sz w:val="18"/>
          <w:szCs w:val="18"/>
        </w:rPr>
        <w:t xml:space="preserve"> FROM </w:t>
      </w:r>
      <w:proofErr w:type="spellStart"/>
      <w:r>
        <w:rPr>
          <w:rFonts w:ascii="Consolas" w:eastAsia="Consolas" w:hAnsi="Consolas" w:cs="Consolas"/>
          <w:color w:val="222222"/>
          <w:sz w:val="18"/>
          <w:szCs w:val="18"/>
        </w:rPr>
        <w:t>fact_nav</w:t>
      </w:r>
      <w:proofErr w:type="spellEnd"/>
      <w:r>
        <w:rPr>
          <w:rFonts w:ascii="Consolas" w:eastAsia="Consolas" w:hAnsi="Consolas" w:cs="Consolas"/>
          <w:color w:val="222222"/>
          <w:sz w:val="18"/>
          <w:szCs w:val="18"/>
        </w:rPr>
        <w:t xml:space="preserve"> GROUP BY month;</w:t>
      </w:r>
    </w:p>
    <w:p w:rsidR="00EE0E0F" w:rsidRDefault="00104130">
      <w:pPr>
        <w:spacing w:after="120"/>
      </w:pPr>
      <w:r>
        <w:rPr>
          <w:b/>
          <w:bCs/>
        </w:rPr>
        <w:t xml:space="preserve">Query 3: Average 1-Year Return </w:t>
      </w:r>
      <w:proofErr w:type="gramStart"/>
      <w:r>
        <w:rPr>
          <w:b/>
          <w:bCs/>
        </w:rPr>
        <w:t>Across</w:t>
      </w:r>
      <w:proofErr w:type="gramEnd"/>
      <w:r>
        <w:rPr>
          <w:b/>
          <w:bCs/>
        </w:rPr>
        <w:t xml:space="preserve"> All Schemes</w:t>
      </w:r>
    </w:p>
    <w:p w:rsidR="00EE0E0F" w:rsidRDefault="0010413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r>
        <w:rPr>
          <w:rFonts w:ascii="Consolas" w:eastAsia="Consolas" w:hAnsi="Consolas" w:cs="Consolas"/>
          <w:color w:val="222222"/>
          <w:sz w:val="18"/>
          <w:szCs w:val="18"/>
        </w:rPr>
        <w:t xml:space="preserve">SELECT </w:t>
      </w:r>
      <w:proofErr w:type="gramStart"/>
      <w:r>
        <w:rPr>
          <w:rFonts w:ascii="Consolas" w:eastAsia="Consolas" w:hAnsi="Consolas" w:cs="Consolas"/>
          <w:color w:val="222222"/>
          <w:sz w:val="18"/>
          <w:szCs w:val="18"/>
        </w:rPr>
        <w:t>AVG(</w:t>
      </w:r>
      <w:proofErr w:type="gramEnd"/>
      <w:r>
        <w:rPr>
          <w:rFonts w:ascii="Consolas" w:eastAsia="Consolas" w:hAnsi="Consolas" w:cs="Consolas"/>
          <w:color w:val="222222"/>
          <w:sz w:val="18"/>
          <w:szCs w:val="18"/>
        </w:rPr>
        <w:t xml:space="preserve">return_1yr_pct) FROM </w:t>
      </w:r>
      <w:proofErr w:type="spellStart"/>
      <w:r>
        <w:rPr>
          <w:rFonts w:ascii="Consolas" w:eastAsia="Consolas" w:hAnsi="Consolas" w:cs="Consolas"/>
          <w:color w:val="222222"/>
          <w:sz w:val="18"/>
          <w:szCs w:val="18"/>
        </w:rPr>
        <w:t>fact_performance</w:t>
      </w:r>
      <w:proofErr w:type="spellEnd"/>
      <w:r>
        <w:rPr>
          <w:rFonts w:ascii="Consolas" w:eastAsia="Consolas" w:hAnsi="Consolas" w:cs="Consolas"/>
          <w:color w:val="222222"/>
          <w:sz w:val="18"/>
          <w:szCs w:val="18"/>
        </w:rPr>
        <w:t>;</w:t>
      </w:r>
    </w:p>
    <w:p w:rsidR="00EE0E0F" w:rsidRDefault="00104130">
      <w:pPr>
        <w:spacing w:after="120"/>
      </w:pPr>
      <w:r>
        <w:rPr>
          <w:b/>
          <w:bCs/>
        </w:rPr>
        <w:t>Query 4: Funds with Expense Ratio Below 1%</w:t>
      </w:r>
    </w:p>
    <w:p w:rsidR="00EE0E0F" w:rsidRDefault="0010413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r>
        <w:rPr>
          <w:rFonts w:ascii="Consolas" w:eastAsia="Consolas" w:hAnsi="Consolas" w:cs="Consolas"/>
          <w:color w:val="222222"/>
          <w:sz w:val="18"/>
          <w:szCs w:val="18"/>
        </w:rPr>
        <w:t xml:space="preserve">SELECT </w:t>
      </w:r>
      <w:proofErr w:type="spellStart"/>
      <w:r>
        <w:rPr>
          <w:rFonts w:ascii="Consolas" w:eastAsia="Consolas" w:hAnsi="Consolas" w:cs="Consolas"/>
          <w:color w:val="222222"/>
          <w:sz w:val="18"/>
          <w:szCs w:val="18"/>
        </w:rPr>
        <w:t>scheme_name</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expense_ratio_pct</w:t>
      </w:r>
      <w:proofErr w:type="spellEnd"/>
      <w:r>
        <w:rPr>
          <w:rFonts w:ascii="Consolas" w:eastAsia="Consolas" w:hAnsi="Consolas" w:cs="Consolas"/>
          <w:color w:val="222222"/>
          <w:sz w:val="18"/>
          <w:szCs w:val="18"/>
        </w:rPr>
        <w:t xml:space="preserve"> FROM </w:t>
      </w:r>
      <w:proofErr w:type="spellStart"/>
      <w:r>
        <w:rPr>
          <w:rFonts w:ascii="Consolas" w:eastAsia="Consolas" w:hAnsi="Consolas" w:cs="Consolas"/>
          <w:color w:val="222222"/>
          <w:sz w:val="18"/>
          <w:szCs w:val="18"/>
        </w:rPr>
        <w:t>fact_performance</w:t>
      </w:r>
      <w:proofErr w:type="spellEnd"/>
      <w:r>
        <w:rPr>
          <w:rFonts w:ascii="Consolas" w:eastAsia="Consolas" w:hAnsi="Consolas" w:cs="Consolas"/>
          <w:color w:val="222222"/>
          <w:sz w:val="18"/>
          <w:szCs w:val="18"/>
        </w:rPr>
        <w:t xml:space="preserve"> WHERE </w:t>
      </w:r>
      <w:proofErr w:type="spellStart"/>
      <w:r>
        <w:rPr>
          <w:rFonts w:ascii="Consolas" w:eastAsia="Consolas" w:hAnsi="Consolas" w:cs="Consolas"/>
          <w:color w:val="222222"/>
          <w:sz w:val="18"/>
          <w:szCs w:val="18"/>
        </w:rPr>
        <w:t>expense_ratio_pct</w:t>
      </w:r>
      <w:proofErr w:type="spellEnd"/>
      <w:r>
        <w:rPr>
          <w:rFonts w:ascii="Consolas" w:eastAsia="Consolas" w:hAnsi="Consolas" w:cs="Consolas"/>
          <w:color w:val="222222"/>
          <w:sz w:val="18"/>
          <w:szCs w:val="18"/>
        </w:rPr>
        <w:t xml:space="preserve"> &lt; 1;</w:t>
      </w:r>
    </w:p>
    <w:p w:rsidR="00EE0E0F" w:rsidRDefault="00104130">
      <w:pPr>
        <w:spacing w:after="120"/>
      </w:pPr>
      <w:r>
        <w:rPr>
          <w:b/>
          <w:bCs/>
        </w:rPr>
        <w:t>Query 5: Transactions by State</w:t>
      </w:r>
    </w:p>
    <w:p w:rsidR="00EE0E0F" w:rsidRDefault="0010413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r>
        <w:rPr>
          <w:rFonts w:ascii="Consolas" w:eastAsia="Consolas" w:hAnsi="Consolas" w:cs="Consolas"/>
          <w:color w:val="222222"/>
          <w:sz w:val="18"/>
          <w:szCs w:val="18"/>
        </w:rPr>
        <w:t xml:space="preserve">SELECT state, </w:t>
      </w:r>
      <w:proofErr w:type="gramStart"/>
      <w:r>
        <w:rPr>
          <w:rFonts w:ascii="Consolas" w:eastAsia="Consolas" w:hAnsi="Consolas" w:cs="Consolas"/>
          <w:color w:val="222222"/>
          <w:sz w:val="18"/>
          <w:szCs w:val="18"/>
        </w:rPr>
        <w:t>COUNT(</w:t>
      </w:r>
      <w:proofErr w:type="gramEnd"/>
      <w:r>
        <w:rPr>
          <w:rFonts w:ascii="Consolas" w:eastAsia="Consolas" w:hAnsi="Consolas" w:cs="Consolas"/>
          <w:color w:val="222222"/>
          <w:sz w:val="18"/>
          <w:szCs w:val="18"/>
        </w:rPr>
        <w:t xml:space="preserve">*) AS transactions FROM </w:t>
      </w:r>
      <w:proofErr w:type="spellStart"/>
      <w:r>
        <w:rPr>
          <w:rFonts w:ascii="Consolas" w:eastAsia="Consolas" w:hAnsi="Consolas" w:cs="Consolas"/>
          <w:color w:val="222222"/>
          <w:sz w:val="18"/>
          <w:szCs w:val="18"/>
        </w:rPr>
        <w:t>fact_transactions</w:t>
      </w:r>
      <w:proofErr w:type="spellEnd"/>
      <w:r>
        <w:rPr>
          <w:rFonts w:ascii="Consolas" w:eastAsia="Consolas" w:hAnsi="Consolas" w:cs="Consolas"/>
          <w:color w:val="222222"/>
          <w:sz w:val="18"/>
          <w:szCs w:val="18"/>
        </w:rPr>
        <w:t xml:space="preserve"> GROUP BY state ORDER BY transactions DESC;</w:t>
      </w:r>
    </w:p>
    <w:p w:rsidR="00EE0E0F" w:rsidRDefault="00104130">
      <w:pPr>
        <w:spacing w:after="120"/>
      </w:pPr>
      <w:r>
        <w:rPr>
          <w:b/>
          <w:bCs/>
        </w:rPr>
        <w:t>Query 6-7: SIP and Redemption Transaction Counts</w:t>
      </w:r>
    </w:p>
    <w:p w:rsidR="00EE0E0F" w:rsidRDefault="0010413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r>
        <w:rPr>
          <w:rFonts w:ascii="Consolas" w:eastAsia="Consolas" w:hAnsi="Consolas" w:cs="Consolas"/>
          <w:color w:val="222222"/>
          <w:sz w:val="18"/>
          <w:szCs w:val="18"/>
        </w:rPr>
        <w:t xml:space="preserve">SELECT </w:t>
      </w:r>
      <w:proofErr w:type="gramStart"/>
      <w:r>
        <w:rPr>
          <w:rFonts w:ascii="Consolas" w:eastAsia="Consolas" w:hAnsi="Consolas" w:cs="Consolas"/>
          <w:color w:val="222222"/>
          <w:sz w:val="18"/>
          <w:szCs w:val="18"/>
        </w:rPr>
        <w:t>COUNT(</w:t>
      </w:r>
      <w:proofErr w:type="gramEnd"/>
      <w:r>
        <w:rPr>
          <w:rFonts w:ascii="Consolas" w:eastAsia="Consolas" w:hAnsi="Consolas" w:cs="Consolas"/>
          <w:color w:val="222222"/>
          <w:sz w:val="18"/>
          <w:szCs w:val="18"/>
        </w:rPr>
        <w:t xml:space="preserve">*) FROM </w:t>
      </w:r>
      <w:proofErr w:type="spellStart"/>
      <w:r>
        <w:rPr>
          <w:rFonts w:ascii="Consolas" w:eastAsia="Consolas" w:hAnsi="Consolas" w:cs="Consolas"/>
          <w:color w:val="222222"/>
          <w:sz w:val="18"/>
          <w:szCs w:val="18"/>
        </w:rPr>
        <w:t>fact_transactions</w:t>
      </w:r>
      <w:proofErr w:type="spellEnd"/>
      <w:r>
        <w:rPr>
          <w:rFonts w:ascii="Consolas" w:eastAsia="Consolas" w:hAnsi="Consolas" w:cs="Consolas"/>
          <w:color w:val="222222"/>
          <w:sz w:val="18"/>
          <w:szCs w:val="18"/>
        </w:rPr>
        <w:t xml:space="preserve"> WHERE </w:t>
      </w:r>
      <w:proofErr w:type="spellStart"/>
      <w:r>
        <w:rPr>
          <w:rFonts w:ascii="Consolas" w:eastAsia="Consolas" w:hAnsi="Consolas" w:cs="Consolas"/>
          <w:color w:val="222222"/>
          <w:sz w:val="18"/>
          <w:szCs w:val="18"/>
        </w:rPr>
        <w:t>transaction_type</w:t>
      </w:r>
      <w:proofErr w:type="spellEnd"/>
      <w:r>
        <w:rPr>
          <w:rFonts w:ascii="Consolas" w:eastAsia="Consolas" w:hAnsi="Consolas" w:cs="Consolas"/>
          <w:color w:val="222222"/>
          <w:sz w:val="18"/>
          <w:szCs w:val="18"/>
        </w:rPr>
        <w:t xml:space="preserve">='SIP'; SELECT COUNT(*) FROM </w:t>
      </w:r>
      <w:proofErr w:type="spellStart"/>
      <w:r>
        <w:rPr>
          <w:rFonts w:ascii="Consolas" w:eastAsia="Consolas" w:hAnsi="Consolas" w:cs="Consolas"/>
          <w:color w:val="222222"/>
          <w:sz w:val="18"/>
          <w:szCs w:val="18"/>
        </w:rPr>
        <w:t>fact_transactions</w:t>
      </w:r>
      <w:proofErr w:type="spellEnd"/>
      <w:r>
        <w:rPr>
          <w:rFonts w:ascii="Consolas" w:eastAsia="Consolas" w:hAnsi="Consolas" w:cs="Consolas"/>
          <w:color w:val="222222"/>
          <w:sz w:val="18"/>
          <w:szCs w:val="18"/>
        </w:rPr>
        <w:t xml:space="preserve"> WHERE </w:t>
      </w:r>
      <w:proofErr w:type="spellStart"/>
      <w:r>
        <w:rPr>
          <w:rFonts w:ascii="Consolas" w:eastAsia="Consolas" w:hAnsi="Consolas" w:cs="Consolas"/>
          <w:color w:val="222222"/>
          <w:sz w:val="18"/>
          <w:szCs w:val="18"/>
        </w:rPr>
        <w:t>transaction_type</w:t>
      </w:r>
      <w:proofErr w:type="spellEnd"/>
      <w:r>
        <w:rPr>
          <w:rFonts w:ascii="Consolas" w:eastAsia="Consolas" w:hAnsi="Consolas" w:cs="Consolas"/>
          <w:color w:val="222222"/>
          <w:sz w:val="18"/>
          <w:szCs w:val="18"/>
        </w:rPr>
        <w:t>='Redemption';</w:t>
      </w:r>
    </w:p>
    <w:p w:rsidR="00EE0E0F" w:rsidRDefault="00104130">
      <w:pPr>
        <w:spacing w:after="120"/>
      </w:pPr>
      <w:r>
        <w:rPr>
          <w:b/>
          <w:bCs/>
        </w:rPr>
        <w:t>Query 8: Highest Sharpe Ratio Funds</w:t>
      </w:r>
    </w:p>
    <w:p w:rsidR="00EE0E0F" w:rsidRDefault="0010413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r>
        <w:rPr>
          <w:rFonts w:ascii="Consolas" w:eastAsia="Consolas" w:hAnsi="Consolas" w:cs="Consolas"/>
          <w:color w:val="222222"/>
          <w:sz w:val="18"/>
          <w:szCs w:val="18"/>
        </w:rPr>
        <w:t xml:space="preserve">SELECT </w:t>
      </w:r>
      <w:proofErr w:type="spellStart"/>
      <w:r>
        <w:rPr>
          <w:rFonts w:ascii="Consolas" w:eastAsia="Consolas" w:hAnsi="Consolas" w:cs="Consolas"/>
          <w:color w:val="222222"/>
          <w:sz w:val="18"/>
          <w:szCs w:val="18"/>
        </w:rPr>
        <w:t>scheme_name</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sharpe_ratio</w:t>
      </w:r>
      <w:proofErr w:type="spellEnd"/>
      <w:r>
        <w:rPr>
          <w:rFonts w:ascii="Consolas" w:eastAsia="Consolas" w:hAnsi="Consolas" w:cs="Consolas"/>
          <w:color w:val="222222"/>
          <w:sz w:val="18"/>
          <w:szCs w:val="18"/>
        </w:rPr>
        <w:t xml:space="preserve"> FROM </w:t>
      </w:r>
      <w:proofErr w:type="spellStart"/>
      <w:r>
        <w:rPr>
          <w:rFonts w:ascii="Consolas" w:eastAsia="Consolas" w:hAnsi="Consolas" w:cs="Consolas"/>
          <w:color w:val="222222"/>
          <w:sz w:val="18"/>
          <w:szCs w:val="18"/>
        </w:rPr>
        <w:t>fact_performance</w:t>
      </w:r>
      <w:proofErr w:type="spellEnd"/>
      <w:r>
        <w:rPr>
          <w:rFonts w:ascii="Consolas" w:eastAsia="Consolas" w:hAnsi="Consolas" w:cs="Consolas"/>
          <w:color w:val="222222"/>
          <w:sz w:val="18"/>
          <w:szCs w:val="18"/>
        </w:rPr>
        <w:t xml:space="preserve"> ORDER BY </w:t>
      </w:r>
      <w:proofErr w:type="spellStart"/>
      <w:r>
        <w:rPr>
          <w:rFonts w:ascii="Consolas" w:eastAsia="Consolas" w:hAnsi="Consolas" w:cs="Consolas"/>
          <w:color w:val="222222"/>
          <w:sz w:val="18"/>
          <w:szCs w:val="18"/>
        </w:rPr>
        <w:t>sharpe_ratio</w:t>
      </w:r>
      <w:proofErr w:type="spellEnd"/>
      <w:r>
        <w:rPr>
          <w:rFonts w:ascii="Consolas" w:eastAsia="Consolas" w:hAnsi="Consolas" w:cs="Consolas"/>
          <w:color w:val="222222"/>
          <w:sz w:val="18"/>
          <w:szCs w:val="18"/>
        </w:rPr>
        <w:t xml:space="preserve"> DESC LIMIT 5;</w:t>
      </w:r>
    </w:p>
    <w:p w:rsidR="00EE0E0F" w:rsidRDefault="00104130">
      <w:pPr>
        <w:spacing w:after="120"/>
      </w:pPr>
      <w:r>
        <w:rPr>
          <w:b/>
          <w:bCs/>
        </w:rPr>
        <w:t>Query 9-10: Average Expense Ratio and Fund Count by Category</w:t>
      </w:r>
    </w:p>
    <w:p w:rsidR="00EE0E0F" w:rsidRDefault="0010413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r>
        <w:rPr>
          <w:rFonts w:ascii="Consolas" w:eastAsia="Consolas" w:hAnsi="Consolas" w:cs="Consolas"/>
          <w:color w:val="222222"/>
          <w:sz w:val="18"/>
          <w:szCs w:val="18"/>
        </w:rPr>
        <w:t xml:space="preserve">SELECT </w:t>
      </w:r>
      <w:proofErr w:type="gramStart"/>
      <w:r>
        <w:rPr>
          <w:rFonts w:ascii="Consolas" w:eastAsia="Consolas" w:hAnsi="Consolas" w:cs="Consolas"/>
          <w:color w:val="222222"/>
          <w:sz w:val="18"/>
          <w:szCs w:val="18"/>
        </w:rPr>
        <w:t>AVG(</w:t>
      </w:r>
      <w:proofErr w:type="spellStart"/>
      <w:proofErr w:type="gramEnd"/>
      <w:r>
        <w:rPr>
          <w:rFonts w:ascii="Consolas" w:eastAsia="Consolas" w:hAnsi="Consolas" w:cs="Consolas"/>
          <w:color w:val="222222"/>
          <w:sz w:val="18"/>
          <w:szCs w:val="18"/>
        </w:rPr>
        <w:t>expense_ratio_pct</w:t>
      </w:r>
      <w:proofErr w:type="spellEnd"/>
      <w:r>
        <w:rPr>
          <w:rFonts w:ascii="Consolas" w:eastAsia="Consolas" w:hAnsi="Consolas" w:cs="Consolas"/>
          <w:color w:val="222222"/>
          <w:sz w:val="18"/>
          <w:szCs w:val="18"/>
        </w:rPr>
        <w:t xml:space="preserve">) FROM </w:t>
      </w:r>
      <w:proofErr w:type="spellStart"/>
      <w:r>
        <w:rPr>
          <w:rFonts w:ascii="Consolas" w:eastAsia="Consolas" w:hAnsi="Consolas" w:cs="Consolas"/>
          <w:color w:val="222222"/>
          <w:sz w:val="18"/>
          <w:szCs w:val="18"/>
        </w:rPr>
        <w:t>fact_performance</w:t>
      </w:r>
      <w:proofErr w:type="spellEnd"/>
      <w:r>
        <w:rPr>
          <w:rFonts w:ascii="Consolas" w:eastAsia="Consolas" w:hAnsi="Consolas" w:cs="Consolas"/>
          <w:color w:val="222222"/>
          <w:sz w:val="18"/>
          <w:szCs w:val="18"/>
        </w:rPr>
        <w:t xml:space="preserve">; SELECT category, COUNT(*) FROM </w:t>
      </w:r>
      <w:proofErr w:type="spellStart"/>
      <w:r>
        <w:rPr>
          <w:rFonts w:ascii="Consolas" w:eastAsia="Consolas" w:hAnsi="Consolas" w:cs="Consolas"/>
          <w:color w:val="222222"/>
          <w:sz w:val="18"/>
          <w:szCs w:val="18"/>
        </w:rPr>
        <w:t>fact_performance</w:t>
      </w:r>
      <w:proofErr w:type="spellEnd"/>
      <w:r>
        <w:rPr>
          <w:rFonts w:ascii="Consolas" w:eastAsia="Consolas" w:hAnsi="Consolas" w:cs="Consolas"/>
          <w:color w:val="222222"/>
          <w:sz w:val="18"/>
          <w:szCs w:val="18"/>
        </w:rPr>
        <w:t xml:space="preserve"> GROUP BY category;</w:t>
      </w:r>
    </w:p>
    <w:p w:rsidR="00EE0E0F" w:rsidRDefault="00104130">
      <w:pPr>
        <w:pStyle w:val="Heading2"/>
        <w:spacing w:before="300" w:after="150"/>
      </w:pPr>
      <w:bookmarkStart w:id="31" w:name="_Toc234514564"/>
      <w:r>
        <w:t>7.2 Query Insights</w:t>
      </w:r>
      <w:bookmarkEnd w:id="31"/>
    </w:p>
    <w:p w:rsidR="00EE0E0F" w:rsidRDefault="00104130" w:rsidP="00C02A4B">
      <w:pPr>
        <w:spacing w:after="160" w:line="300" w:lineRule="auto"/>
        <w:jc w:val="both"/>
      </w:pPr>
      <w:r>
        <w:t xml:space="preserve">Running these queries against the database, several observations emerged: the average 1-year return across all 40 schemes is approximately 14.4%, the average expense ratio is approximately 1.24%, and liquid/debt-oriented schemes such as the ICICI Prudential Liquid Fund and </w:t>
      </w:r>
      <w:proofErr w:type="spellStart"/>
      <w:r>
        <w:t>Kotak</w:t>
      </w:r>
      <w:proofErr w:type="spellEnd"/>
      <w:r>
        <w:t xml:space="preserve"> Liquid Fund exhibit the highest Sharpe ratios due to their low volatility relative to modest but stable returns. SIP transactions (19,716) considerably outnumber </w:t>
      </w:r>
      <w:proofErr w:type="spellStart"/>
      <w:r>
        <w:t>Lumpsum</w:t>
      </w:r>
      <w:proofErr w:type="spellEnd"/>
      <w:r>
        <w:t xml:space="preserve"> (8,095) and Redemption (4,967) transactions, reflecting healthy systematic investment </w:t>
      </w:r>
      <w:proofErr w:type="spellStart"/>
      <w:r>
        <w:t>behaviour</w:t>
      </w:r>
      <w:proofErr w:type="spellEnd"/>
      <w:r>
        <w:t xml:space="preserve"> among the simulat</w:t>
      </w:r>
      <w:r w:rsidR="00C02A4B">
        <w:t>ed investor base</w:t>
      </w:r>
    </w:p>
    <w:p w:rsidR="00EE0E0F" w:rsidRDefault="00104130">
      <w:pPr>
        <w:pStyle w:val="Heading1"/>
        <w:pageBreakBefore/>
        <w:spacing w:before="400"/>
      </w:pPr>
      <w:bookmarkStart w:id="32" w:name="_Toc234514565"/>
      <w:r>
        <w:lastRenderedPageBreak/>
        <w:t>8. Exploratory Data Analysis (EDA)</w:t>
      </w:r>
      <w:bookmarkEnd w:id="32"/>
    </w:p>
    <w:p w:rsidR="00EE0E0F" w:rsidRDefault="00104130">
      <w:pPr>
        <w:spacing w:after="160" w:line="300" w:lineRule="auto"/>
        <w:jc w:val="both"/>
      </w:pPr>
      <w:r>
        <w:t xml:space="preserve">Exploratory Data Analysis was carried out in the </w:t>
      </w:r>
      <w:proofErr w:type="spellStart"/>
      <w:r>
        <w:t>EDA_Analysis.ipynb</w:t>
      </w:r>
      <w:proofErr w:type="spellEnd"/>
      <w:r>
        <w:t xml:space="preserve"> notebook, using </w:t>
      </w:r>
      <w:proofErr w:type="spellStart"/>
      <w:r>
        <w:t>Matplotlib</w:t>
      </w:r>
      <w:proofErr w:type="spellEnd"/>
      <w:r>
        <w:t xml:space="preserve">, </w:t>
      </w:r>
      <w:proofErr w:type="spellStart"/>
      <w:r>
        <w:t>Seaborn</w:t>
      </w:r>
      <w:proofErr w:type="spellEnd"/>
      <w:r>
        <w:t xml:space="preserve">, and </w:t>
      </w:r>
      <w:proofErr w:type="spellStart"/>
      <w:r>
        <w:t>Plotly</w:t>
      </w:r>
      <w:proofErr w:type="spellEnd"/>
      <w:r>
        <w:t xml:space="preserve"> to </w:t>
      </w:r>
      <w:proofErr w:type="spellStart"/>
      <w:r>
        <w:t>visualise</w:t>
      </w:r>
      <w:proofErr w:type="spellEnd"/>
      <w:r>
        <w:t xml:space="preserve"> trends across NAV movement, AUM growth, SIP inflows, investor demographics, sector allocation, and inter-fund correlation. The analysis spans the full 2022-2026 window covered by the dataset.</w:t>
      </w:r>
    </w:p>
    <w:p w:rsidR="00EE0E0F" w:rsidRDefault="00104130">
      <w:pPr>
        <w:pStyle w:val="Heading2"/>
        <w:spacing w:before="300" w:after="150"/>
      </w:pPr>
      <w:bookmarkStart w:id="33" w:name="_Toc234514566"/>
      <w:r>
        <w:t>8.1 NAV Trend Analysis</w:t>
      </w:r>
      <w:bookmarkEnd w:id="33"/>
    </w:p>
    <w:p w:rsidR="00EE0E0F" w:rsidRDefault="00104130">
      <w:pPr>
        <w:spacing w:after="160" w:line="300" w:lineRule="auto"/>
        <w:jc w:val="both"/>
      </w:pPr>
      <w:r>
        <w:t xml:space="preserve">The daily NAV movement of the top 10 mutual fund schemes was plotted using an interactive </w:t>
      </w:r>
      <w:proofErr w:type="spellStart"/>
      <w:r>
        <w:t>Plotly</w:t>
      </w:r>
      <w:proofErr w:type="spellEnd"/>
      <w:r>
        <w:t xml:space="preserve"> line chart spanning 2022 to 2026. This </w:t>
      </w:r>
      <w:proofErr w:type="spellStart"/>
      <w:r>
        <w:t>visualisation</w:t>
      </w:r>
      <w:proofErr w:type="spellEnd"/>
      <w:r>
        <w:t xml:space="preserve"> allowed identification of schemes with consistent upward NAV trajectories versus those exhibiting higher volatility, forming the qualitative basis for the deeper quantitative performance analysis conducted in later stages.</w:t>
      </w:r>
    </w:p>
    <w:p w:rsidR="00EE0E0F" w:rsidRDefault="00C02A4B">
      <w:pPr>
        <w:pStyle w:val="Heading2"/>
        <w:spacing w:before="300" w:after="150"/>
      </w:pPr>
      <w:bookmarkStart w:id="34" w:name="_Toc234514567"/>
      <w:r w:rsidRPr="00C02A4B">
        <w:rPr>
          <w:b w:val="0"/>
          <w:bCs w:val="0"/>
          <w:i/>
          <w:iCs/>
          <w:color w:val="888888"/>
          <w:sz w:val="20"/>
          <w:szCs w:val="20"/>
        </w:rPr>
        <w:drawing>
          <wp:inline distT="0" distB="0" distL="0" distR="0" wp14:anchorId="6620B3F0" wp14:editId="74D67994">
            <wp:extent cx="5943600" cy="42456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245610"/>
                    </a:xfrm>
                    <a:prstGeom prst="rect">
                      <a:avLst/>
                    </a:prstGeom>
                  </pic:spPr>
                </pic:pic>
              </a:graphicData>
            </a:graphic>
          </wp:inline>
        </w:drawing>
      </w:r>
      <w:r w:rsidR="00104130">
        <w:t>8.2 AUM Growth Analysis</w:t>
      </w:r>
      <w:bookmarkEnd w:id="34"/>
    </w:p>
    <w:p w:rsidR="00EE0E0F" w:rsidRDefault="00104130">
      <w:pPr>
        <w:spacing w:after="160" w:line="300" w:lineRule="auto"/>
        <w:jc w:val="both"/>
      </w:pPr>
      <w:r>
        <w:t xml:space="preserve">Assets Under Management (AUM) by fund house were </w:t>
      </w:r>
      <w:proofErr w:type="spellStart"/>
      <w:r>
        <w:t>analysed</w:t>
      </w:r>
      <w:proofErr w:type="spellEnd"/>
      <w:r>
        <w:t xml:space="preserve"> using a bar chart, revealing that SBI Mutual Fund maintained the dominant AUM position among the ten fund houses studied, followed by ICICI Prudential and HDFC Mutual Fund. This mirrors real-world Indian mutual fund industry dynamics, where a small number of large AMCs command a disproportionate share of industry AUM.</w:t>
      </w:r>
    </w:p>
    <w:p w:rsidR="00EE0E0F" w:rsidRDefault="00C02A4B">
      <w:pPr>
        <w:pStyle w:val="Heading2"/>
        <w:spacing w:before="300" w:after="150"/>
      </w:pPr>
      <w:bookmarkStart w:id="35" w:name="_Toc234514568"/>
      <w:r w:rsidRPr="00C02A4B">
        <w:rPr>
          <w:b w:val="0"/>
          <w:bCs w:val="0"/>
          <w:i/>
          <w:iCs/>
          <w:color w:val="888888"/>
          <w:sz w:val="20"/>
          <w:szCs w:val="20"/>
        </w:rPr>
        <w:lastRenderedPageBreak/>
        <w:drawing>
          <wp:inline distT="0" distB="0" distL="0" distR="0" wp14:anchorId="42381487" wp14:editId="463A95A8">
            <wp:extent cx="59436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14600"/>
                    </a:xfrm>
                    <a:prstGeom prst="rect">
                      <a:avLst/>
                    </a:prstGeom>
                  </pic:spPr>
                </pic:pic>
              </a:graphicData>
            </a:graphic>
          </wp:inline>
        </w:drawing>
      </w:r>
      <w:r w:rsidR="00104130">
        <w:t>8.3 SIP Inflow Analysis</w:t>
      </w:r>
      <w:bookmarkEnd w:id="35"/>
    </w:p>
    <w:p w:rsidR="00EE0E0F" w:rsidRDefault="00104130">
      <w:pPr>
        <w:spacing w:after="160" w:line="300" w:lineRule="auto"/>
        <w:jc w:val="both"/>
      </w:pPr>
      <w:r>
        <w:t xml:space="preserve">Monthly SIP inflow trends were </w:t>
      </w:r>
      <w:proofErr w:type="spellStart"/>
      <w:r>
        <w:t>visualised</w:t>
      </w:r>
      <w:proofErr w:type="spellEnd"/>
      <w:r>
        <w:t xml:space="preserve"> using an interactive </w:t>
      </w:r>
      <w:proofErr w:type="spellStart"/>
      <w:r>
        <w:t>Plotly</w:t>
      </w:r>
      <w:proofErr w:type="spellEnd"/>
      <w:r>
        <w:t xml:space="preserve"> line chart with the peak monthly contribution explicitly annotated. The analysis confirmed a consistent, near-linear growth pattern in retail SIP participation from 2022 through 2025, consistent with the broader industry narrative of increasing retail investor confidence in systematic investment plans.</w:t>
      </w:r>
    </w:p>
    <w:p w:rsidR="00EE0E0F" w:rsidRDefault="00C02A4B">
      <w:pPr>
        <w:pStyle w:val="Heading2"/>
        <w:spacing w:before="300" w:after="150"/>
      </w:pPr>
      <w:bookmarkStart w:id="36" w:name="_Toc234514569"/>
      <w:r w:rsidRPr="00C02A4B">
        <w:rPr>
          <w:b w:val="0"/>
          <w:bCs w:val="0"/>
          <w:i/>
          <w:iCs/>
          <w:color w:val="888888"/>
          <w:sz w:val="20"/>
          <w:szCs w:val="20"/>
        </w:rPr>
        <w:lastRenderedPageBreak/>
        <w:drawing>
          <wp:inline distT="0" distB="0" distL="0" distR="0" wp14:anchorId="627CDDC6" wp14:editId="4D453B91">
            <wp:extent cx="5943600" cy="42456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245610"/>
                    </a:xfrm>
                    <a:prstGeom prst="rect">
                      <a:avLst/>
                    </a:prstGeom>
                  </pic:spPr>
                </pic:pic>
              </a:graphicData>
            </a:graphic>
          </wp:inline>
        </w:drawing>
      </w:r>
      <w:r w:rsidR="00104130">
        <w:t xml:space="preserve">8.4 Category-Wise Inflow </w:t>
      </w:r>
      <w:proofErr w:type="spellStart"/>
      <w:r w:rsidR="00104130">
        <w:t>Heatmap</w:t>
      </w:r>
      <w:bookmarkEnd w:id="36"/>
      <w:proofErr w:type="spellEnd"/>
    </w:p>
    <w:p w:rsidR="00EE0E0F" w:rsidRDefault="00104130">
      <w:pPr>
        <w:spacing w:after="160" w:line="300" w:lineRule="auto"/>
        <w:jc w:val="both"/>
      </w:pPr>
      <w:r>
        <w:t xml:space="preserve">A </w:t>
      </w:r>
      <w:proofErr w:type="spellStart"/>
      <w:r>
        <w:t>heatmap</w:t>
      </w:r>
      <w:proofErr w:type="spellEnd"/>
      <w:r>
        <w:t xml:space="preserve"> of net inflows by fund category over time was constructed using </w:t>
      </w:r>
      <w:proofErr w:type="spellStart"/>
      <w:r>
        <w:t>Seaborn</w:t>
      </w:r>
      <w:proofErr w:type="spellEnd"/>
      <w:r>
        <w:t xml:space="preserve">, pivoting category against month. This </w:t>
      </w:r>
      <w:proofErr w:type="spellStart"/>
      <w:r>
        <w:t>visualisation</w:t>
      </w:r>
      <w:proofErr w:type="spellEnd"/>
      <w:r>
        <w:t xml:space="preserve"> highlighted that Equity-oriented categories attracted the strongest and most sustained inflows relative to other categories throughout the study period.</w:t>
      </w:r>
    </w:p>
    <w:p w:rsidR="00EE0E0F" w:rsidRDefault="00C02A4B">
      <w:pPr>
        <w:pStyle w:val="Heading2"/>
        <w:spacing w:before="300" w:after="150"/>
      </w:pPr>
      <w:bookmarkStart w:id="37" w:name="_Toc234514570"/>
      <w:r w:rsidRPr="00C02A4B">
        <w:rPr>
          <w:b w:val="0"/>
          <w:bCs w:val="0"/>
          <w:i/>
          <w:iCs/>
          <w:color w:val="888888"/>
          <w:sz w:val="20"/>
          <w:szCs w:val="20"/>
        </w:rPr>
        <w:drawing>
          <wp:inline distT="0" distB="0" distL="0" distR="0" wp14:anchorId="0F6C509C" wp14:editId="56809B83">
            <wp:extent cx="5943600" cy="25469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546985"/>
                    </a:xfrm>
                    <a:prstGeom prst="rect">
                      <a:avLst/>
                    </a:prstGeom>
                  </pic:spPr>
                </pic:pic>
              </a:graphicData>
            </a:graphic>
          </wp:inline>
        </w:drawing>
      </w:r>
      <w:r w:rsidR="00104130">
        <w:t>8.5 Industry Folio Growth</w:t>
      </w:r>
      <w:bookmarkEnd w:id="37"/>
    </w:p>
    <w:p w:rsidR="00EE0E0F" w:rsidRDefault="00104130">
      <w:pPr>
        <w:spacing w:after="160" w:line="300" w:lineRule="auto"/>
        <w:jc w:val="both"/>
      </w:pPr>
      <w:r>
        <w:lastRenderedPageBreak/>
        <w:t>Total investor folio counts (in crore) were plotted over time, showing that the number of investor folios in the industry-wide dataset nearly doubled during the study period, reflecting rapid retail investor onboarding.</w:t>
      </w:r>
    </w:p>
    <w:p w:rsidR="00EE0E0F" w:rsidRDefault="00C02A4B">
      <w:pPr>
        <w:pStyle w:val="Heading2"/>
        <w:spacing w:before="300" w:after="150"/>
      </w:pPr>
      <w:bookmarkStart w:id="38" w:name="_Toc234514571"/>
      <w:r w:rsidRPr="00C02A4B">
        <w:rPr>
          <w:b w:val="0"/>
          <w:bCs w:val="0"/>
          <w:i/>
          <w:iCs/>
          <w:color w:val="888888"/>
          <w:sz w:val="20"/>
          <w:szCs w:val="20"/>
        </w:rPr>
        <w:drawing>
          <wp:inline distT="0" distB="0" distL="0" distR="0" wp14:anchorId="13F4D962" wp14:editId="1A5C2FC4">
            <wp:extent cx="5943600"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71800"/>
                    </a:xfrm>
                    <a:prstGeom prst="rect">
                      <a:avLst/>
                    </a:prstGeom>
                  </pic:spPr>
                </pic:pic>
              </a:graphicData>
            </a:graphic>
          </wp:inline>
        </w:drawing>
      </w:r>
      <w:r w:rsidR="00104130">
        <w:t>8.6 Sector Allocation Analysis</w:t>
      </w:r>
      <w:bookmarkEnd w:id="38"/>
    </w:p>
    <w:p w:rsidR="00EE0E0F" w:rsidRDefault="00104130">
      <w:pPr>
        <w:spacing w:after="160" w:line="300" w:lineRule="auto"/>
        <w:jc w:val="both"/>
      </w:pPr>
      <w:r>
        <w:t xml:space="preserve">Portfolio holdings data was aggregated by sector and </w:t>
      </w:r>
      <w:proofErr w:type="spellStart"/>
      <w:r>
        <w:t>visualised</w:t>
      </w:r>
      <w:proofErr w:type="spellEnd"/>
      <w:r>
        <w:t xml:space="preserve"> as a donut chart, showing that the Technology and Financial Services sectors commanded the highest weight allocation across the equity schemes in the portfolio holdings dataset.</w:t>
      </w:r>
    </w:p>
    <w:p w:rsidR="00EE0E0F" w:rsidRDefault="00C02A4B">
      <w:pPr>
        <w:pStyle w:val="Heading2"/>
        <w:spacing w:before="300" w:after="150"/>
      </w:pPr>
      <w:bookmarkStart w:id="39" w:name="_Toc234514572"/>
      <w:r w:rsidRPr="00C02A4B">
        <w:rPr>
          <w:b w:val="0"/>
          <w:bCs w:val="0"/>
          <w:i/>
          <w:iCs/>
          <w:color w:val="888888"/>
          <w:sz w:val="20"/>
          <w:szCs w:val="20"/>
        </w:rPr>
        <w:lastRenderedPageBreak/>
        <w:drawing>
          <wp:inline distT="0" distB="0" distL="0" distR="0" wp14:anchorId="5B373908" wp14:editId="5D62235C">
            <wp:extent cx="5943600" cy="594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943600"/>
                    </a:xfrm>
                    <a:prstGeom prst="rect">
                      <a:avLst/>
                    </a:prstGeom>
                  </pic:spPr>
                </pic:pic>
              </a:graphicData>
            </a:graphic>
          </wp:inline>
        </w:drawing>
      </w:r>
      <w:r w:rsidR="00104130">
        <w:t>8.7 Investor Demographic Analysis</w:t>
      </w:r>
      <w:bookmarkEnd w:id="39"/>
    </w:p>
    <w:p w:rsidR="00EE0E0F" w:rsidRDefault="00104130">
      <w:pPr>
        <w:spacing w:after="160" w:line="300" w:lineRule="auto"/>
        <w:jc w:val="both"/>
      </w:pPr>
      <w:r>
        <w:t xml:space="preserve">Investor transaction data was </w:t>
      </w:r>
      <w:proofErr w:type="spellStart"/>
      <w:r>
        <w:t>analysed</w:t>
      </w:r>
      <w:proofErr w:type="spellEnd"/>
      <w:r>
        <w:t xml:space="preserve"> by age group, gender, state, and city tier. Age-group analysis (via pie chart and box plot of investment amount) revealed that investors aged 26-35 contributed the largest share of transactions (13,463 of 32,778, ~41%), followed by the 36-45 age group (8,146, ~25%). Geographic analysis by state and city tier confirmed that T30 (Top 30) cities accounted for approximately 66% of transactions (21,719) versus 34% from B30 (Beyond Top 30) cities (11,059), reflecting the continued concentration of mutual fund penetration in metro and tier-1 cities.</w:t>
      </w:r>
    </w:p>
    <w:p w:rsidR="00EE0E0F" w:rsidRDefault="00C02A4B">
      <w:pPr>
        <w:pBdr>
          <w:top w:val="dashed" w:sz="4" w:space="0" w:color="AAAAAA"/>
          <w:left w:val="dashed" w:sz="4" w:space="0" w:color="AAAAAA"/>
          <w:bottom w:val="dashed" w:sz="4" w:space="0" w:color="AAAAAA"/>
          <w:right w:val="dashed" w:sz="4" w:space="0" w:color="AAAAAA"/>
        </w:pBdr>
        <w:shd w:val="clear" w:color="auto" w:fill="FAFAFA"/>
        <w:spacing w:before="200" w:after="300"/>
        <w:ind w:left="400" w:right="400"/>
        <w:jc w:val="center"/>
      </w:pPr>
      <w:r w:rsidRPr="00C02A4B">
        <w:rPr>
          <w:i/>
          <w:iCs/>
          <w:color w:val="888888"/>
          <w:sz w:val="20"/>
          <w:szCs w:val="20"/>
        </w:rPr>
        <w:lastRenderedPageBreak/>
        <w:drawing>
          <wp:inline distT="0" distB="0" distL="0" distR="0" wp14:anchorId="69371CA8" wp14:editId="019E7DEE">
            <wp:extent cx="5943600" cy="5314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314950"/>
                    </a:xfrm>
                    <a:prstGeom prst="rect">
                      <a:avLst/>
                    </a:prstGeom>
                  </pic:spPr>
                </pic:pic>
              </a:graphicData>
            </a:graphic>
          </wp:inline>
        </w:drawing>
      </w:r>
    </w:p>
    <w:p w:rsidR="00C02A4B" w:rsidRDefault="00C02A4B">
      <w:pPr>
        <w:pStyle w:val="Heading2"/>
        <w:spacing w:before="300" w:after="150"/>
      </w:pPr>
      <w:bookmarkStart w:id="40" w:name="_Toc234514573"/>
      <w:r>
        <w:lastRenderedPageBreak/>
        <w:t xml:space="preserve">      </w:t>
      </w:r>
      <w:r w:rsidRPr="00C02A4B">
        <w:drawing>
          <wp:inline distT="0" distB="0" distL="0" distR="0" wp14:anchorId="2A812D66" wp14:editId="540FD321">
            <wp:extent cx="5943600" cy="47548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754880"/>
                    </a:xfrm>
                    <a:prstGeom prst="rect">
                      <a:avLst/>
                    </a:prstGeom>
                  </pic:spPr>
                </pic:pic>
              </a:graphicData>
            </a:graphic>
          </wp:inline>
        </w:drawing>
      </w:r>
    </w:p>
    <w:p w:rsidR="00C02A4B" w:rsidRDefault="00C02A4B">
      <w:pPr>
        <w:pStyle w:val="Heading2"/>
        <w:spacing w:before="300" w:after="150"/>
      </w:pPr>
    </w:p>
    <w:p w:rsidR="00EE0E0F" w:rsidRDefault="00104130">
      <w:pPr>
        <w:pStyle w:val="Heading2"/>
        <w:spacing w:before="300" w:after="150"/>
      </w:pPr>
      <w:r>
        <w:t>8.8 Correlation Analysis</w:t>
      </w:r>
      <w:bookmarkEnd w:id="40"/>
    </w:p>
    <w:p w:rsidR="00EE0E0F" w:rsidRDefault="00104130">
      <w:pPr>
        <w:spacing w:after="160" w:line="300" w:lineRule="auto"/>
        <w:jc w:val="both"/>
      </w:pPr>
      <w:r>
        <w:t xml:space="preserve">A correlation matrix of daily NAV returns across the top 10 schemes was computed and </w:t>
      </w:r>
      <w:proofErr w:type="spellStart"/>
      <w:r>
        <w:t>visualised</w:t>
      </w:r>
      <w:proofErr w:type="spellEnd"/>
      <w:r>
        <w:t xml:space="preserve"> as a </w:t>
      </w:r>
      <w:proofErr w:type="spellStart"/>
      <w:r>
        <w:t>Seaborn</w:t>
      </w:r>
      <w:proofErr w:type="spellEnd"/>
      <w:r>
        <w:t xml:space="preserve"> </w:t>
      </w:r>
      <w:proofErr w:type="spellStart"/>
      <w:r>
        <w:t>heatmap</w:t>
      </w:r>
      <w:proofErr w:type="spellEnd"/>
      <w:r>
        <w:t>. The analysis revealed several equity schemes exhibiting strong positive correlations with one another, indicating shared exposure to broad market movements, while debt-oriented schemes showed comparatively weaker correlation with equity schemes - useful information for diversification-focused investment strategies.</w:t>
      </w:r>
    </w:p>
    <w:p w:rsidR="00EE0E0F" w:rsidRDefault="00C02A4B">
      <w:pPr>
        <w:pStyle w:val="Heading2"/>
        <w:spacing w:before="300" w:after="150"/>
      </w:pPr>
      <w:bookmarkStart w:id="41" w:name="_Toc234514574"/>
      <w:r w:rsidRPr="00C02A4B">
        <w:rPr>
          <w:b w:val="0"/>
          <w:bCs w:val="0"/>
          <w:i/>
          <w:iCs/>
          <w:color w:val="888888"/>
          <w:sz w:val="20"/>
          <w:szCs w:val="20"/>
        </w:rPr>
        <w:lastRenderedPageBreak/>
        <w:drawing>
          <wp:inline distT="0" distB="0" distL="0" distR="0" wp14:anchorId="7C3CC830" wp14:editId="2A86F722">
            <wp:extent cx="5943600" cy="47548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754880"/>
                    </a:xfrm>
                    <a:prstGeom prst="rect">
                      <a:avLst/>
                    </a:prstGeom>
                  </pic:spPr>
                </pic:pic>
              </a:graphicData>
            </a:graphic>
          </wp:inline>
        </w:drawing>
      </w:r>
      <w:r w:rsidR="00104130">
        <w:t>8.9 Key EDA Findings</w:t>
      </w:r>
      <w:bookmarkEnd w:id="41"/>
    </w:p>
    <w:p w:rsidR="00EE0E0F" w:rsidRDefault="00104130">
      <w:pPr>
        <w:pStyle w:val="ListParagraph"/>
        <w:numPr>
          <w:ilvl w:val="0"/>
          <w:numId w:val="1"/>
        </w:numPr>
        <w:spacing w:after="90" w:line="280" w:lineRule="auto"/>
      </w:pPr>
      <w:r>
        <w:t>SIP inflows showed consistent growth from 2022 to 2025.</w:t>
      </w:r>
    </w:p>
    <w:p w:rsidR="00EE0E0F" w:rsidRDefault="00104130">
      <w:pPr>
        <w:pStyle w:val="ListParagraph"/>
        <w:numPr>
          <w:ilvl w:val="0"/>
          <w:numId w:val="1"/>
        </w:numPr>
        <w:spacing w:after="90" w:line="280" w:lineRule="auto"/>
      </w:pPr>
      <w:r>
        <w:t>Equity-oriented schemes exhibited stronger NAV growth than debt-oriented schemes.</w:t>
      </w:r>
    </w:p>
    <w:p w:rsidR="00EE0E0F" w:rsidRDefault="00104130">
      <w:pPr>
        <w:pStyle w:val="ListParagraph"/>
        <w:numPr>
          <w:ilvl w:val="0"/>
          <w:numId w:val="1"/>
        </w:numPr>
        <w:spacing w:after="90" w:line="280" w:lineRule="auto"/>
      </w:pPr>
      <w:r>
        <w:t>SBI Mutual Fund maintained a dominant AUM position among the fund houses studied.</w:t>
      </w:r>
    </w:p>
    <w:p w:rsidR="00EE0E0F" w:rsidRDefault="00104130">
      <w:pPr>
        <w:pStyle w:val="ListParagraph"/>
        <w:numPr>
          <w:ilvl w:val="0"/>
          <w:numId w:val="1"/>
        </w:numPr>
        <w:spacing w:after="90" w:line="280" w:lineRule="auto"/>
      </w:pPr>
      <w:r>
        <w:t>Retail participation, as measured by SIP transaction counts, increased significantly over the period.</w:t>
      </w:r>
    </w:p>
    <w:p w:rsidR="00EE0E0F" w:rsidRDefault="00104130">
      <w:pPr>
        <w:pStyle w:val="ListParagraph"/>
        <w:numPr>
          <w:ilvl w:val="0"/>
          <w:numId w:val="1"/>
        </w:numPr>
        <w:spacing w:after="90" w:line="280" w:lineRule="auto"/>
      </w:pPr>
      <w:r>
        <w:t>Industry-wide folio counts nearly doubled during the study period.</w:t>
      </w:r>
    </w:p>
    <w:p w:rsidR="00EE0E0F" w:rsidRDefault="00104130">
      <w:pPr>
        <w:pStyle w:val="ListParagraph"/>
        <w:numPr>
          <w:ilvl w:val="0"/>
          <w:numId w:val="1"/>
        </w:numPr>
        <w:spacing w:after="90" w:line="280" w:lineRule="auto"/>
      </w:pPr>
      <w:r>
        <w:t>Investors aged 26-35 contributed the largest share of total transactions.</w:t>
      </w:r>
    </w:p>
    <w:p w:rsidR="00EE0E0F" w:rsidRDefault="00104130">
      <w:pPr>
        <w:pStyle w:val="ListParagraph"/>
        <w:numPr>
          <w:ilvl w:val="0"/>
          <w:numId w:val="1"/>
        </w:numPr>
        <w:spacing w:after="90" w:line="280" w:lineRule="auto"/>
      </w:pPr>
      <w:r>
        <w:t>T30 (metro/tier-1) cities contributed the majority of total investment value.</w:t>
      </w:r>
    </w:p>
    <w:p w:rsidR="00EE0E0F" w:rsidRDefault="00104130">
      <w:pPr>
        <w:pStyle w:val="ListParagraph"/>
        <w:numPr>
          <w:ilvl w:val="0"/>
          <w:numId w:val="1"/>
        </w:numPr>
        <w:spacing w:after="90" w:line="280" w:lineRule="auto"/>
      </w:pPr>
      <w:r>
        <w:t>Equity funds attracted higher net inflows than other categories.</w:t>
      </w:r>
    </w:p>
    <w:p w:rsidR="00EE0E0F" w:rsidRDefault="00104130">
      <w:pPr>
        <w:pStyle w:val="ListParagraph"/>
        <w:numPr>
          <w:ilvl w:val="0"/>
          <w:numId w:val="1"/>
        </w:numPr>
        <w:spacing w:after="90" w:line="280" w:lineRule="auto"/>
      </w:pPr>
      <w:r>
        <w:t>Technology and Financial Services sectors had the highest average portfolio allocation weight.</w:t>
      </w:r>
    </w:p>
    <w:p w:rsidR="00EE0E0F" w:rsidRDefault="00104130">
      <w:pPr>
        <w:pStyle w:val="ListParagraph"/>
        <w:numPr>
          <w:ilvl w:val="0"/>
          <w:numId w:val="1"/>
        </w:numPr>
        <w:spacing w:after="90" w:line="280" w:lineRule="auto"/>
      </w:pPr>
      <w:r>
        <w:t>Several equity funds demonstrated strong positive NAV return correlations, consistent with shared market exposure.</w:t>
      </w:r>
    </w:p>
    <w:p w:rsidR="00EE0E0F" w:rsidRDefault="00104130">
      <w:pPr>
        <w:pStyle w:val="Heading1"/>
        <w:pageBreakBefore/>
        <w:spacing w:before="400"/>
      </w:pPr>
      <w:bookmarkStart w:id="42" w:name="_Toc234514575"/>
      <w:r>
        <w:lastRenderedPageBreak/>
        <w:t>9. Performance Metrics &amp; Fund Evaluation</w:t>
      </w:r>
      <w:bookmarkEnd w:id="42"/>
    </w:p>
    <w:p w:rsidR="00EE0E0F" w:rsidRDefault="00104130">
      <w:pPr>
        <w:spacing w:after="160" w:line="300" w:lineRule="auto"/>
        <w:jc w:val="both"/>
      </w:pPr>
      <w:r>
        <w:t xml:space="preserve">The </w:t>
      </w:r>
      <w:proofErr w:type="spellStart"/>
      <w:r>
        <w:t>Performance_Analytics.ipynb</w:t>
      </w:r>
      <w:proofErr w:type="spellEnd"/>
      <w:r>
        <w:t xml:space="preserve"> notebook implements a comprehensive suite of return and risk-adjusted performance metrics for all 40 mutual fund schemes, using daily NAV data as the primary input. Daily returns were first computed using the percentage change of NAV within each scheme group (</w:t>
      </w:r>
      <w:proofErr w:type="spellStart"/>
      <w:proofErr w:type="gramStart"/>
      <w:r>
        <w:t>df.groupby</w:t>
      </w:r>
      <w:proofErr w:type="spellEnd"/>
      <w:r>
        <w:t>(</w:t>
      </w:r>
      <w:proofErr w:type="gramEnd"/>
      <w:r>
        <w:t>'</w:t>
      </w:r>
      <w:proofErr w:type="spellStart"/>
      <w:r>
        <w:t>amfi_code</w:t>
      </w:r>
      <w:proofErr w:type="spellEnd"/>
      <w:r>
        <w:t>')['</w:t>
      </w:r>
      <w:proofErr w:type="spellStart"/>
      <w:r>
        <w:t>nav</w:t>
      </w:r>
      <w:proofErr w:type="spellEnd"/>
      <w:r>
        <w:t>'].</w:t>
      </w:r>
      <w:proofErr w:type="spellStart"/>
      <w:r>
        <w:t>pct_change</w:t>
      </w:r>
      <w:proofErr w:type="spellEnd"/>
      <w:r>
        <w:t>()), forming the basis for all subsequent calculations.</w:t>
      </w:r>
    </w:p>
    <w:p w:rsidR="00EE0E0F" w:rsidRDefault="00104130">
      <w:pPr>
        <w:pStyle w:val="Heading2"/>
        <w:spacing w:before="300" w:after="150"/>
      </w:pPr>
      <w:bookmarkStart w:id="43" w:name="_Toc234514576"/>
      <w:r>
        <w:t>9.1 CAGR (Compound Annual Growth Rate)</w:t>
      </w:r>
      <w:bookmarkEnd w:id="43"/>
    </w:p>
    <w:p w:rsidR="00EE0E0F" w:rsidRDefault="00104130">
      <w:pPr>
        <w:spacing w:after="160" w:line="300" w:lineRule="auto"/>
        <w:jc w:val="both"/>
      </w:pPr>
      <w:r>
        <w:t xml:space="preserve">CAGR was computed for each scheme using the formula ((End NAV / Start NAV) ^ (1 / Number of Years)) - 1, based on the first and last available NAV observations for each scheme over the dataset's date range. This provides a smoothed, </w:t>
      </w:r>
      <w:proofErr w:type="spellStart"/>
      <w:r>
        <w:t>annualised</w:t>
      </w:r>
      <w:proofErr w:type="spellEnd"/>
      <w:r>
        <w:t xml:space="preserve"> measure of return that accounts for compounding, making it directly comparable across schemes launched at different times.</w:t>
      </w:r>
    </w:p>
    <w:p w:rsidR="00EE0E0F" w:rsidRDefault="0010413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proofErr w:type="spellStart"/>
      <w:proofErr w:type="gramStart"/>
      <w:r>
        <w:rPr>
          <w:rFonts w:ascii="Consolas" w:eastAsia="Consolas" w:hAnsi="Consolas" w:cs="Consolas"/>
          <w:color w:val="222222"/>
          <w:sz w:val="18"/>
          <w:szCs w:val="18"/>
        </w:rPr>
        <w:t>def</w:t>
      </w:r>
      <w:proofErr w:type="spellEnd"/>
      <w:proofErr w:type="gram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calculate_cagr</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start_nav</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end_nav</w:t>
      </w:r>
      <w:proofErr w:type="spellEnd"/>
      <w:r>
        <w:rPr>
          <w:rFonts w:ascii="Consolas" w:eastAsia="Consolas" w:hAnsi="Consolas" w:cs="Consolas"/>
          <w:color w:val="222222"/>
          <w:sz w:val="18"/>
          <w:szCs w:val="18"/>
        </w:rPr>
        <w:t>, years):     return ((</w:t>
      </w:r>
      <w:proofErr w:type="spellStart"/>
      <w:r>
        <w:rPr>
          <w:rFonts w:ascii="Consolas" w:eastAsia="Consolas" w:hAnsi="Consolas" w:cs="Consolas"/>
          <w:color w:val="222222"/>
          <w:sz w:val="18"/>
          <w:szCs w:val="18"/>
        </w:rPr>
        <w:t>end_nav</w:t>
      </w:r>
      <w:proofErr w:type="spellEnd"/>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start_nav</w:t>
      </w:r>
      <w:proofErr w:type="spellEnd"/>
      <w:r>
        <w:rPr>
          <w:rFonts w:ascii="Consolas" w:eastAsia="Consolas" w:hAnsi="Consolas" w:cs="Consolas"/>
          <w:color w:val="222222"/>
          <w:sz w:val="18"/>
          <w:szCs w:val="18"/>
        </w:rPr>
        <w:t>) ** (1 / years)) - 1</w:t>
      </w:r>
    </w:p>
    <w:p w:rsidR="00EE0E0F" w:rsidRDefault="00104130">
      <w:pPr>
        <w:pStyle w:val="Heading2"/>
        <w:spacing w:before="300" w:after="150"/>
      </w:pPr>
      <w:bookmarkStart w:id="44" w:name="_Toc234514577"/>
      <w:r>
        <w:t>9.2 Sharpe Ratio</w:t>
      </w:r>
      <w:bookmarkEnd w:id="44"/>
    </w:p>
    <w:p w:rsidR="00EE0E0F" w:rsidRDefault="00104130">
      <w:pPr>
        <w:spacing w:after="160" w:line="300" w:lineRule="auto"/>
        <w:jc w:val="both"/>
      </w:pPr>
      <w:r>
        <w:t>The Sharpe Ratio measures risk-adjusted return by comparing a scheme's excess return (over a risk-free rate) to its volatility (standard deviation of daily returns). A risk-free daily rate was derived from an assumed annual risk-free rate of 6.5% (</w:t>
      </w:r>
      <w:proofErr w:type="spellStart"/>
      <w:proofErr w:type="gramStart"/>
      <w:r>
        <w:t>rf</w:t>
      </w:r>
      <w:proofErr w:type="spellEnd"/>
      <w:proofErr w:type="gramEnd"/>
      <w:r>
        <w:t xml:space="preserve"> = 0.065 / 252, based on 252 trading days per year). The Sharpe Ratio for each scheme was computed as: (Mean Daily Return - Risk-Free Rate) / Standard Deviation of Daily Returns.</w:t>
      </w:r>
    </w:p>
    <w:p w:rsidR="00EE0E0F" w:rsidRDefault="00104130">
      <w:pPr>
        <w:pStyle w:val="Heading2"/>
        <w:spacing w:before="300" w:after="150"/>
      </w:pPr>
      <w:bookmarkStart w:id="45" w:name="_Toc234514578"/>
      <w:r>
        <w:t xml:space="preserve">9.3 </w:t>
      </w:r>
      <w:proofErr w:type="spellStart"/>
      <w:r>
        <w:t>Sortino</w:t>
      </w:r>
      <w:proofErr w:type="spellEnd"/>
      <w:r>
        <w:t xml:space="preserve"> Ratio</w:t>
      </w:r>
      <w:bookmarkEnd w:id="45"/>
    </w:p>
    <w:p w:rsidR="00EE0E0F" w:rsidRDefault="00104130">
      <w:pPr>
        <w:spacing w:after="160" w:line="300" w:lineRule="auto"/>
        <w:jc w:val="both"/>
      </w:pPr>
      <w:r>
        <w:t xml:space="preserve">The </w:t>
      </w:r>
      <w:proofErr w:type="spellStart"/>
      <w:r>
        <w:t>Sortino</w:t>
      </w:r>
      <w:proofErr w:type="spellEnd"/>
      <w:r>
        <w:t xml:space="preserve"> Ratio refines the Sharpe Ratio by </w:t>
      </w:r>
      <w:proofErr w:type="spellStart"/>
      <w:r>
        <w:t>penalising</w:t>
      </w:r>
      <w:proofErr w:type="spellEnd"/>
      <w:r>
        <w:t xml:space="preserve"> only downside volatility (negative returns) rather than total volatility, providing a more accurate picture of risk-adjusted performance for asymmetric return distributions. It was computed as: (Mean Daily Return - Risk-Free Rate) / Standard Deviation of Negative (Downside) Returns.</w:t>
      </w:r>
    </w:p>
    <w:p w:rsidR="00EE0E0F" w:rsidRDefault="00104130">
      <w:pPr>
        <w:pStyle w:val="Heading2"/>
        <w:spacing w:before="300" w:after="150"/>
      </w:pPr>
      <w:bookmarkStart w:id="46" w:name="_Toc234514579"/>
      <w:r>
        <w:t>9.4 Alpha and Beta</w:t>
      </w:r>
      <w:bookmarkEnd w:id="46"/>
    </w:p>
    <w:p w:rsidR="00EE0E0F" w:rsidRDefault="00104130">
      <w:pPr>
        <w:spacing w:after="160" w:line="300" w:lineRule="auto"/>
        <w:jc w:val="both"/>
      </w:pPr>
      <w:r>
        <w:t>Alpha and Beta were calculated using linear regression (</w:t>
      </w:r>
      <w:proofErr w:type="spellStart"/>
      <w:r>
        <w:t>scipy.stats.linregress</w:t>
      </w:r>
      <w:proofErr w:type="spellEnd"/>
      <w:r>
        <w:t>) of each scheme's daily returns against the NIFTY100 benchmark's daily returns. Beta measures a scheme's sensitivity to market movements (the regression slope), while Alpha represents the excess return generated by the scheme beyond what would be predicted by its Beta-adjusted exposure to the benchmark (the regression intercept).</w:t>
      </w:r>
    </w:p>
    <w:p w:rsidR="00EE0E0F" w:rsidRDefault="00104130">
      <w:pPr>
        <w:pStyle w:val="Heading2"/>
        <w:spacing w:before="300" w:after="150"/>
      </w:pPr>
      <w:bookmarkStart w:id="47" w:name="_Toc234514580"/>
      <w:r>
        <w:t>9.5 Maximum Drawdown</w:t>
      </w:r>
      <w:bookmarkEnd w:id="47"/>
    </w:p>
    <w:p w:rsidR="00EE0E0F" w:rsidRDefault="00104130">
      <w:pPr>
        <w:spacing w:after="160" w:line="300" w:lineRule="auto"/>
        <w:jc w:val="both"/>
      </w:pPr>
      <w:r>
        <w:lastRenderedPageBreak/>
        <w:t>Maximum Drawdown measures the largest peak-to-trough decline in a scheme's NAV over the observation period, computed by tracking the running maximum NAV and calculating the percentage decline from that running maximum at every point in time, then taking the minimum (most negative) value observed.</w:t>
      </w:r>
    </w:p>
    <w:p w:rsidR="00EE0E0F" w:rsidRDefault="0010413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proofErr w:type="gramStart"/>
      <w:r>
        <w:rPr>
          <w:rFonts w:ascii="Consolas" w:eastAsia="Consolas" w:hAnsi="Consolas" w:cs="Consolas"/>
          <w:color w:val="222222"/>
          <w:sz w:val="18"/>
          <w:szCs w:val="18"/>
        </w:rPr>
        <w:t>temp[</w:t>
      </w:r>
      <w:proofErr w:type="gram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running_max</w:t>
      </w:r>
      <w:proofErr w:type="spellEnd"/>
      <w:r>
        <w:rPr>
          <w:rFonts w:ascii="Consolas" w:eastAsia="Consolas" w:hAnsi="Consolas" w:cs="Consolas"/>
          <w:color w:val="222222"/>
          <w:sz w:val="18"/>
          <w:szCs w:val="18"/>
        </w:rPr>
        <w:t>'] = temp['</w:t>
      </w:r>
      <w:proofErr w:type="spellStart"/>
      <w:r>
        <w:rPr>
          <w:rFonts w:ascii="Consolas" w:eastAsia="Consolas" w:hAnsi="Consolas" w:cs="Consolas"/>
          <w:color w:val="222222"/>
          <w:sz w:val="18"/>
          <w:szCs w:val="18"/>
        </w:rPr>
        <w:t>nav</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cummax</w:t>
      </w:r>
      <w:proofErr w:type="spellEnd"/>
      <w:r>
        <w:rPr>
          <w:rFonts w:ascii="Consolas" w:eastAsia="Consolas" w:hAnsi="Consolas" w:cs="Consolas"/>
          <w:color w:val="222222"/>
          <w:sz w:val="18"/>
          <w:szCs w:val="18"/>
        </w:rPr>
        <w:t>() temp['drawdown'] = (temp['</w:t>
      </w:r>
      <w:proofErr w:type="spellStart"/>
      <w:r>
        <w:rPr>
          <w:rFonts w:ascii="Consolas" w:eastAsia="Consolas" w:hAnsi="Consolas" w:cs="Consolas"/>
          <w:color w:val="222222"/>
          <w:sz w:val="18"/>
          <w:szCs w:val="18"/>
        </w:rPr>
        <w:t>nav</w:t>
      </w:r>
      <w:proofErr w:type="spellEnd"/>
      <w:r>
        <w:rPr>
          <w:rFonts w:ascii="Consolas" w:eastAsia="Consolas" w:hAnsi="Consolas" w:cs="Consolas"/>
          <w:color w:val="222222"/>
          <w:sz w:val="18"/>
          <w:szCs w:val="18"/>
        </w:rPr>
        <w:t>'] / temp['</w:t>
      </w:r>
      <w:proofErr w:type="spellStart"/>
      <w:r>
        <w:rPr>
          <w:rFonts w:ascii="Consolas" w:eastAsia="Consolas" w:hAnsi="Consolas" w:cs="Consolas"/>
          <w:color w:val="222222"/>
          <w:sz w:val="18"/>
          <w:szCs w:val="18"/>
        </w:rPr>
        <w:t>running_max</w:t>
      </w:r>
      <w:proofErr w:type="spellEnd"/>
      <w:r>
        <w:rPr>
          <w:rFonts w:ascii="Consolas" w:eastAsia="Consolas" w:hAnsi="Consolas" w:cs="Consolas"/>
          <w:color w:val="222222"/>
          <w:sz w:val="18"/>
          <w:szCs w:val="18"/>
        </w:rPr>
        <w:t xml:space="preserve">']) - 1 </w:t>
      </w:r>
      <w:proofErr w:type="spellStart"/>
      <w:r>
        <w:rPr>
          <w:rFonts w:ascii="Consolas" w:eastAsia="Consolas" w:hAnsi="Consolas" w:cs="Consolas"/>
          <w:color w:val="222222"/>
          <w:sz w:val="18"/>
          <w:szCs w:val="18"/>
        </w:rPr>
        <w:t>max_drawdown</w:t>
      </w:r>
      <w:proofErr w:type="spellEnd"/>
      <w:r>
        <w:rPr>
          <w:rFonts w:ascii="Consolas" w:eastAsia="Consolas" w:hAnsi="Consolas" w:cs="Consolas"/>
          <w:color w:val="222222"/>
          <w:sz w:val="18"/>
          <w:szCs w:val="18"/>
        </w:rPr>
        <w:t xml:space="preserve"> = temp['drawdown'].min()</w:t>
      </w:r>
    </w:p>
    <w:p w:rsidR="00EE0E0F" w:rsidRDefault="00104130">
      <w:pPr>
        <w:pStyle w:val="Heading2"/>
        <w:spacing w:before="300" w:after="150"/>
      </w:pPr>
      <w:bookmarkStart w:id="48" w:name="_Toc234514581"/>
      <w:r>
        <w:t>9.6 Tracking Error</w:t>
      </w:r>
      <w:bookmarkEnd w:id="48"/>
    </w:p>
    <w:p w:rsidR="00EE0E0F" w:rsidRDefault="00104130">
      <w:pPr>
        <w:spacing w:after="160" w:line="300" w:lineRule="auto"/>
        <w:jc w:val="both"/>
      </w:pPr>
      <w:r>
        <w:t>Tracking Error measures how closely a scheme's returns follow its benchmark, computed as the standard deviation of the difference between the scheme's daily returns and the benchmark's daily returns. Lower tracking error indicates closer benchmark replication, which is particularly relevant for index and passively managed funds.</w:t>
      </w:r>
    </w:p>
    <w:p w:rsidR="00EE0E0F" w:rsidRDefault="00104130">
      <w:pPr>
        <w:pStyle w:val="Heading2"/>
        <w:spacing w:before="300" w:after="150"/>
      </w:pPr>
      <w:bookmarkStart w:id="49" w:name="_Toc234514582"/>
      <w:r>
        <w:t>9.7 Composite Fund Scorecard</w:t>
      </w:r>
      <w:bookmarkEnd w:id="49"/>
    </w:p>
    <w:p w:rsidR="00EE0E0F" w:rsidRDefault="00104130">
      <w:pPr>
        <w:spacing w:after="160" w:line="300" w:lineRule="auto"/>
        <w:jc w:val="both"/>
      </w:pPr>
      <w:r>
        <w:t>A composite Fund Scorecard was developed to rank all 40 schemes on a single, normalized 0-100 scale, combining multiple performance dimensions into a single actionable score. Each scheme was ranked (1 = best) on five component metrics, and a weighted composite rank score was computed:</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00"/>
      </w:tblGrid>
      <w:tr w:rsidR="00EE0E0F">
        <w:tblPrEx>
          <w:tblCellMar>
            <w:top w:w="0" w:type="dxa"/>
            <w:bottom w:w="0" w:type="dxa"/>
          </w:tblCellMar>
        </w:tblPrEx>
        <w:trPr>
          <w:tblHeader/>
        </w:trPr>
        <w:tc>
          <w:tcPr>
            <w:tcW w:w="6000" w:type="dxa"/>
            <w:shd w:val="clear" w:color="auto" w:fill="1F3864"/>
            <w:tcMar>
              <w:top w:w="80" w:type="dxa"/>
              <w:left w:w="100" w:type="dxa"/>
              <w:bottom w:w="80" w:type="dxa"/>
              <w:right w:w="100" w:type="dxa"/>
            </w:tcMar>
            <w:vAlign w:val="center"/>
          </w:tcPr>
          <w:p w:rsidR="00EE0E0F" w:rsidRDefault="00104130">
            <w:r>
              <w:rPr>
                <w:b/>
                <w:bCs/>
                <w:color w:val="FFFFFF"/>
                <w:sz w:val="20"/>
                <w:szCs w:val="20"/>
              </w:rPr>
              <w:t>Component Metric</w:t>
            </w:r>
          </w:p>
        </w:tc>
        <w:tc>
          <w:tcPr>
            <w:tcW w:w="3000" w:type="dxa"/>
            <w:shd w:val="clear" w:color="auto" w:fill="1F3864"/>
            <w:tcMar>
              <w:top w:w="80" w:type="dxa"/>
              <w:left w:w="100" w:type="dxa"/>
              <w:bottom w:w="80" w:type="dxa"/>
              <w:right w:w="100" w:type="dxa"/>
            </w:tcMar>
            <w:vAlign w:val="center"/>
          </w:tcPr>
          <w:p w:rsidR="00EE0E0F" w:rsidRDefault="00104130">
            <w:r>
              <w:rPr>
                <w:b/>
                <w:bCs/>
                <w:color w:val="FFFFFF"/>
                <w:sz w:val="20"/>
                <w:szCs w:val="20"/>
              </w:rPr>
              <w:t>Weight</w:t>
            </w:r>
          </w:p>
        </w:tc>
      </w:tr>
      <w:tr w:rsidR="00EE0E0F">
        <w:tblPrEx>
          <w:tblCellMar>
            <w:top w:w="0" w:type="dxa"/>
            <w:bottom w:w="0" w:type="dxa"/>
          </w:tblCellMar>
        </w:tblPrEx>
        <w:tc>
          <w:tcPr>
            <w:tcW w:w="6000" w:type="dxa"/>
            <w:tcMar>
              <w:top w:w="80" w:type="dxa"/>
              <w:left w:w="100" w:type="dxa"/>
              <w:bottom w:w="80" w:type="dxa"/>
              <w:right w:w="100" w:type="dxa"/>
            </w:tcMar>
            <w:vAlign w:val="center"/>
          </w:tcPr>
          <w:p w:rsidR="00EE0E0F" w:rsidRDefault="00104130">
            <w:r>
              <w:rPr>
                <w:color w:val="222222"/>
                <w:sz w:val="20"/>
                <w:szCs w:val="20"/>
              </w:rPr>
              <w:t>CAGR (Return Rank)</w:t>
            </w:r>
          </w:p>
        </w:tc>
        <w:tc>
          <w:tcPr>
            <w:tcW w:w="3000" w:type="dxa"/>
            <w:tcMar>
              <w:top w:w="80" w:type="dxa"/>
              <w:left w:w="100" w:type="dxa"/>
              <w:bottom w:w="80" w:type="dxa"/>
              <w:right w:w="100" w:type="dxa"/>
            </w:tcMar>
            <w:vAlign w:val="center"/>
          </w:tcPr>
          <w:p w:rsidR="00EE0E0F" w:rsidRDefault="00104130">
            <w:r>
              <w:rPr>
                <w:color w:val="222222"/>
                <w:sz w:val="20"/>
                <w:szCs w:val="20"/>
              </w:rPr>
              <w:t>30%</w:t>
            </w:r>
          </w:p>
        </w:tc>
      </w:tr>
      <w:tr w:rsidR="00EE0E0F">
        <w:tblPrEx>
          <w:tblCellMar>
            <w:top w:w="0" w:type="dxa"/>
            <w:bottom w:w="0" w:type="dxa"/>
          </w:tblCellMar>
        </w:tblPrEx>
        <w:tc>
          <w:tcPr>
            <w:tcW w:w="6000" w:type="dxa"/>
            <w:shd w:val="clear" w:color="auto" w:fill="F2F6FB"/>
            <w:tcMar>
              <w:top w:w="80" w:type="dxa"/>
              <w:left w:w="100" w:type="dxa"/>
              <w:bottom w:w="80" w:type="dxa"/>
              <w:right w:w="100" w:type="dxa"/>
            </w:tcMar>
            <w:vAlign w:val="center"/>
          </w:tcPr>
          <w:p w:rsidR="00EE0E0F" w:rsidRDefault="00104130">
            <w:r>
              <w:rPr>
                <w:color w:val="222222"/>
                <w:sz w:val="20"/>
                <w:szCs w:val="20"/>
              </w:rPr>
              <w:t>Sharpe Ratio (Risk-Adjusted Return Rank)</w:t>
            </w:r>
          </w:p>
        </w:tc>
        <w:tc>
          <w:tcPr>
            <w:tcW w:w="3000" w:type="dxa"/>
            <w:shd w:val="clear" w:color="auto" w:fill="F2F6FB"/>
            <w:tcMar>
              <w:top w:w="80" w:type="dxa"/>
              <w:left w:w="100" w:type="dxa"/>
              <w:bottom w:w="80" w:type="dxa"/>
              <w:right w:w="100" w:type="dxa"/>
            </w:tcMar>
            <w:vAlign w:val="center"/>
          </w:tcPr>
          <w:p w:rsidR="00EE0E0F" w:rsidRDefault="00104130">
            <w:r>
              <w:rPr>
                <w:color w:val="222222"/>
                <w:sz w:val="20"/>
                <w:szCs w:val="20"/>
              </w:rPr>
              <w:t>25%</w:t>
            </w:r>
          </w:p>
        </w:tc>
      </w:tr>
      <w:tr w:rsidR="00EE0E0F">
        <w:tblPrEx>
          <w:tblCellMar>
            <w:top w:w="0" w:type="dxa"/>
            <w:bottom w:w="0" w:type="dxa"/>
          </w:tblCellMar>
        </w:tblPrEx>
        <w:tc>
          <w:tcPr>
            <w:tcW w:w="6000" w:type="dxa"/>
            <w:tcMar>
              <w:top w:w="80" w:type="dxa"/>
              <w:left w:w="100" w:type="dxa"/>
              <w:bottom w:w="80" w:type="dxa"/>
              <w:right w:w="100" w:type="dxa"/>
            </w:tcMar>
            <w:vAlign w:val="center"/>
          </w:tcPr>
          <w:p w:rsidR="00EE0E0F" w:rsidRDefault="00104130">
            <w:r>
              <w:rPr>
                <w:color w:val="222222"/>
                <w:sz w:val="20"/>
                <w:szCs w:val="20"/>
              </w:rPr>
              <w:t>Alpha (Benchmark-Adjusted Excess Return Rank)</w:t>
            </w:r>
          </w:p>
        </w:tc>
        <w:tc>
          <w:tcPr>
            <w:tcW w:w="3000" w:type="dxa"/>
            <w:tcMar>
              <w:top w:w="80" w:type="dxa"/>
              <w:left w:w="100" w:type="dxa"/>
              <w:bottom w:w="80" w:type="dxa"/>
              <w:right w:w="100" w:type="dxa"/>
            </w:tcMar>
            <w:vAlign w:val="center"/>
          </w:tcPr>
          <w:p w:rsidR="00EE0E0F" w:rsidRDefault="00104130">
            <w:r>
              <w:rPr>
                <w:color w:val="222222"/>
                <w:sz w:val="20"/>
                <w:szCs w:val="20"/>
              </w:rPr>
              <w:t>20%</w:t>
            </w:r>
          </w:p>
        </w:tc>
      </w:tr>
      <w:tr w:rsidR="00EE0E0F">
        <w:tblPrEx>
          <w:tblCellMar>
            <w:top w:w="0" w:type="dxa"/>
            <w:bottom w:w="0" w:type="dxa"/>
          </w:tblCellMar>
        </w:tblPrEx>
        <w:tc>
          <w:tcPr>
            <w:tcW w:w="6000" w:type="dxa"/>
            <w:shd w:val="clear" w:color="auto" w:fill="F2F6FB"/>
            <w:tcMar>
              <w:top w:w="80" w:type="dxa"/>
              <w:left w:w="100" w:type="dxa"/>
              <w:bottom w:w="80" w:type="dxa"/>
              <w:right w:w="100" w:type="dxa"/>
            </w:tcMar>
            <w:vAlign w:val="center"/>
          </w:tcPr>
          <w:p w:rsidR="00EE0E0F" w:rsidRDefault="00104130">
            <w:r>
              <w:rPr>
                <w:color w:val="222222"/>
                <w:sz w:val="20"/>
                <w:szCs w:val="20"/>
              </w:rPr>
              <w:t>Expense Ratio (Cost Efficiency Rank)</w:t>
            </w:r>
          </w:p>
        </w:tc>
        <w:tc>
          <w:tcPr>
            <w:tcW w:w="3000" w:type="dxa"/>
            <w:shd w:val="clear" w:color="auto" w:fill="F2F6FB"/>
            <w:tcMar>
              <w:top w:w="80" w:type="dxa"/>
              <w:left w:w="100" w:type="dxa"/>
              <w:bottom w:w="80" w:type="dxa"/>
              <w:right w:w="100" w:type="dxa"/>
            </w:tcMar>
            <w:vAlign w:val="center"/>
          </w:tcPr>
          <w:p w:rsidR="00EE0E0F" w:rsidRDefault="00104130">
            <w:r>
              <w:rPr>
                <w:color w:val="222222"/>
                <w:sz w:val="20"/>
                <w:szCs w:val="20"/>
              </w:rPr>
              <w:t>15%</w:t>
            </w:r>
          </w:p>
        </w:tc>
      </w:tr>
      <w:tr w:rsidR="00EE0E0F">
        <w:tblPrEx>
          <w:tblCellMar>
            <w:top w:w="0" w:type="dxa"/>
            <w:bottom w:w="0" w:type="dxa"/>
          </w:tblCellMar>
        </w:tblPrEx>
        <w:tc>
          <w:tcPr>
            <w:tcW w:w="6000" w:type="dxa"/>
            <w:tcMar>
              <w:top w:w="80" w:type="dxa"/>
              <w:left w:w="100" w:type="dxa"/>
              <w:bottom w:w="80" w:type="dxa"/>
              <w:right w:w="100" w:type="dxa"/>
            </w:tcMar>
            <w:vAlign w:val="center"/>
          </w:tcPr>
          <w:p w:rsidR="00EE0E0F" w:rsidRDefault="00104130">
            <w:r>
              <w:rPr>
                <w:color w:val="222222"/>
                <w:sz w:val="20"/>
                <w:szCs w:val="20"/>
              </w:rPr>
              <w:t>Maximum Drawdown (Downside Risk Rank)</w:t>
            </w:r>
          </w:p>
        </w:tc>
        <w:tc>
          <w:tcPr>
            <w:tcW w:w="3000" w:type="dxa"/>
            <w:tcMar>
              <w:top w:w="80" w:type="dxa"/>
              <w:left w:w="100" w:type="dxa"/>
              <w:bottom w:w="80" w:type="dxa"/>
              <w:right w:w="100" w:type="dxa"/>
            </w:tcMar>
            <w:vAlign w:val="center"/>
          </w:tcPr>
          <w:p w:rsidR="00EE0E0F" w:rsidRDefault="00104130">
            <w:r>
              <w:rPr>
                <w:color w:val="222222"/>
                <w:sz w:val="20"/>
                <w:szCs w:val="20"/>
              </w:rPr>
              <w:t>10%</w:t>
            </w:r>
          </w:p>
        </w:tc>
      </w:tr>
    </w:tbl>
    <w:p w:rsidR="00EE0E0F" w:rsidRDefault="00EE0E0F">
      <w:pPr>
        <w:spacing w:after="200"/>
      </w:pPr>
    </w:p>
    <w:p w:rsidR="00EE0E0F" w:rsidRDefault="00104130">
      <w:pPr>
        <w:spacing w:after="160" w:line="300" w:lineRule="auto"/>
        <w:jc w:val="both"/>
      </w:pPr>
      <w:r>
        <w:t>The weighted rank score was then min-max normalized to a 0-100 scale (with 100 representing the best-performing fund), giving stakeholders a single, intuitive score for quick fund comparison alongside the underlying detailed metrics.</w:t>
      </w:r>
    </w:p>
    <w:p w:rsidR="00EE0E0F" w:rsidRDefault="00104130">
      <w:pPr>
        <w:pStyle w:val="Heading2"/>
        <w:spacing w:before="300" w:after="150"/>
      </w:pPr>
      <w:bookmarkStart w:id="50" w:name="_Toc234514583"/>
      <w:r>
        <w:t>9.8 Sample Performance Statistics</w:t>
      </w:r>
      <w:bookmarkEnd w:id="50"/>
    </w:p>
    <w:p w:rsidR="00EE0E0F" w:rsidRDefault="00104130">
      <w:pPr>
        <w:spacing w:after="160" w:line="300" w:lineRule="auto"/>
        <w:jc w:val="both"/>
      </w:pPr>
      <w:r>
        <w:t xml:space="preserve">Across the 40 schemes </w:t>
      </w:r>
      <w:proofErr w:type="spellStart"/>
      <w:r>
        <w:t>analysed</w:t>
      </w:r>
      <w:proofErr w:type="spellEnd"/>
      <w:r>
        <w:t xml:space="preserve"> in the scheme performance dataset, the following summary statistics were observed:</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1"/>
        <w:gridCol w:w="1963"/>
        <w:gridCol w:w="1953"/>
        <w:gridCol w:w="1963"/>
      </w:tblGrid>
      <w:tr w:rsidR="00EE0E0F">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rsidR="00EE0E0F" w:rsidRDefault="00104130">
            <w:r>
              <w:rPr>
                <w:b/>
                <w:bCs/>
                <w:color w:val="FFFFFF"/>
                <w:sz w:val="20"/>
                <w:szCs w:val="20"/>
              </w:rPr>
              <w:t>Metric</w:t>
            </w:r>
          </w:p>
        </w:tc>
        <w:tc>
          <w:tcPr>
            <w:tcW w:w="2000" w:type="dxa"/>
            <w:shd w:val="clear" w:color="auto" w:fill="1F3864"/>
            <w:tcMar>
              <w:top w:w="80" w:type="dxa"/>
              <w:left w:w="100" w:type="dxa"/>
              <w:bottom w:w="80" w:type="dxa"/>
              <w:right w:w="100" w:type="dxa"/>
            </w:tcMar>
            <w:vAlign w:val="center"/>
          </w:tcPr>
          <w:p w:rsidR="00EE0E0F" w:rsidRDefault="00104130">
            <w:r>
              <w:rPr>
                <w:b/>
                <w:bCs/>
                <w:color w:val="FFFFFF"/>
                <w:sz w:val="20"/>
                <w:szCs w:val="20"/>
              </w:rPr>
              <w:t>Mean</w:t>
            </w:r>
          </w:p>
        </w:tc>
        <w:tc>
          <w:tcPr>
            <w:tcW w:w="2000" w:type="dxa"/>
            <w:shd w:val="clear" w:color="auto" w:fill="1F3864"/>
            <w:tcMar>
              <w:top w:w="80" w:type="dxa"/>
              <w:left w:w="100" w:type="dxa"/>
              <w:bottom w:w="80" w:type="dxa"/>
              <w:right w:w="100" w:type="dxa"/>
            </w:tcMar>
            <w:vAlign w:val="center"/>
          </w:tcPr>
          <w:p w:rsidR="00EE0E0F" w:rsidRDefault="00104130">
            <w:r>
              <w:rPr>
                <w:b/>
                <w:bCs/>
                <w:color w:val="FFFFFF"/>
                <w:sz w:val="20"/>
                <w:szCs w:val="20"/>
              </w:rPr>
              <w:t>Min</w:t>
            </w:r>
          </w:p>
        </w:tc>
        <w:tc>
          <w:tcPr>
            <w:tcW w:w="2000" w:type="dxa"/>
            <w:shd w:val="clear" w:color="auto" w:fill="1F3864"/>
            <w:tcMar>
              <w:top w:w="80" w:type="dxa"/>
              <w:left w:w="100" w:type="dxa"/>
              <w:bottom w:w="80" w:type="dxa"/>
              <w:right w:w="100" w:type="dxa"/>
            </w:tcMar>
            <w:vAlign w:val="center"/>
          </w:tcPr>
          <w:p w:rsidR="00EE0E0F" w:rsidRDefault="00104130">
            <w:r>
              <w:rPr>
                <w:b/>
                <w:bCs/>
                <w:color w:val="FFFFFF"/>
                <w:sz w:val="20"/>
                <w:szCs w:val="20"/>
              </w:rPr>
              <w:t>Max</w:t>
            </w:r>
          </w:p>
        </w:tc>
      </w:tr>
      <w:tr w:rsidR="00EE0E0F">
        <w:tblPrEx>
          <w:tblCellMar>
            <w:top w:w="0" w:type="dxa"/>
            <w:bottom w:w="0" w:type="dxa"/>
          </w:tblCellMar>
        </w:tblPrEx>
        <w:tc>
          <w:tcPr>
            <w:tcW w:w="3200" w:type="dxa"/>
            <w:tcMar>
              <w:top w:w="80" w:type="dxa"/>
              <w:left w:w="100" w:type="dxa"/>
              <w:bottom w:w="80" w:type="dxa"/>
              <w:right w:w="100" w:type="dxa"/>
            </w:tcMar>
            <w:vAlign w:val="center"/>
          </w:tcPr>
          <w:p w:rsidR="00EE0E0F" w:rsidRDefault="00104130">
            <w:r>
              <w:rPr>
                <w:color w:val="222222"/>
                <w:sz w:val="20"/>
                <w:szCs w:val="20"/>
              </w:rPr>
              <w:t>1-Year Return (%)</w:t>
            </w:r>
          </w:p>
        </w:tc>
        <w:tc>
          <w:tcPr>
            <w:tcW w:w="2000" w:type="dxa"/>
            <w:tcMar>
              <w:top w:w="80" w:type="dxa"/>
              <w:left w:w="100" w:type="dxa"/>
              <w:bottom w:w="80" w:type="dxa"/>
              <w:right w:w="100" w:type="dxa"/>
            </w:tcMar>
            <w:vAlign w:val="center"/>
          </w:tcPr>
          <w:p w:rsidR="00EE0E0F" w:rsidRDefault="00104130">
            <w:r>
              <w:rPr>
                <w:color w:val="222222"/>
                <w:sz w:val="20"/>
                <w:szCs w:val="20"/>
              </w:rPr>
              <w:t>14.38</w:t>
            </w:r>
          </w:p>
        </w:tc>
        <w:tc>
          <w:tcPr>
            <w:tcW w:w="2000" w:type="dxa"/>
            <w:tcMar>
              <w:top w:w="80" w:type="dxa"/>
              <w:left w:w="100" w:type="dxa"/>
              <w:bottom w:w="80" w:type="dxa"/>
              <w:right w:w="100" w:type="dxa"/>
            </w:tcMar>
            <w:vAlign w:val="center"/>
          </w:tcPr>
          <w:p w:rsidR="00EE0E0F" w:rsidRDefault="00104130">
            <w:r>
              <w:rPr>
                <w:color w:val="222222"/>
                <w:sz w:val="20"/>
                <w:szCs w:val="20"/>
              </w:rPr>
              <w:t>4.26</w:t>
            </w:r>
          </w:p>
        </w:tc>
        <w:tc>
          <w:tcPr>
            <w:tcW w:w="2000" w:type="dxa"/>
            <w:tcMar>
              <w:top w:w="80" w:type="dxa"/>
              <w:left w:w="100" w:type="dxa"/>
              <w:bottom w:w="80" w:type="dxa"/>
              <w:right w:w="100" w:type="dxa"/>
            </w:tcMar>
            <w:vAlign w:val="center"/>
          </w:tcPr>
          <w:p w:rsidR="00EE0E0F" w:rsidRDefault="00104130">
            <w:r>
              <w:rPr>
                <w:color w:val="222222"/>
                <w:sz w:val="20"/>
                <w:szCs w:val="20"/>
              </w:rPr>
              <w:t>24.93</w:t>
            </w:r>
          </w:p>
        </w:tc>
      </w:tr>
      <w:tr w:rsidR="00EE0E0F">
        <w:tblPrEx>
          <w:tblCellMar>
            <w:top w:w="0" w:type="dxa"/>
            <w:bottom w:w="0" w:type="dxa"/>
          </w:tblCellMar>
        </w:tblPrEx>
        <w:tc>
          <w:tcPr>
            <w:tcW w:w="3200" w:type="dxa"/>
            <w:shd w:val="clear" w:color="auto" w:fill="F2F6FB"/>
            <w:tcMar>
              <w:top w:w="80" w:type="dxa"/>
              <w:left w:w="100" w:type="dxa"/>
              <w:bottom w:w="80" w:type="dxa"/>
              <w:right w:w="100" w:type="dxa"/>
            </w:tcMar>
            <w:vAlign w:val="center"/>
          </w:tcPr>
          <w:p w:rsidR="00EE0E0F" w:rsidRDefault="00104130">
            <w:r>
              <w:rPr>
                <w:color w:val="222222"/>
                <w:sz w:val="20"/>
                <w:szCs w:val="20"/>
              </w:rPr>
              <w:t>3-Year Return (%)</w:t>
            </w:r>
          </w:p>
        </w:tc>
        <w:tc>
          <w:tcPr>
            <w:tcW w:w="2000" w:type="dxa"/>
            <w:shd w:val="clear" w:color="auto" w:fill="F2F6FB"/>
            <w:tcMar>
              <w:top w:w="80" w:type="dxa"/>
              <w:left w:w="100" w:type="dxa"/>
              <w:bottom w:w="80" w:type="dxa"/>
              <w:right w:w="100" w:type="dxa"/>
            </w:tcMar>
            <w:vAlign w:val="center"/>
          </w:tcPr>
          <w:p w:rsidR="00EE0E0F" w:rsidRDefault="00104130">
            <w:r>
              <w:rPr>
                <w:color w:val="222222"/>
                <w:sz w:val="20"/>
                <w:szCs w:val="20"/>
              </w:rPr>
              <w:t>14.09</w:t>
            </w:r>
          </w:p>
        </w:tc>
        <w:tc>
          <w:tcPr>
            <w:tcW w:w="2000" w:type="dxa"/>
            <w:shd w:val="clear" w:color="auto" w:fill="F2F6FB"/>
            <w:tcMar>
              <w:top w:w="80" w:type="dxa"/>
              <w:left w:w="100" w:type="dxa"/>
              <w:bottom w:w="80" w:type="dxa"/>
              <w:right w:w="100" w:type="dxa"/>
            </w:tcMar>
            <w:vAlign w:val="center"/>
          </w:tcPr>
          <w:p w:rsidR="00EE0E0F" w:rsidRDefault="00104130">
            <w:r>
              <w:rPr>
                <w:color w:val="222222"/>
                <w:sz w:val="20"/>
                <w:szCs w:val="20"/>
              </w:rPr>
              <w:t>5.14</w:t>
            </w:r>
          </w:p>
        </w:tc>
        <w:tc>
          <w:tcPr>
            <w:tcW w:w="2000" w:type="dxa"/>
            <w:shd w:val="clear" w:color="auto" w:fill="F2F6FB"/>
            <w:tcMar>
              <w:top w:w="80" w:type="dxa"/>
              <w:left w:w="100" w:type="dxa"/>
              <w:bottom w:w="80" w:type="dxa"/>
              <w:right w:w="100" w:type="dxa"/>
            </w:tcMar>
            <w:vAlign w:val="center"/>
          </w:tcPr>
          <w:p w:rsidR="00EE0E0F" w:rsidRDefault="00104130">
            <w:r>
              <w:rPr>
                <w:color w:val="222222"/>
                <w:sz w:val="20"/>
                <w:szCs w:val="20"/>
              </w:rPr>
              <w:t>23.39</w:t>
            </w:r>
          </w:p>
        </w:tc>
      </w:tr>
      <w:tr w:rsidR="00EE0E0F">
        <w:tblPrEx>
          <w:tblCellMar>
            <w:top w:w="0" w:type="dxa"/>
            <w:bottom w:w="0" w:type="dxa"/>
          </w:tblCellMar>
        </w:tblPrEx>
        <w:tc>
          <w:tcPr>
            <w:tcW w:w="3200" w:type="dxa"/>
            <w:tcMar>
              <w:top w:w="80" w:type="dxa"/>
              <w:left w:w="100" w:type="dxa"/>
              <w:bottom w:w="80" w:type="dxa"/>
              <w:right w:w="100" w:type="dxa"/>
            </w:tcMar>
            <w:vAlign w:val="center"/>
          </w:tcPr>
          <w:p w:rsidR="00EE0E0F" w:rsidRDefault="00104130">
            <w:r>
              <w:rPr>
                <w:color w:val="222222"/>
                <w:sz w:val="20"/>
                <w:szCs w:val="20"/>
              </w:rPr>
              <w:lastRenderedPageBreak/>
              <w:t>5-Year Return (%)</w:t>
            </w:r>
          </w:p>
        </w:tc>
        <w:tc>
          <w:tcPr>
            <w:tcW w:w="2000" w:type="dxa"/>
            <w:tcMar>
              <w:top w:w="80" w:type="dxa"/>
              <w:left w:w="100" w:type="dxa"/>
              <w:bottom w:w="80" w:type="dxa"/>
              <w:right w:w="100" w:type="dxa"/>
            </w:tcMar>
            <w:vAlign w:val="center"/>
          </w:tcPr>
          <w:p w:rsidR="00EE0E0F" w:rsidRDefault="00104130">
            <w:r>
              <w:rPr>
                <w:color w:val="222222"/>
                <w:sz w:val="20"/>
                <w:szCs w:val="20"/>
              </w:rPr>
              <w:t>14.52</w:t>
            </w:r>
          </w:p>
        </w:tc>
        <w:tc>
          <w:tcPr>
            <w:tcW w:w="2000" w:type="dxa"/>
            <w:tcMar>
              <w:top w:w="80" w:type="dxa"/>
              <w:left w:w="100" w:type="dxa"/>
              <w:bottom w:w="80" w:type="dxa"/>
              <w:right w:w="100" w:type="dxa"/>
            </w:tcMar>
            <w:vAlign w:val="center"/>
          </w:tcPr>
          <w:p w:rsidR="00EE0E0F" w:rsidRDefault="00104130">
            <w:r>
              <w:rPr>
                <w:color w:val="222222"/>
                <w:sz w:val="20"/>
                <w:szCs w:val="20"/>
              </w:rPr>
              <w:t>5.43</w:t>
            </w:r>
          </w:p>
        </w:tc>
        <w:tc>
          <w:tcPr>
            <w:tcW w:w="2000" w:type="dxa"/>
            <w:tcMar>
              <w:top w:w="80" w:type="dxa"/>
              <w:left w:w="100" w:type="dxa"/>
              <w:bottom w:w="80" w:type="dxa"/>
              <w:right w:w="100" w:type="dxa"/>
            </w:tcMar>
            <w:vAlign w:val="center"/>
          </w:tcPr>
          <w:p w:rsidR="00EE0E0F" w:rsidRDefault="00104130">
            <w:r>
              <w:rPr>
                <w:color w:val="222222"/>
                <w:sz w:val="20"/>
                <w:szCs w:val="20"/>
              </w:rPr>
              <w:t>23.80</w:t>
            </w:r>
          </w:p>
        </w:tc>
      </w:tr>
      <w:tr w:rsidR="00EE0E0F">
        <w:tblPrEx>
          <w:tblCellMar>
            <w:top w:w="0" w:type="dxa"/>
            <w:bottom w:w="0" w:type="dxa"/>
          </w:tblCellMar>
        </w:tblPrEx>
        <w:tc>
          <w:tcPr>
            <w:tcW w:w="3200" w:type="dxa"/>
            <w:shd w:val="clear" w:color="auto" w:fill="F2F6FB"/>
            <w:tcMar>
              <w:top w:w="80" w:type="dxa"/>
              <w:left w:w="100" w:type="dxa"/>
              <w:bottom w:w="80" w:type="dxa"/>
              <w:right w:w="100" w:type="dxa"/>
            </w:tcMar>
            <w:vAlign w:val="center"/>
          </w:tcPr>
          <w:p w:rsidR="00EE0E0F" w:rsidRDefault="00104130">
            <w:r>
              <w:rPr>
                <w:color w:val="222222"/>
                <w:sz w:val="20"/>
                <w:szCs w:val="20"/>
              </w:rPr>
              <w:t>Sharpe Ratio</w:t>
            </w:r>
          </w:p>
        </w:tc>
        <w:tc>
          <w:tcPr>
            <w:tcW w:w="2000" w:type="dxa"/>
            <w:shd w:val="clear" w:color="auto" w:fill="F2F6FB"/>
            <w:tcMar>
              <w:top w:w="80" w:type="dxa"/>
              <w:left w:w="100" w:type="dxa"/>
              <w:bottom w:w="80" w:type="dxa"/>
              <w:right w:w="100" w:type="dxa"/>
            </w:tcMar>
            <w:vAlign w:val="center"/>
          </w:tcPr>
          <w:p w:rsidR="00EE0E0F" w:rsidRDefault="00104130">
            <w:r>
              <w:rPr>
                <w:color w:val="222222"/>
                <w:sz w:val="20"/>
                <w:szCs w:val="20"/>
              </w:rPr>
              <w:t>1.36</w:t>
            </w:r>
          </w:p>
        </w:tc>
        <w:tc>
          <w:tcPr>
            <w:tcW w:w="2000" w:type="dxa"/>
            <w:shd w:val="clear" w:color="auto" w:fill="F2F6FB"/>
            <w:tcMar>
              <w:top w:w="80" w:type="dxa"/>
              <w:left w:w="100" w:type="dxa"/>
              <w:bottom w:w="80" w:type="dxa"/>
              <w:right w:w="100" w:type="dxa"/>
            </w:tcMar>
            <w:vAlign w:val="center"/>
          </w:tcPr>
          <w:p w:rsidR="00EE0E0F" w:rsidRDefault="00104130">
            <w:r>
              <w:rPr>
                <w:color w:val="222222"/>
                <w:sz w:val="20"/>
                <w:szCs w:val="20"/>
              </w:rPr>
              <w:t>0.80</w:t>
            </w:r>
          </w:p>
        </w:tc>
        <w:tc>
          <w:tcPr>
            <w:tcW w:w="2000" w:type="dxa"/>
            <w:shd w:val="clear" w:color="auto" w:fill="F2F6FB"/>
            <w:tcMar>
              <w:top w:w="80" w:type="dxa"/>
              <w:left w:w="100" w:type="dxa"/>
              <w:bottom w:w="80" w:type="dxa"/>
              <w:right w:w="100" w:type="dxa"/>
            </w:tcMar>
            <w:vAlign w:val="center"/>
          </w:tcPr>
          <w:p w:rsidR="00EE0E0F" w:rsidRDefault="00104130">
            <w:r>
              <w:rPr>
                <w:color w:val="222222"/>
                <w:sz w:val="20"/>
                <w:szCs w:val="20"/>
              </w:rPr>
              <w:t>7.68</w:t>
            </w:r>
          </w:p>
        </w:tc>
      </w:tr>
      <w:tr w:rsidR="00EE0E0F">
        <w:tblPrEx>
          <w:tblCellMar>
            <w:top w:w="0" w:type="dxa"/>
            <w:bottom w:w="0" w:type="dxa"/>
          </w:tblCellMar>
        </w:tblPrEx>
        <w:tc>
          <w:tcPr>
            <w:tcW w:w="3200" w:type="dxa"/>
            <w:tcMar>
              <w:top w:w="80" w:type="dxa"/>
              <w:left w:w="100" w:type="dxa"/>
              <w:bottom w:w="80" w:type="dxa"/>
              <w:right w:w="100" w:type="dxa"/>
            </w:tcMar>
            <w:vAlign w:val="center"/>
          </w:tcPr>
          <w:p w:rsidR="00EE0E0F" w:rsidRDefault="00104130">
            <w:proofErr w:type="spellStart"/>
            <w:r>
              <w:rPr>
                <w:color w:val="222222"/>
                <w:sz w:val="20"/>
                <w:szCs w:val="20"/>
              </w:rPr>
              <w:t>Sortino</w:t>
            </w:r>
            <w:proofErr w:type="spellEnd"/>
            <w:r>
              <w:rPr>
                <w:color w:val="222222"/>
                <w:sz w:val="20"/>
                <w:szCs w:val="20"/>
              </w:rPr>
              <w:t xml:space="preserve"> Ratio</w:t>
            </w:r>
          </w:p>
        </w:tc>
        <w:tc>
          <w:tcPr>
            <w:tcW w:w="2000" w:type="dxa"/>
            <w:tcMar>
              <w:top w:w="80" w:type="dxa"/>
              <w:left w:w="100" w:type="dxa"/>
              <w:bottom w:w="80" w:type="dxa"/>
              <w:right w:w="100" w:type="dxa"/>
            </w:tcMar>
            <w:vAlign w:val="center"/>
          </w:tcPr>
          <w:p w:rsidR="00EE0E0F" w:rsidRDefault="00104130">
            <w:r>
              <w:rPr>
                <w:color w:val="222222"/>
                <w:sz w:val="20"/>
                <w:szCs w:val="20"/>
              </w:rPr>
              <w:t>2.08</w:t>
            </w:r>
          </w:p>
        </w:tc>
        <w:tc>
          <w:tcPr>
            <w:tcW w:w="2000" w:type="dxa"/>
            <w:tcMar>
              <w:top w:w="80" w:type="dxa"/>
              <w:left w:w="100" w:type="dxa"/>
              <w:bottom w:w="80" w:type="dxa"/>
              <w:right w:w="100" w:type="dxa"/>
            </w:tcMar>
            <w:vAlign w:val="center"/>
          </w:tcPr>
          <w:p w:rsidR="00EE0E0F" w:rsidRDefault="00104130">
            <w:r>
              <w:rPr>
                <w:color w:val="222222"/>
                <w:sz w:val="20"/>
                <w:szCs w:val="20"/>
              </w:rPr>
              <w:t>1.03</w:t>
            </w:r>
          </w:p>
        </w:tc>
        <w:tc>
          <w:tcPr>
            <w:tcW w:w="2000" w:type="dxa"/>
            <w:tcMar>
              <w:top w:w="80" w:type="dxa"/>
              <w:left w:w="100" w:type="dxa"/>
              <w:bottom w:w="80" w:type="dxa"/>
              <w:right w:w="100" w:type="dxa"/>
            </w:tcMar>
            <w:vAlign w:val="center"/>
          </w:tcPr>
          <w:p w:rsidR="00EE0E0F" w:rsidRDefault="00104130">
            <w:r>
              <w:rPr>
                <w:color w:val="222222"/>
                <w:sz w:val="20"/>
                <w:szCs w:val="20"/>
              </w:rPr>
              <w:t>10.37</w:t>
            </w:r>
          </w:p>
        </w:tc>
      </w:tr>
      <w:tr w:rsidR="00EE0E0F">
        <w:tblPrEx>
          <w:tblCellMar>
            <w:top w:w="0" w:type="dxa"/>
            <w:bottom w:w="0" w:type="dxa"/>
          </w:tblCellMar>
        </w:tblPrEx>
        <w:tc>
          <w:tcPr>
            <w:tcW w:w="3200" w:type="dxa"/>
            <w:shd w:val="clear" w:color="auto" w:fill="F2F6FB"/>
            <w:tcMar>
              <w:top w:w="80" w:type="dxa"/>
              <w:left w:w="100" w:type="dxa"/>
              <w:bottom w:w="80" w:type="dxa"/>
              <w:right w:w="100" w:type="dxa"/>
            </w:tcMar>
            <w:vAlign w:val="center"/>
          </w:tcPr>
          <w:p w:rsidR="00EE0E0F" w:rsidRDefault="00104130">
            <w:r>
              <w:rPr>
                <w:color w:val="222222"/>
                <w:sz w:val="20"/>
                <w:szCs w:val="20"/>
              </w:rPr>
              <w:t>Maximum Drawdown (%)</w:t>
            </w:r>
          </w:p>
        </w:tc>
        <w:tc>
          <w:tcPr>
            <w:tcW w:w="2000" w:type="dxa"/>
            <w:shd w:val="clear" w:color="auto" w:fill="F2F6FB"/>
            <w:tcMar>
              <w:top w:w="80" w:type="dxa"/>
              <w:left w:w="100" w:type="dxa"/>
              <w:bottom w:w="80" w:type="dxa"/>
              <w:right w:w="100" w:type="dxa"/>
            </w:tcMar>
            <w:vAlign w:val="center"/>
          </w:tcPr>
          <w:p w:rsidR="00EE0E0F" w:rsidRDefault="00104130">
            <w:r>
              <w:rPr>
                <w:color w:val="222222"/>
                <w:sz w:val="20"/>
                <w:szCs w:val="20"/>
              </w:rPr>
              <w:t>-19.20</w:t>
            </w:r>
          </w:p>
        </w:tc>
        <w:tc>
          <w:tcPr>
            <w:tcW w:w="2000" w:type="dxa"/>
            <w:shd w:val="clear" w:color="auto" w:fill="F2F6FB"/>
            <w:tcMar>
              <w:top w:w="80" w:type="dxa"/>
              <w:left w:w="100" w:type="dxa"/>
              <w:bottom w:w="80" w:type="dxa"/>
              <w:right w:w="100" w:type="dxa"/>
            </w:tcMar>
            <w:vAlign w:val="center"/>
          </w:tcPr>
          <w:p w:rsidR="00EE0E0F" w:rsidRDefault="00104130">
            <w:r>
              <w:rPr>
                <w:color w:val="222222"/>
                <w:sz w:val="20"/>
                <w:szCs w:val="20"/>
              </w:rPr>
              <w:t>-33.50</w:t>
            </w:r>
          </w:p>
        </w:tc>
        <w:tc>
          <w:tcPr>
            <w:tcW w:w="2000" w:type="dxa"/>
            <w:shd w:val="clear" w:color="auto" w:fill="F2F6FB"/>
            <w:tcMar>
              <w:top w:w="80" w:type="dxa"/>
              <w:left w:w="100" w:type="dxa"/>
              <w:bottom w:w="80" w:type="dxa"/>
              <w:right w:w="100" w:type="dxa"/>
            </w:tcMar>
            <w:vAlign w:val="center"/>
          </w:tcPr>
          <w:p w:rsidR="00EE0E0F" w:rsidRDefault="00104130">
            <w:r>
              <w:rPr>
                <w:color w:val="222222"/>
                <w:sz w:val="20"/>
                <w:szCs w:val="20"/>
              </w:rPr>
              <w:t>-2.23</w:t>
            </w:r>
          </w:p>
        </w:tc>
      </w:tr>
      <w:tr w:rsidR="00EE0E0F">
        <w:tblPrEx>
          <w:tblCellMar>
            <w:top w:w="0" w:type="dxa"/>
            <w:bottom w:w="0" w:type="dxa"/>
          </w:tblCellMar>
        </w:tblPrEx>
        <w:tc>
          <w:tcPr>
            <w:tcW w:w="3200" w:type="dxa"/>
            <w:tcMar>
              <w:top w:w="80" w:type="dxa"/>
              <w:left w:w="100" w:type="dxa"/>
              <w:bottom w:w="80" w:type="dxa"/>
              <w:right w:w="100" w:type="dxa"/>
            </w:tcMar>
            <w:vAlign w:val="center"/>
          </w:tcPr>
          <w:p w:rsidR="00EE0E0F" w:rsidRDefault="00104130">
            <w:r>
              <w:rPr>
                <w:color w:val="222222"/>
                <w:sz w:val="20"/>
                <w:szCs w:val="20"/>
              </w:rPr>
              <w:t>Expense Ratio (%)</w:t>
            </w:r>
          </w:p>
        </w:tc>
        <w:tc>
          <w:tcPr>
            <w:tcW w:w="2000" w:type="dxa"/>
            <w:tcMar>
              <w:top w:w="80" w:type="dxa"/>
              <w:left w:w="100" w:type="dxa"/>
              <w:bottom w:w="80" w:type="dxa"/>
              <w:right w:w="100" w:type="dxa"/>
            </w:tcMar>
            <w:vAlign w:val="center"/>
          </w:tcPr>
          <w:p w:rsidR="00EE0E0F" w:rsidRDefault="00104130">
            <w:r>
              <w:rPr>
                <w:color w:val="222222"/>
                <w:sz w:val="20"/>
                <w:szCs w:val="20"/>
              </w:rPr>
              <w:t>1.24</w:t>
            </w:r>
          </w:p>
        </w:tc>
        <w:tc>
          <w:tcPr>
            <w:tcW w:w="2000" w:type="dxa"/>
            <w:tcMar>
              <w:top w:w="80" w:type="dxa"/>
              <w:left w:w="100" w:type="dxa"/>
              <w:bottom w:w="80" w:type="dxa"/>
              <w:right w:w="100" w:type="dxa"/>
            </w:tcMar>
            <w:vAlign w:val="center"/>
          </w:tcPr>
          <w:p w:rsidR="00EE0E0F" w:rsidRDefault="00104130">
            <w:r>
              <w:rPr>
                <w:color w:val="222222"/>
                <w:sz w:val="20"/>
                <w:szCs w:val="20"/>
              </w:rPr>
              <w:t>0.55</w:t>
            </w:r>
          </w:p>
        </w:tc>
        <w:tc>
          <w:tcPr>
            <w:tcW w:w="2000" w:type="dxa"/>
            <w:tcMar>
              <w:top w:w="80" w:type="dxa"/>
              <w:left w:w="100" w:type="dxa"/>
              <w:bottom w:w="80" w:type="dxa"/>
              <w:right w:w="100" w:type="dxa"/>
            </w:tcMar>
            <w:vAlign w:val="center"/>
          </w:tcPr>
          <w:p w:rsidR="00EE0E0F" w:rsidRDefault="00104130">
            <w:r>
              <w:rPr>
                <w:color w:val="222222"/>
                <w:sz w:val="20"/>
                <w:szCs w:val="20"/>
              </w:rPr>
              <w:t>1.64</w:t>
            </w:r>
          </w:p>
        </w:tc>
      </w:tr>
      <w:tr w:rsidR="00EE0E0F">
        <w:tblPrEx>
          <w:tblCellMar>
            <w:top w:w="0" w:type="dxa"/>
            <w:bottom w:w="0" w:type="dxa"/>
          </w:tblCellMar>
        </w:tblPrEx>
        <w:tc>
          <w:tcPr>
            <w:tcW w:w="3200" w:type="dxa"/>
            <w:shd w:val="clear" w:color="auto" w:fill="F2F6FB"/>
            <w:tcMar>
              <w:top w:w="80" w:type="dxa"/>
              <w:left w:w="100" w:type="dxa"/>
              <w:bottom w:w="80" w:type="dxa"/>
              <w:right w:w="100" w:type="dxa"/>
            </w:tcMar>
            <w:vAlign w:val="center"/>
          </w:tcPr>
          <w:p w:rsidR="00EE0E0F" w:rsidRDefault="00104130">
            <w:r>
              <w:rPr>
                <w:color w:val="222222"/>
                <w:sz w:val="20"/>
                <w:szCs w:val="20"/>
              </w:rPr>
              <w:t>AUM (INR Crore)</w:t>
            </w:r>
          </w:p>
        </w:tc>
        <w:tc>
          <w:tcPr>
            <w:tcW w:w="2000" w:type="dxa"/>
            <w:shd w:val="clear" w:color="auto" w:fill="F2F6FB"/>
            <w:tcMar>
              <w:top w:w="80" w:type="dxa"/>
              <w:left w:w="100" w:type="dxa"/>
              <w:bottom w:w="80" w:type="dxa"/>
              <w:right w:w="100" w:type="dxa"/>
            </w:tcMar>
            <w:vAlign w:val="center"/>
          </w:tcPr>
          <w:p w:rsidR="00EE0E0F" w:rsidRDefault="00104130">
            <w:r>
              <w:rPr>
                <w:color w:val="222222"/>
                <w:sz w:val="20"/>
                <w:szCs w:val="20"/>
              </w:rPr>
              <w:t>26,091.60</w:t>
            </w:r>
          </w:p>
        </w:tc>
        <w:tc>
          <w:tcPr>
            <w:tcW w:w="2000" w:type="dxa"/>
            <w:shd w:val="clear" w:color="auto" w:fill="F2F6FB"/>
            <w:tcMar>
              <w:top w:w="80" w:type="dxa"/>
              <w:left w:w="100" w:type="dxa"/>
              <w:bottom w:w="80" w:type="dxa"/>
              <w:right w:w="100" w:type="dxa"/>
            </w:tcMar>
            <w:vAlign w:val="center"/>
          </w:tcPr>
          <w:p w:rsidR="00EE0E0F" w:rsidRDefault="00104130">
            <w:r>
              <w:rPr>
                <w:color w:val="222222"/>
                <w:sz w:val="20"/>
                <w:szCs w:val="20"/>
              </w:rPr>
              <w:t>979.00</w:t>
            </w:r>
          </w:p>
        </w:tc>
        <w:tc>
          <w:tcPr>
            <w:tcW w:w="2000" w:type="dxa"/>
            <w:shd w:val="clear" w:color="auto" w:fill="F2F6FB"/>
            <w:tcMar>
              <w:top w:w="80" w:type="dxa"/>
              <w:left w:w="100" w:type="dxa"/>
              <w:bottom w:w="80" w:type="dxa"/>
              <w:right w:w="100" w:type="dxa"/>
            </w:tcMar>
            <w:vAlign w:val="center"/>
          </w:tcPr>
          <w:p w:rsidR="00EE0E0F" w:rsidRDefault="00104130">
            <w:r>
              <w:rPr>
                <w:color w:val="222222"/>
                <w:sz w:val="20"/>
                <w:szCs w:val="20"/>
              </w:rPr>
              <w:t>49,046.00</w:t>
            </w:r>
          </w:p>
        </w:tc>
      </w:tr>
    </w:tbl>
    <w:p w:rsidR="00EE0E0F" w:rsidRDefault="00EE0E0F">
      <w:pPr>
        <w:spacing w:after="200"/>
      </w:pPr>
    </w:p>
    <w:p w:rsidR="00EE0E0F" w:rsidRDefault="00104130">
      <w:pPr>
        <w:spacing w:after="160" w:line="300" w:lineRule="auto"/>
        <w:jc w:val="both"/>
      </w:pPr>
      <w:r>
        <w:t xml:space="preserve">Notably, liquid and short-duration debt funds - such as the ICICI Prudential Liquid Fund (Sharpe Ratio 7.68) and </w:t>
      </w:r>
      <w:proofErr w:type="spellStart"/>
      <w:r>
        <w:t>Kotak</w:t>
      </w:r>
      <w:proofErr w:type="spellEnd"/>
      <w:r>
        <w:t xml:space="preserve"> Liquid Fund (Sharpe Ratio 6.18) - recorded the highest Sharpe ratios in the dataset, reflecting their very low volatility profile relative to consistent, modest returns. This is an expected and industry-consistent pattern, as liquid funds </w:t>
      </w:r>
      <w:proofErr w:type="spellStart"/>
      <w:r>
        <w:t>prioritise</w:t>
      </w:r>
      <w:proofErr w:type="spellEnd"/>
      <w:r>
        <w:t xml:space="preserve"> capital preservation and low variance over high absolute returns.</w:t>
      </w:r>
    </w:p>
    <w:p w:rsidR="00EE0E0F" w:rsidRDefault="00104130">
      <w:pPr>
        <w:pStyle w:val="Heading2"/>
        <w:spacing w:before="300" w:after="150"/>
      </w:pPr>
      <w:bookmarkStart w:id="51" w:name="_Toc234514584"/>
      <w:r>
        <w:t>9.9 Benchmark Comparison</w:t>
      </w:r>
      <w:bookmarkEnd w:id="51"/>
    </w:p>
    <w:p w:rsidR="00EE0E0F" w:rsidRDefault="00104130">
      <w:pPr>
        <w:spacing w:after="160" w:line="300" w:lineRule="auto"/>
        <w:jc w:val="both"/>
      </w:pPr>
      <w:r>
        <w:t xml:space="preserve">Fund performance was benchmarked against the NIFTY50 and NIFTY100 indices by </w:t>
      </w:r>
      <w:proofErr w:type="spellStart"/>
      <w:r>
        <w:t>normalising</w:t>
      </w:r>
      <w:proofErr w:type="spellEnd"/>
      <w:r>
        <w:t xml:space="preserve"> both scheme NAVs and benchmark closing values to a base of 100 at the start of the observation window, then plotting them together for the top 5 scorecard-ranked funds. This </w:t>
      </w:r>
      <w:proofErr w:type="spellStart"/>
      <w:r>
        <w:t>visualisation</w:t>
      </w:r>
      <w:proofErr w:type="spellEnd"/>
      <w:r>
        <w:t xml:space="preserve"> makes over/under-performance relative to the broad market immediately apparent to stakeholders.</w:t>
      </w:r>
    </w:p>
    <w:p w:rsidR="00EE0E0F" w:rsidRDefault="00C02A4B">
      <w:pPr>
        <w:pBdr>
          <w:top w:val="dashed" w:sz="4" w:space="0" w:color="AAAAAA"/>
          <w:left w:val="dashed" w:sz="4" w:space="0" w:color="AAAAAA"/>
          <w:bottom w:val="dashed" w:sz="4" w:space="0" w:color="AAAAAA"/>
          <w:right w:val="dashed" w:sz="4" w:space="0" w:color="AAAAAA"/>
        </w:pBdr>
        <w:shd w:val="clear" w:color="auto" w:fill="FAFAFA"/>
        <w:spacing w:before="200" w:after="300"/>
        <w:ind w:left="400" w:right="400"/>
        <w:jc w:val="center"/>
      </w:pPr>
      <w:r>
        <w:rPr>
          <w:i/>
          <w:iCs/>
          <w:color w:val="888888"/>
          <w:sz w:val="20"/>
          <w:szCs w:val="20"/>
        </w:rPr>
        <w:lastRenderedPageBreak/>
        <w:t>[</w:t>
      </w:r>
      <w:r w:rsidRPr="00C02A4B">
        <w:rPr>
          <w:i/>
          <w:iCs/>
          <w:color w:val="888888"/>
          <w:sz w:val="20"/>
          <w:szCs w:val="20"/>
        </w:rPr>
        <w:drawing>
          <wp:inline distT="0" distB="0" distL="0" distR="0" wp14:anchorId="2C511A3A" wp14:editId="24E8B97F">
            <wp:extent cx="5600700" cy="4314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00700" cy="4314825"/>
                    </a:xfrm>
                    <a:prstGeom prst="rect">
                      <a:avLst/>
                    </a:prstGeom>
                  </pic:spPr>
                </pic:pic>
              </a:graphicData>
            </a:graphic>
          </wp:inline>
        </w:drawing>
      </w:r>
    </w:p>
    <w:p w:rsidR="00EE0E0F" w:rsidRDefault="00104130">
      <w:pPr>
        <w:pStyle w:val="Heading2"/>
        <w:spacing w:before="300" w:after="150"/>
      </w:pPr>
      <w:bookmarkStart w:id="52" w:name="_Toc234514585"/>
      <w:r>
        <w:t>9.10 Deliverables</w:t>
      </w:r>
      <w:bookmarkEnd w:id="52"/>
    </w:p>
    <w:p w:rsidR="00EE0E0F" w:rsidRDefault="00104130">
      <w:pPr>
        <w:pStyle w:val="ListParagraph"/>
        <w:numPr>
          <w:ilvl w:val="0"/>
          <w:numId w:val="1"/>
        </w:numPr>
        <w:spacing w:after="90" w:line="280" w:lineRule="auto"/>
      </w:pPr>
      <w:r>
        <w:t>cagr.csv - CAGR for all 40 schemes</w:t>
      </w:r>
    </w:p>
    <w:p w:rsidR="00EE0E0F" w:rsidRDefault="00104130">
      <w:pPr>
        <w:pStyle w:val="ListParagraph"/>
        <w:numPr>
          <w:ilvl w:val="0"/>
          <w:numId w:val="1"/>
        </w:numPr>
        <w:spacing w:after="90" w:line="280" w:lineRule="auto"/>
      </w:pPr>
      <w:r>
        <w:t>sharpe_ratio.csv - Sharpe Ratio for all 40 schemes</w:t>
      </w:r>
    </w:p>
    <w:p w:rsidR="00EE0E0F" w:rsidRDefault="00104130">
      <w:pPr>
        <w:pStyle w:val="ListParagraph"/>
        <w:numPr>
          <w:ilvl w:val="0"/>
          <w:numId w:val="1"/>
        </w:numPr>
        <w:spacing w:after="90" w:line="280" w:lineRule="auto"/>
      </w:pPr>
      <w:r>
        <w:t xml:space="preserve">sortino_ratio.csv - </w:t>
      </w:r>
      <w:proofErr w:type="spellStart"/>
      <w:r>
        <w:t>Sortino</w:t>
      </w:r>
      <w:proofErr w:type="spellEnd"/>
      <w:r>
        <w:t xml:space="preserve"> Ratio for all 40 schemes</w:t>
      </w:r>
    </w:p>
    <w:p w:rsidR="00EE0E0F" w:rsidRDefault="00104130">
      <w:pPr>
        <w:pStyle w:val="ListParagraph"/>
        <w:numPr>
          <w:ilvl w:val="0"/>
          <w:numId w:val="1"/>
        </w:numPr>
        <w:spacing w:after="90" w:line="280" w:lineRule="auto"/>
      </w:pPr>
      <w:r>
        <w:t>alpha_beta.csv - Alpha and Beta for all 40 schemes</w:t>
      </w:r>
    </w:p>
    <w:p w:rsidR="00EE0E0F" w:rsidRDefault="00104130">
      <w:pPr>
        <w:pStyle w:val="ListParagraph"/>
        <w:numPr>
          <w:ilvl w:val="0"/>
          <w:numId w:val="1"/>
        </w:numPr>
        <w:spacing w:after="90" w:line="280" w:lineRule="auto"/>
      </w:pPr>
      <w:r>
        <w:t>fund_scorecard.csv - Composite 0-100 Fund Scorecard with component ranks</w:t>
      </w:r>
    </w:p>
    <w:p w:rsidR="00EE0E0F" w:rsidRDefault="00104130">
      <w:pPr>
        <w:pStyle w:val="Heading1"/>
        <w:pageBreakBefore/>
        <w:spacing w:before="400"/>
      </w:pPr>
      <w:bookmarkStart w:id="53" w:name="_Toc234514586"/>
      <w:r>
        <w:lastRenderedPageBreak/>
        <w:t>10. Advanced Analytics</w:t>
      </w:r>
      <w:bookmarkEnd w:id="53"/>
    </w:p>
    <w:p w:rsidR="00EE0E0F" w:rsidRDefault="00104130">
      <w:pPr>
        <w:spacing w:after="160" w:line="300" w:lineRule="auto"/>
        <w:jc w:val="both"/>
      </w:pPr>
      <w:r>
        <w:t xml:space="preserve">The </w:t>
      </w:r>
      <w:proofErr w:type="spellStart"/>
      <w:r>
        <w:t>Advanced_Analytics.ipynb</w:t>
      </w:r>
      <w:proofErr w:type="spellEnd"/>
      <w:r>
        <w:t xml:space="preserve"> notebook extends the project beyond standard performance metrics into risk analytics, investor </w:t>
      </w:r>
      <w:proofErr w:type="spellStart"/>
      <w:r>
        <w:t>behaviour</w:t>
      </w:r>
      <w:proofErr w:type="spellEnd"/>
      <w:r>
        <w:t xml:space="preserve"> modelling, and portfolio concentration analysis, using the SQLite database as the primary data source (queried directly via </w:t>
      </w:r>
      <w:proofErr w:type="spellStart"/>
      <w:r>
        <w:t>pd.read_</w:t>
      </w:r>
      <w:proofErr w:type="gramStart"/>
      <w:r>
        <w:t>sql</w:t>
      </w:r>
      <w:proofErr w:type="spellEnd"/>
      <w:r>
        <w:t>(</w:t>
      </w:r>
      <w:proofErr w:type="gramEnd"/>
      <w:r>
        <w:t>)).</w:t>
      </w:r>
    </w:p>
    <w:p w:rsidR="00EE0E0F" w:rsidRDefault="00104130">
      <w:pPr>
        <w:pStyle w:val="Heading2"/>
        <w:spacing w:before="300" w:after="150"/>
      </w:pPr>
      <w:bookmarkStart w:id="54" w:name="_Toc234514587"/>
      <w:r>
        <w:t>10.1 Value at Risk (</w:t>
      </w:r>
      <w:proofErr w:type="spellStart"/>
      <w:r>
        <w:t>VaR</w:t>
      </w:r>
      <w:proofErr w:type="spellEnd"/>
      <w:r>
        <w:t>) and Conditional Value at Risk (</w:t>
      </w:r>
      <w:proofErr w:type="spellStart"/>
      <w:r>
        <w:t>CVaR</w:t>
      </w:r>
      <w:proofErr w:type="spellEnd"/>
      <w:r>
        <w:t>)</w:t>
      </w:r>
      <w:bookmarkEnd w:id="54"/>
    </w:p>
    <w:p w:rsidR="00EE0E0F" w:rsidRDefault="00104130">
      <w:pPr>
        <w:spacing w:after="160" w:line="300" w:lineRule="auto"/>
        <w:jc w:val="both"/>
      </w:pPr>
      <w:r>
        <w:t xml:space="preserve">Historical </w:t>
      </w:r>
      <w:proofErr w:type="spellStart"/>
      <w:r>
        <w:t>VaR</w:t>
      </w:r>
      <w:proofErr w:type="spellEnd"/>
      <w:r>
        <w:t xml:space="preserve"> at the 95% confidence level was computed for every scheme as the 5th percentile of its daily return distribution (using </w:t>
      </w:r>
      <w:proofErr w:type="spellStart"/>
      <w:r>
        <w:t>numpy.percentile</w:t>
      </w:r>
      <w:proofErr w:type="spellEnd"/>
      <w:r>
        <w:t xml:space="preserve">), representing the daily loss threshold that should not be exceeded on 95% of trading days. Conditional </w:t>
      </w:r>
      <w:proofErr w:type="spellStart"/>
      <w:r>
        <w:t>VaR</w:t>
      </w:r>
      <w:proofErr w:type="spellEnd"/>
      <w:r>
        <w:t xml:space="preserve"> (</w:t>
      </w:r>
      <w:proofErr w:type="spellStart"/>
      <w:r>
        <w:t>CVaR</w:t>
      </w:r>
      <w:proofErr w:type="spellEnd"/>
      <w:r>
        <w:t xml:space="preserve">), also known as Expected Shortfall, was computed as the mean of all returns falling below the </w:t>
      </w:r>
      <w:proofErr w:type="spellStart"/>
      <w:r>
        <w:t>VaR</w:t>
      </w:r>
      <w:proofErr w:type="spellEnd"/>
      <w:r>
        <w:t xml:space="preserve"> threshold, representing the expected loss magnitude in the worst 5% of cases. Results were saved to reports/var_cvar_report.csv, covering all schemes with sufficient historical data (a minimum of 30 return observations).</w:t>
      </w:r>
    </w:p>
    <w:p w:rsidR="00EE0E0F" w:rsidRDefault="00104130">
      <w:pPr>
        <w:pStyle w:val="Heading2"/>
        <w:spacing w:before="300" w:after="150"/>
      </w:pPr>
      <w:bookmarkStart w:id="55" w:name="_Toc234514588"/>
      <w:r>
        <w:t>10.2 Rolling 90-Day Sharpe Ratio</w:t>
      </w:r>
      <w:bookmarkEnd w:id="55"/>
    </w:p>
    <w:p w:rsidR="00EE0E0F" w:rsidRDefault="00104130">
      <w:pPr>
        <w:spacing w:after="160" w:line="300" w:lineRule="auto"/>
        <w:jc w:val="both"/>
      </w:pPr>
      <w:r>
        <w:t xml:space="preserve">To capture how risk-adjusted performance evolves over time (rather than as a single static number), a rolling 90-day Sharpe Ratio was computed for each scheme using a rolling window of daily returns, </w:t>
      </w:r>
      <w:proofErr w:type="spellStart"/>
      <w:r>
        <w:t>annualised</w:t>
      </w:r>
      <w:proofErr w:type="spellEnd"/>
      <w:r>
        <w:t xml:space="preserve"> by multiplying by the square root of 252 trading days. This time-varying metric was </w:t>
      </w:r>
      <w:proofErr w:type="spellStart"/>
      <w:r>
        <w:t>visualised</w:t>
      </w:r>
      <w:proofErr w:type="spellEnd"/>
      <w:r>
        <w:t xml:space="preserve"> for a subset of schemes using </w:t>
      </w:r>
      <w:proofErr w:type="spellStart"/>
      <w:r>
        <w:t>Matplotlib</w:t>
      </w:r>
      <w:proofErr w:type="spellEnd"/>
      <w:r>
        <w:t>, allowing identification of periods of strong versus weak risk-adjusted performance across the observation window.</w:t>
      </w:r>
    </w:p>
    <w:p w:rsidR="00EE0E0F" w:rsidRDefault="0010413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proofErr w:type="gramStart"/>
      <w:r>
        <w:rPr>
          <w:rFonts w:ascii="Consolas" w:eastAsia="Consolas" w:hAnsi="Consolas" w:cs="Consolas"/>
          <w:color w:val="222222"/>
          <w:sz w:val="18"/>
          <w:szCs w:val="18"/>
        </w:rPr>
        <w:t>group[</w:t>
      </w:r>
      <w:proofErr w:type="gram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rolling_sharpe</w:t>
      </w:r>
      <w:proofErr w:type="spellEnd"/>
      <w:r>
        <w:rPr>
          <w:rFonts w:ascii="Consolas" w:eastAsia="Consolas" w:hAnsi="Consolas" w:cs="Consolas"/>
          <w:color w:val="222222"/>
          <w:sz w:val="18"/>
          <w:szCs w:val="18"/>
        </w:rPr>
        <w:t xml:space="preserve">'] = (     </w:t>
      </w:r>
      <w:proofErr w:type="spellStart"/>
      <w:r>
        <w:rPr>
          <w:rFonts w:ascii="Consolas" w:eastAsia="Consolas" w:hAnsi="Consolas" w:cs="Consolas"/>
          <w:color w:val="222222"/>
          <w:sz w:val="18"/>
          <w:szCs w:val="18"/>
        </w:rPr>
        <w:t>returns.rolling</w:t>
      </w:r>
      <w:proofErr w:type="spellEnd"/>
      <w:r>
        <w:rPr>
          <w:rFonts w:ascii="Consolas" w:eastAsia="Consolas" w:hAnsi="Consolas" w:cs="Consolas"/>
          <w:color w:val="222222"/>
          <w:sz w:val="18"/>
          <w:szCs w:val="18"/>
        </w:rPr>
        <w:t xml:space="preserve">(window=90).mean() / </w:t>
      </w:r>
      <w:proofErr w:type="spellStart"/>
      <w:r>
        <w:rPr>
          <w:rFonts w:ascii="Consolas" w:eastAsia="Consolas" w:hAnsi="Consolas" w:cs="Consolas"/>
          <w:color w:val="222222"/>
          <w:sz w:val="18"/>
          <w:szCs w:val="18"/>
        </w:rPr>
        <w:t>returns.rolling</w:t>
      </w:r>
      <w:proofErr w:type="spellEnd"/>
      <w:r>
        <w:rPr>
          <w:rFonts w:ascii="Consolas" w:eastAsia="Consolas" w:hAnsi="Consolas" w:cs="Consolas"/>
          <w:color w:val="222222"/>
          <w:sz w:val="18"/>
          <w:szCs w:val="18"/>
        </w:rPr>
        <w:t>(window=90).</w:t>
      </w:r>
      <w:proofErr w:type="spellStart"/>
      <w:r>
        <w:rPr>
          <w:rFonts w:ascii="Consolas" w:eastAsia="Consolas" w:hAnsi="Consolas" w:cs="Consolas"/>
          <w:color w:val="222222"/>
          <w:sz w:val="18"/>
          <w:szCs w:val="18"/>
        </w:rPr>
        <w:t>std</w:t>
      </w:r>
      <w:proofErr w:type="spellEnd"/>
      <w:r>
        <w:rPr>
          <w:rFonts w:ascii="Consolas" w:eastAsia="Consolas" w:hAnsi="Consolas" w:cs="Consolas"/>
          <w:color w:val="222222"/>
          <w:sz w:val="18"/>
          <w:szCs w:val="18"/>
        </w:rPr>
        <w:t xml:space="preserve">() ) * </w:t>
      </w:r>
      <w:proofErr w:type="spellStart"/>
      <w:r>
        <w:rPr>
          <w:rFonts w:ascii="Consolas" w:eastAsia="Consolas" w:hAnsi="Consolas" w:cs="Consolas"/>
          <w:color w:val="222222"/>
          <w:sz w:val="18"/>
          <w:szCs w:val="18"/>
        </w:rPr>
        <w:t>np.sqrt</w:t>
      </w:r>
      <w:proofErr w:type="spellEnd"/>
      <w:r>
        <w:rPr>
          <w:rFonts w:ascii="Consolas" w:eastAsia="Consolas" w:hAnsi="Consolas" w:cs="Consolas"/>
          <w:color w:val="222222"/>
          <w:sz w:val="18"/>
          <w:szCs w:val="18"/>
        </w:rPr>
        <w:t>(252)</w:t>
      </w:r>
    </w:p>
    <w:p w:rsidR="00EE0E0F" w:rsidRDefault="00104130">
      <w:pPr>
        <w:pStyle w:val="Heading2"/>
        <w:spacing w:before="300" w:after="150"/>
      </w:pPr>
      <w:bookmarkStart w:id="56" w:name="_Toc234514589"/>
      <w:r w:rsidRPr="00104130">
        <w:rPr>
          <w:b w:val="0"/>
          <w:bCs w:val="0"/>
          <w:i/>
          <w:iCs/>
          <w:color w:val="888888"/>
          <w:sz w:val="20"/>
          <w:szCs w:val="20"/>
        </w:rPr>
        <w:drawing>
          <wp:inline distT="0" distB="0" distL="0" distR="0" wp14:anchorId="624B474C" wp14:editId="6882DF64">
            <wp:extent cx="5943600" cy="25469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546985"/>
                    </a:xfrm>
                    <a:prstGeom prst="rect">
                      <a:avLst/>
                    </a:prstGeom>
                  </pic:spPr>
                </pic:pic>
              </a:graphicData>
            </a:graphic>
          </wp:inline>
        </w:drawing>
      </w:r>
      <w:r>
        <w:t>10.3 Investor Cohort Analysis</w:t>
      </w:r>
      <w:bookmarkEnd w:id="56"/>
    </w:p>
    <w:p w:rsidR="00EE0E0F" w:rsidRDefault="00104130">
      <w:pPr>
        <w:spacing w:after="160" w:line="300" w:lineRule="auto"/>
        <w:jc w:val="both"/>
      </w:pPr>
      <w:r>
        <w:t xml:space="preserve">Investors were grouped into annual cohorts based on the year of their first recorded transaction. For each cohort, the average SIP amount, total invested amount, and most preferred fund (by transaction count) </w:t>
      </w:r>
      <w:r>
        <w:lastRenderedPageBreak/>
        <w:t>were computed and consolidated into reports/cohort_analysis.csv. This analysis helps identify which investor cohorts (by acquisition year) contribute the most capital and which funds resonate most strongly with each cohort, informing targeted marketing and retention strategies.</w:t>
      </w:r>
    </w:p>
    <w:p w:rsidR="00EE0E0F" w:rsidRDefault="00104130">
      <w:pPr>
        <w:pStyle w:val="Heading2"/>
        <w:spacing w:before="300" w:after="150"/>
      </w:pPr>
      <w:bookmarkStart w:id="57" w:name="_Toc234514590"/>
      <w:r>
        <w:t>10.4 SIP Continuity Analysis</w:t>
      </w:r>
      <w:bookmarkEnd w:id="57"/>
    </w:p>
    <w:p w:rsidR="00EE0E0F" w:rsidRDefault="00104130">
      <w:pPr>
        <w:spacing w:after="160" w:line="300" w:lineRule="auto"/>
        <w:jc w:val="both"/>
      </w:pPr>
      <w:r>
        <w:t xml:space="preserve">SIP transactions were </w:t>
      </w:r>
      <w:proofErr w:type="spellStart"/>
      <w:r>
        <w:t>analysed</w:t>
      </w:r>
      <w:proofErr w:type="spellEnd"/>
      <w:r>
        <w:t xml:space="preserve"> on a per-investor basis to compute the average gap (in days) between consecutive SIP contributions. Investors with at least 6 recorded SIP transactions and an average gap exceeding 35 days were classified as 'At-Risk' of discontinuing their SIP, while those with more consistent contribution patterns were classified as 'Healthy'. This classification, saved to reports/sip_continuity_report.csv, directly supports proactive investor retention initiatives by flagging investors likely to lapse before they actually discontinue.</w:t>
      </w:r>
    </w:p>
    <w:p w:rsidR="00EE0E0F" w:rsidRDefault="0010413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proofErr w:type="spellStart"/>
      <w:r>
        <w:rPr>
          <w:rFonts w:ascii="Consolas" w:eastAsia="Consolas" w:hAnsi="Consolas" w:cs="Consolas"/>
          <w:color w:val="222222"/>
          <w:sz w:val="18"/>
          <w:szCs w:val="18"/>
        </w:rPr>
        <w:t>sip_</w:t>
      </w:r>
      <w:proofErr w:type="gramStart"/>
      <w:r>
        <w:rPr>
          <w:rFonts w:ascii="Consolas" w:eastAsia="Consolas" w:hAnsi="Consolas" w:cs="Consolas"/>
          <w:color w:val="222222"/>
          <w:sz w:val="18"/>
          <w:szCs w:val="18"/>
        </w:rPr>
        <w:t>summary</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 xml:space="preserve">'status'] = </w:t>
      </w:r>
      <w:proofErr w:type="spellStart"/>
      <w:r>
        <w:rPr>
          <w:rFonts w:ascii="Consolas" w:eastAsia="Consolas" w:hAnsi="Consolas" w:cs="Consolas"/>
          <w:color w:val="222222"/>
          <w:sz w:val="18"/>
          <w:szCs w:val="18"/>
        </w:rPr>
        <w:t>np.where</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sip_summary</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avg_gap_days</w:t>
      </w:r>
      <w:proofErr w:type="spellEnd"/>
      <w:r>
        <w:rPr>
          <w:rFonts w:ascii="Consolas" w:eastAsia="Consolas" w:hAnsi="Consolas" w:cs="Consolas"/>
          <w:color w:val="222222"/>
          <w:sz w:val="18"/>
          <w:szCs w:val="18"/>
        </w:rPr>
        <w:t>'] &gt; 35, 'At-Risk', 'Healthy' )</w:t>
      </w:r>
    </w:p>
    <w:p w:rsidR="00EE0E0F" w:rsidRDefault="00104130">
      <w:pPr>
        <w:pStyle w:val="Heading2"/>
        <w:spacing w:before="300" w:after="150"/>
      </w:pPr>
      <w:bookmarkStart w:id="58" w:name="_Toc234514591"/>
      <w:r>
        <w:t>10.5 Fund Recommendation System</w:t>
      </w:r>
      <w:bookmarkEnd w:id="58"/>
    </w:p>
    <w:p w:rsidR="00EE0E0F" w:rsidRDefault="00104130">
      <w:pPr>
        <w:spacing w:after="160" w:line="300" w:lineRule="auto"/>
        <w:jc w:val="both"/>
      </w:pPr>
      <w:r>
        <w:t xml:space="preserve">A rule-based mutual fund recommendation engine (scripts/recommender.py) was developed to suggest the top 3 mutual fund schemes to an investor based on their stated risk appetite (Low / Moderate / High). The engine queries the </w:t>
      </w:r>
      <w:proofErr w:type="spellStart"/>
      <w:r>
        <w:t>fact_performance</w:t>
      </w:r>
      <w:proofErr w:type="spellEnd"/>
      <w:r>
        <w:t xml:space="preserve"> table via SQL, filters schemes matching the investor's risk grade, and ranks the filtered results by Sharpe Ratio in descending order, returning the top 3 recommendations along with fund house and Sharpe Ratio for transparency.</w:t>
      </w:r>
    </w:p>
    <w:p w:rsidR="00EE0E0F" w:rsidRDefault="0010413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r>
        <w:rPr>
          <w:rFonts w:ascii="Consolas" w:eastAsia="Consolas" w:hAnsi="Consolas" w:cs="Consolas"/>
          <w:color w:val="222222"/>
          <w:sz w:val="18"/>
          <w:szCs w:val="18"/>
        </w:rPr>
        <w:t xml:space="preserve">performance = </w:t>
      </w:r>
      <w:proofErr w:type="spellStart"/>
      <w:r>
        <w:rPr>
          <w:rFonts w:ascii="Consolas" w:eastAsia="Consolas" w:hAnsi="Consolas" w:cs="Consolas"/>
          <w:color w:val="222222"/>
          <w:sz w:val="18"/>
          <w:szCs w:val="18"/>
        </w:rPr>
        <w:t>pd.read_sql</w:t>
      </w:r>
      <w:proofErr w:type="spellEnd"/>
      <w:r>
        <w:rPr>
          <w:rFonts w:ascii="Consolas" w:eastAsia="Consolas" w:hAnsi="Consolas" w:cs="Consolas"/>
          <w:color w:val="222222"/>
          <w:sz w:val="18"/>
          <w:szCs w:val="18"/>
        </w:rPr>
        <w:t xml:space="preserve">(     "SELECT </w:t>
      </w:r>
      <w:proofErr w:type="spellStart"/>
      <w:r>
        <w:rPr>
          <w:rFonts w:ascii="Consolas" w:eastAsia="Consolas" w:hAnsi="Consolas" w:cs="Consolas"/>
          <w:color w:val="222222"/>
          <w:sz w:val="18"/>
          <w:szCs w:val="18"/>
        </w:rPr>
        <w:t>scheme_name</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fund_house</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sharpe_ratio</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risk_grade</w:t>
      </w:r>
      <w:proofErr w:type="spellEnd"/>
      <w:r>
        <w:rPr>
          <w:rFonts w:ascii="Consolas" w:eastAsia="Consolas" w:hAnsi="Consolas" w:cs="Consolas"/>
          <w:color w:val="222222"/>
          <w:sz w:val="18"/>
          <w:szCs w:val="18"/>
        </w:rPr>
        <w:t xml:space="preserve"> FROM </w:t>
      </w:r>
      <w:proofErr w:type="spellStart"/>
      <w:r>
        <w:rPr>
          <w:rFonts w:ascii="Consolas" w:eastAsia="Consolas" w:hAnsi="Consolas" w:cs="Consolas"/>
          <w:color w:val="222222"/>
          <w:sz w:val="18"/>
          <w:szCs w:val="18"/>
        </w:rPr>
        <w:t>fact_performance</w:t>
      </w:r>
      <w:proofErr w:type="spellEnd"/>
      <w:r>
        <w:rPr>
          <w:rFonts w:ascii="Consolas" w:eastAsia="Consolas" w:hAnsi="Consolas" w:cs="Consolas"/>
          <w:color w:val="222222"/>
          <w:sz w:val="18"/>
          <w:szCs w:val="18"/>
        </w:rPr>
        <w:t>",     conn ) risk = input("Enter Risk Appetite (Low/Moderate/High): ") result = performance[performance['</w:t>
      </w:r>
      <w:proofErr w:type="spellStart"/>
      <w:r>
        <w:rPr>
          <w:rFonts w:ascii="Consolas" w:eastAsia="Consolas" w:hAnsi="Consolas" w:cs="Consolas"/>
          <w:color w:val="222222"/>
          <w:sz w:val="18"/>
          <w:szCs w:val="18"/>
        </w:rPr>
        <w:t>risk_grade</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str.lower</w:t>
      </w:r>
      <w:proofErr w:type="spellEnd"/>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risk.lower</w:t>
      </w:r>
      <w:proofErr w:type="spellEnd"/>
      <w:r>
        <w:rPr>
          <w:rFonts w:ascii="Consolas" w:eastAsia="Consolas" w:hAnsi="Consolas" w:cs="Consolas"/>
          <w:color w:val="222222"/>
          <w:sz w:val="18"/>
          <w:szCs w:val="18"/>
        </w:rPr>
        <w:t xml:space="preserve">()] result = </w:t>
      </w:r>
      <w:proofErr w:type="spellStart"/>
      <w:r>
        <w:rPr>
          <w:rFonts w:ascii="Consolas" w:eastAsia="Consolas" w:hAnsi="Consolas" w:cs="Consolas"/>
          <w:color w:val="222222"/>
          <w:sz w:val="18"/>
          <w:szCs w:val="18"/>
        </w:rPr>
        <w:t>result.sort_values</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sharpe_ratio</w:t>
      </w:r>
      <w:proofErr w:type="spellEnd"/>
      <w:r>
        <w:rPr>
          <w:rFonts w:ascii="Consolas" w:eastAsia="Consolas" w:hAnsi="Consolas" w:cs="Consolas"/>
          <w:color w:val="222222"/>
          <w:sz w:val="18"/>
          <w:szCs w:val="18"/>
        </w:rPr>
        <w:t>', ascending=False) print(result[['scheme_name','fund_house','sharpe_ratio']].head(3))</w:t>
      </w:r>
    </w:p>
    <w:p w:rsidR="00EE0E0F" w:rsidRDefault="00104130">
      <w:pPr>
        <w:pStyle w:val="Heading2"/>
        <w:spacing w:before="300" w:after="150"/>
      </w:pPr>
      <w:bookmarkStart w:id="59" w:name="_Toc234514592"/>
      <w:r>
        <w:t>10.6 Portfolio Concentration Analysis (HHI)</w:t>
      </w:r>
      <w:bookmarkEnd w:id="59"/>
    </w:p>
    <w:p w:rsidR="00EE0E0F" w:rsidRDefault="00104130">
      <w:pPr>
        <w:spacing w:after="160" w:line="300" w:lineRule="auto"/>
        <w:jc w:val="both"/>
      </w:pPr>
      <w:r>
        <w:t xml:space="preserve">The </w:t>
      </w:r>
      <w:proofErr w:type="spellStart"/>
      <w:r>
        <w:t>Herfindahl</w:t>
      </w:r>
      <w:proofErr w:type="spellEnd"/>
      <w:r>
        <w:t xml:space="preserve">-Hirschman Index (HHI) was computed for each equity scheme using its sector-level portfolio holding weights, as the sum of squared sector weight fractions: HHI = </w:t>
      </w:r>
      <w:proofErr w:type="gramStart"/>
      <w:r>
        <w:t>sum(</w:t>
      </w:r>
      <w:proofErr w:type="gramEnd"/>
      <w:r>
        <w:t>weight_i^2). A higher HHI indicates a more concentrated portfolio (heavier reliance on fewer sectors), while a lower HHI indicates broader diversification across sectors. Results, saved to reports/hhi_report.csv, allow investors and analysts to compare diversification levels across equity schemes managed by different fund houses.</w:t>
      </w:r>
    </w:p>
    <w:p w:rsidR="00EE0E0F" w:rsidRDefault="0010413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pPr>
      <w:proofErr w:type="gramStart"/>
      <w:r>
        <w:rPr>
          <w:rFonts w:ascii="Consolas" w:eastAsia="Consolas" w:hAnsi="Consolas" w:cs="Consolas"/>
          <w:color w:val="222222"/>
          <w:sz w:val="18"/>
          <w:szCs w:val="18"/>
        </w:rPr>
        <w:t>holdings[</w:t>
      </w:r>
      <w:proofErr w:type="gram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weight_decimal</w:t>
      </w:r>
      <w:proofErr w:type="spellEnd"/>
      <w:r>
        <w:rPr>
          <w:rFonts w:ascii="Consolas" w:eastAsia="Consolas" w:hAnsi="Consolas" w:cs="Consolas"/>
          <w:color w:val="222222"/>
          <w:sz w:val="18"/>
          <w:szCs w:val="18"/>
        </w:rPr>
        <w:t>'] = holdings['</w:t>
      </w:r>
      <w:proofErr w:type="spellStart"/>
      <w:r>
        <w:rPr>
          <w:rFonts w:ascii="Consolas" w:eastAsia="Consolas" w:hAnsi="Consolas" w:cs="Consolas"/>
          <w:color w:val="222222"/>
          <w:sz w:val="18"/>
          <w:szCs w:val="18"/>
        </w:rPr>
        <w:t>weight_pct</w:t>
      </w:r>
      <w:proofErr w:type="spellEnd"/>
      <w:r>
        <w:rPr>
          <w:rFonts w:ascii="Consolas" w:eastAsia="Consolas" w:hAnsi="Consolas" w:cs="Consolas"/>
          <w:color w:val="222222"/>
          <w:sz w:val="18"/>
          <w:szCs w:val="18"/>
        </w:rPr>
        <w:t xml:space="preserve">'] / 100 </w:t>
      </w:r>
      <w:proofErr w:type="spellStart"/>
      <w:r>
        <w:rPr>
          <w:rFonts w:ascii="Consolas" w:eastAsia="Consolas" w:hAnsi="Consolas" w:cs="Consolas"/>
          <w:color w:val="222222"/>
          <w:sz w:val="18"/>
          <w:szCs w:val="18"/>
        </w:rPr>
        <w:t>hhi</w:t>
      </w:r>
      <w:proofErr w:type="spellEnd"/>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holdings.groupby</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amfi_code</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weight_decimal</w:t>
      </w:r>
      <w:proofErr w:type="spellEnd"/>
      <w:r>
        <w:rPr>
          <w:rFonts w:ascii="Consolas" w:eastAsia="Consolas" w:hAnsi="Consolas" w:cs="Consolas"/>
          <w:color w:val="222222"/>
          <w:sz w:val="18"/>
          <w:szCs w:val="18"/>
        </w:rPr>
        <w:t>'].apply(     lambda x: (x**2).sum() ).</w:t>
      </w:r>
      <w:proofErr w:type="spellStart"/>
      <w:r>
        <w:rPr>
          <w:rFonts w:ascii="Consolas" w:eastAsia="Consolas" w:hAnsi="Consolas" w:cs="Consolas"/>
          <w:color w:val="222222"/>
          <w:sz w:val="18"/>
          <w:szCs w:val="18"/>
        </w:rPr>
        <w:t>reset_index</w:t>
      </w:r>
      <w:proofErr w:type="spellEnd"/>
      <w:r>
        <w:rPr>
          <w:rFonts w:ascii="Consolas" w:eastAsia="Consolas" w:hAnsi="Consolas" w:cs="Consolas"/>
          <w:color w:val="222222"/>
          <w:sz w:val="18"/>
          <w:szCs w:val="18"/>
        </w:rPr>
        <w:t>(name='HHI')</w:t>
      </w:r>
    </w:p>
    <w:p w:rsidR="00EE0E0F" w:rsidRDefault="00104130">
      <w:pPr>
        <w:pStyle w:val="Heading2"/>
        <w:spacing w:before="300" w:after="150"/>
      </w:pPr>
      <w:bookmarkStart w:id="60" w:name="_Toc234514593"/>
      <w:r>
        <w:t>10.7 Advanced Analytics Insights</w:t>
      </w:r>
      <w:bookmarkEnd w:id="60"/>
    </w:p>
    <w:p w:rsidR="00EE0E0F" w:rsidRDefault="00104130">
      <w:pPr>
        <w:pStyle w:val="ListParagraph"/>
        <w:numPr>
          <w:ilvl w:val="0"/>
          <w:numId w:val="1"/>
        </w:numPr>
        <w:spacing w:after="90" w:line="280" w:lineRule="auto"/>
      </w:pPr>
      <w:r>
        <w:t xml:space="preserve">Downside Risk: Historical </w:t>
      </w:r>
      <w:proofErr w:type="spellStart"/>
      <w:r>
        <w:t>VaR</w:t>
      </w:r>
      <w:proofErr w:type="spellEnd"/>
      <w:r>
        <w:t xml:space="preserve"> and </w:t>
      </w:r>
      <w:proofErr w:type="spellStart"/>
      <w:r>
        <w:t>CVaR</w:t>
      </w:r>
      <w:proofErr w:type="spellEnd"/>
      <w:r>
        <w:t xml:space="preserve"> analysis shows that some schemes carry significantly higher downside risk than others; schemes with larger negative </w:t>
      </w:r>
      <w:proofErr w:type="spellStart"/>
      <w:r>
        <w:t>VaR</w:t>
      </w:r>
      <w:proofErr w:type="spellEnd"/>
      <w:r>
        <w:t>/</w:t>
      </w:r>
      <w:proofErr w:type="spellStart"/>
      <w:r>
        <w:t>CVaR</w:t>
      </w:r>
      <w:proofErr w:type="spellEnd"/>
      <w:r>
        <w:t xml:space="preserve"> values are more vulnerable to extreme adverse market movements.</w:t>
      </w:r>
    </w:p>
    <w:p w:rsidR="00EE0E0F" w:rsidRDefault="00104130">
      <w:pPr>
        <w:pStyle w:val="ListParagraph"/>
        <w:numPr>
          <w:ilvl w:val="0"/>
          <w:numId w:val="1"/>
        </w:numPr>
        <w:spacing w:after="90" w:line="280" w:lineRule="auto"/>
      </w:pPr>
      <w:r>
        <w:lastRenderedPageBreak/>
        <w:t>Risk-Adjusted Returns: The rolling 90-day Sharpe Ratio demonstrates that risk-adjusted performance is not static - funds with consistently higher rolling Sharpe ratios deliver superior returns per unit of risk taken over time.</w:t>
      </w:r>
    </w:p>
    <w:p w:rsidR="00EE0E0F" w:rsidRDefault="00104130">
      <w:pPr>
        <w:pStyle w:val="ListParagraph"/>
        <w:numPr>
          <w:ilvl w:val="0"/>
          <w:numId w:val="1"/>
        </w:numPr>
        <w:spacing w:after="90" w:line="280" w:lineRule="auto"/>
      </w:pPr>
      <w:r>
        <w:t xml:space="preserve">Investor </w:t>
      </w:r>
      <w:proofErr w:type="spellStart"/>
      <w:r>
        <w:t>Behaviour</w:t>
      </w:r>
      <w:proofErr w:type="spellEnd"/>
      <w:r>
        <w:t>: Cohort analysis reveals meaningful differences in average SIP amount, total capital contributed, and fund preference across investors grouped by their year of first investment.</w:t>
      </w:r>
    </w:p>
    <w:p w:rsidR="00EE0E0F" w:rsidRDefault="00104130">
      <w:pPr>
        <w:pStyle w:val="ListParagraph"/>
        <w:numPr>
          <w:ilvl w:val="0"/>
          <w:numId w:val="1"/>
        </w:numPr>
        <w:spacing w:after="90" w:line="280" w:lineRule="auto"/>
      </w:pPr>
      <w:r>
        <w:t>SIP Continuity: A meaningful share of active SIP investors were classified as 'At-Risk' (average gap exceeding 35 days between contributions), highlighting an actionable segment for retention-focused engagement.</w:t>
      </w:r>
    </w:p>
    <w:p w:rsidR="00EE0E0F" w:rsidRDefault="00104130">
      <w:pPr>
        <w:pStyle w:val="ListParagraph"/>
        <w:numPr>
          <w:ilvl w:val="0"/>
          <w:numId w:val="1"/>
        </w:numPr>
        <w:spacing w:after="90" w:line="280" w:lineRule="auto"/>
      </w:pPr>
      <w:r>
        <w:t>Portfolio Diversification: Equity funds with higher HHI values are more concentrated in fewer sectors, while lower HHI schemes demonstrate materially better sector-level diversification.</w:t>
      </w:r>
    </w:p>
    <w:p w:rsidR="00EE0E0F" w:rsidRDefault="00104130">
      <w:pPr>
        <w:pStyle w:val="Heading2"/>
        <w:spacing w:before="300" w:after="150"/>
      </w:pPr>
      <w:bookmarkStart w:id="61" w:name="_Toc234514594"/>
      <w:r>
        <w:t>10.8 Deliverables</w:t>
      </w:r>
      <w:bookmarkEnd w:id="61"/>
    </w:p>
    <w:p w:rsidR="00EE0E0F" w:rsidRDefault="00104130">
      <w:pPr>
        <w:pStyle w:val="ListParagraph"/>
        <w:numPr>
          <w:ilvl w:val="0"/>
          <w:numId w:val="1"/>
        </w:numPr>
        <w:spacing w:after="90" w:line="280" w:lineRule="auto"/>
      </w:pPr>
      <w:r>
        <w:t xml:space="preserve">var_cvar_report.csv - Historical </w:t>
      </w:r>
      <w:proofErr w:type="spellStart"/>
      <w:r>
        <w:t>VaR</w:t>
      </w:r>
      <w:proofErr w:type="spellEnd"/>
      <w:r>
        <w:t xml:space="preserve"> and </w:t>
      </w:r>
      <w:proofErr w:type="spellStart"/>
      <w:r>
        <w:t>CVaR</w:t>
      </w:r>
      <w:proofErr w:type="spellEnd"/>
      <w:r>
        <w:t xml:space="preserve"> (95%) for all schemes</w:t>
      </w:r>
    </w:p>
    <w:p w:rsidR="00EE0E0F" w:rsidRDefault="00104130">
      <w:pPr>
        <w:pStyle w:val="ListParagraph"/>
        <w:numPr>
          <w:ilvl w:val="0"/>
          <w:numId w:val="1"/>
        </w:numPr>
        <w:spacing w:after="90" w:line="280" w:lineRule="auto"/>
      </w:pPr>
      <w:r>
        <w:t>cohort_analysis.csv - Investor cohort summary (</w:t>
      </w:r>
      <w:proofErr w:type="spellStart"/>
      <w:r>
        <w:t>avg</w:t>
      </w:r>
      <w:proofErr w:type="spellEnd"/>
      <w:r>
        <w:t xml:space="preserve"> SIP, total invested, top fund)</w:t>
      </w:r>
    </w:p>
    <w:p w:rsidR="00EE0E0F" w:rsidRDefault="00104130">
      <w:pPr>
        <w:pStyle w:val="ListParagraph"/>
        <w:numPr>
          <w:ilvl w:val="0"/>
          <w:numId w:val="1"/>
        </w:numPr>
        <w:spacing w:after="90" w:line="280" w:lineRule="auto"/>
      </w:pPr>
      <w:r>
        <w:t>sip_continuity_report.csv - Per-investor SIP continuity classification</w:t>
      </w:r>
    </w:p>
    <w:p w:rsidR="00EE0E0F" w:rsidRDefault="00104130">
      <w:pPr>
        <w:pStyle w:val="ListParagraph"/>
        <w:numPr>
          <w:ilvl w:val="0"/>
          <w:numId w:val="1"/>
        </w:numPr>
        <w:spacing w:after="90" w:line="280" w:lineRule="auto"/>
      </w:pPr>
      <w:r>
        <w:t>hhi_report.csv - Sector concentration (HHI) for all equity schemes</w:t>
      </w:r>
    </w:p>
    <w:p w:rsidR="00EE0E0F" w:rsidRDefault="00104130">
      <w:pPr>
        <w:pStyle w:val="ListParagraph"/>
        <w:numPr>
          <w:ilvl w:val="0"/>
          <w:numId w:val="1"/>
        </w:numPr>
        <w:spacing w:after="90" w:line="280" w:lineRule="auto"/>
      </w:pPr>
      <w:r>
        <w:t>recommender.py - Interactive rule-based fund recommendation script</w:t>
      </w:r>
    </w:p>
    <w:p w:rsidR="00EE0E0F" w:rsidRDefault="00104130">
      <w:pPr>
        <w:pStyle w:val="Heading1"/>
        <w:pageBreakBefore/>
        <w:spacing w:before="400"/>
      </w:pPr>
      <w:bookmarkStart w:id="62" w:name="_Toc234514595"/>
      <w:r>
        <w:lastRenderedPageBreak/>
        <w:t>11. Power BI Dashboard</w:t>
      </w:r>
      <w:bookmarkEnd w:id="62"/>
    </w:p>
    <w:p w:rsidR="00EE0E0F" w:rsidRDefault="00104130">
      <w:pPr>
        <w:spacing w:after="160" w:line="300" w:lineRule="auto"/>
        <w:jc w:val="both"/>
      </w:pPr>
      <w:r>
        <w:t>All analytical outputs generated across the ETL, EDA, Performance Analytics, and Advanced Analytics stages were consolidated into a single interactive Power BI dashboard (dashboard/</w:t>
      </w:r>
      <w:proofErr w:type="spellStart"/>
      <w:r>
        <w:t>BluestockPB.pbix</w:t>
      </w:r>
      <w:proofErr w:type="spellEnd"/>
      <w:r>
        <w:t xml:space="preserve">), designed to give business stakeholders a consumable, self-service view of mutual fund performance, investor </w:t>
      </w:r>
      <w:proofErr w:type="spellStart"/>
      <w:r>
        <w:t>behaviour</w:t>
      </w:r>
      <w:proofErr w:type="spellEnd"/>
      <w:r>
        <w:t>, and risk without needing to interact with the underlying Python code or SQL database directly.</w:t>
      </w:r>
    </w:p>
    <w:p w:rsidR="00EE0E0F" w:rsidRDefault="00104130">
      <w:pPr>
        <w:pStyle w:val="Heading2"/>
        <w:spacing w:before="300" w:after="150"/>
      </w:pPr>
      <w:bookmarkStart w:id="63" w:name="_Toc234514596"/>
      <w:r>
        <w:t>11.1 Data Sources</w:t>
      </w:r>
      <w:bookmarkEnd w:id="63"/>
    </w:p>
    <w:p w:rsidR="00EE0E0F" w:rsidRDefault="00104130">
      <w:pPr>
        <w:spacing w:after="160" w:line="300" w:lineRule="auto"/>
        <w:jc w:val="both"/>
      </w:pPr>
      <w:r>
        <w:t>The Power BI dashboard was built by connecting directly to the SQLite database (</w:t>
      </w:r>
      <w:proofErr w:type="spellStart"/>
      <w:r>
        <w:t>bluestock_mf.db</w:t>
      </w:r>
      <w:proofErr w:type="spellEnd"/>
      <w:r>
        <w:t xml:space="preserve">) and the processed CSV report outputs (fund scorecard, </w:t>
      </w:r>
      <w:proofErr w:type="spellStart"/>
      <w:r>
        <w:t>VaR</w:t>
      </w:r>
      <w:proofErr w:type="spellEnd"/>
      <w:r>
        <w:t>/</w:t>
      </w:r>
      <w:proofErr w:type="spellStart"/>
      <w:r>
        <w:t>CVaR</w:t>
      </w:r>
      <w:proofErr w:type="spellEnd"/>
      <w:r>
        <w:t xml:space="preserve"> report, cohort analysis, SIP continuity report, and HHI report) generated during the Performance and Advanced Analytics stages, ensuring that the dashboard reflects a single, consistent source of truth derived from the cleaned and validated data pipeline.</w:t>
      </w:r>
    </w:p>
    <w:p w:rsidR="00EE0E0F" w:rsidRDefault="00104130">
      <w:pPr>
        <w:pStyle w:val="Heading2"/>
        <w:spacing w:before="300" w:after="150"/>
      </w:pPr>
      <w:bookmarkStart w:id="64" w:name="_Toc234514597"/>
      <w:r>
        <w:t>11.2 Dashboard Pages</w:t>
      </w:r>
      <w:bookmarkEnd w:id="64"/>
    </w:p>
    <w:p w:rsidR="00EE0E0F" w:rsidRDefault="00104130">
      <w:pPr>
        <w:spacing w:after="160" w:line="300" w:lineRule="auto"/>
        <w:jc w:val="both"/>
      </w:pPr>
      <w:r>
        <w:t xml:space="preserve">The dashboard is </w:t>
      </w:r>
      <w:proofErr w:type="spellStart"/>
      <w:r>
        <w:t>organised</w:t>
      </w:r>
      <w:proofErr w:type="spellEnd"/>
      <w:r>
        <w:t xml:space="preserve"> into logical pages/tabs, each focused on a specific analytical theme:</w:t>
      </w:r>
    </w:p>
    <w:p w:rsidR="00EE0E0F" w:rsidRDefault="00104130">
      <w:pPr>
        <w:pStyle w:val="ListParagraph"/>
        <w:numPr>
          <w:ilvl w:val="0"/>
          <w:numId w:val="1"/>
        </w:numPr>
        <w:spacing w:after="90" w:line="280" w:lineRule="auto"/>
      </w:pPr>
      <w:r>
        <w:t>Fund Overview - Fund house-wise AUM distribution, category split (Equity vs. Debt), and scheme count summary cards.</w:t>
      </w:r>
    </w:p>
    <w:p w:rsidR="00EE0E0F" w:rsidRDefault="00104130">
      <w:pPr>
        <w:pStyle w:val="ListParagraph"/>
        <w:numPr>
          <w:ilvl w:val="0"/>
          <w:numId w:val="1"/>
        </w:numPr>
        <w:spacing w:after="90" w:line="280" w:lineRule="auto"/>
      </w:pPr>
      <w:r>
        <w:t>Performance &amp; Scorecard - Composite Fund Scorecard rankings, CAGR, Sharpe/</w:t>
      </w:r>
      <w:proofErr w:type="spellStart"/>
      <w:r>
        <w:t>Sortino</w:t>
      </w:r>
      <w:proofErr w:type="spellEnd"/>
      <w:r>
        <w:t xml:space="preserve"> ratios, and benchmark comparison visuals.</w:t>
      </w:r>
    </w:p>
    <w:p w:rsidR="00EE0E0F" w:rsidRDefault="00104130">
      <w:pPr>
        <w:pStyle w:val="ListParagraph"/>
        <w:numPr>
          <w:ilvl w:val="0"/>
          <w:numId w:val="1"/>
        </w:numPr>
        <w:spacing w:after="90" w:line="280" w:lineRule="auto"/>
      </w:pPr>
      <w:r>
        <w:t xml:space="preserve">Risk Analytics - </w:t>
      </w:r>
      <w:proofErr w:type="spellStart"/>
      <w:r>
        <w:t>VaR</w:t>
      </w:r>
      <w:proofErr w:type="spellEnd"/>
      <w:r>
        <w:t>/</w:t>
      </w:r>
      <w:proofErr w:type="spellStart"/>
      <w:r>
        <w:t>CVaR</w:t>
      </w:r>
      <w:proofErr w:type="spellEnd"/>
      <w:r>
        <w:t xml:space="preserve"> by scheme, Maximum Drawdown, and rolling Sharpe Ratio trend visuals.</w:t>
      </w:r>
    </w:p>
    <w:p w:rsidR="00EE0E0F" w:rsidRDefault="00104130">
      <w:pPr>
        <w:pStyle w:val="ListParagraph"/>
        <w:numPr>
          <w:ilvl w:val="0"/>
          <w:numId w:val="1"/>
        </w:numPr>
        <w:spacing w:after="90" w:line="280" w:lineRule="auto"/>
      </w:pPr>
      <w:r>
        <w:t>Investor Insights - SIP inflow trends, investor demographic breakdown (age, gender, state, city tier), and cohort analysis summaries.</w:t>
      </w:r>
    </w:p>
    <w:p w:rsidR="00EE0E0F" w:rsidRDefault="00104130">
      <w:pPr>
        <w:pStyle w:val="ListParagraph"/>
        <w:numPr>
          <w:ilvl w:val="0"/>
          <w:numId w:val="1"/>
        </w:numPr>
        <w:spacing w:after="90" w:line="280" w:lineRule="auto"/>
      </w:pPr>
      <w:r>
        <w:t>SIP Continuity &amp; Retention - Healthy vs. At-Risk investor segmentation with drill-down by investor and fund.</w:t>
      </w:r>
    </w:p>
    <w:p w:rsidR="00EE0E0F" w:rsidRDefault="00104130">
      <w:pPr>
        <w:pStyle w:val="ListParagraph"/>
        <w:numPr>
          <w:ilvl w:val="0"/>
          <w:numId w:val="1"/>
        </w:numPr>
        <w:spacing w:after="90" w:line="280" w:lineRule="auto"/>
      </w:pPr>
      <w:r>
        <w:t>Portfolio Concentration - Sector allocation and HHI-based diversification comparison across equity schemes.</w:t>
      </w:r>
    </w:p>
    <w:p w:rsidR="00EE0E0F" w:rsidRDefault="00104130">
      <w:pPr>
        <w:pStyle w:val="Heading2"/>
        <w:spacing w:before="300" w:after="150"/>
      </w:pPr>
      <w:bookmarkStart w:id="65" w:name="_Toc234514598"/>
      <w:r>
        <w:t>11.3 Interactivity Features</w:t>
      </w:r>
      <w:bookmarkEnd w:id="65"/>
    </w:p>
    <w:p w:rsidR="00EE0E0F" w:rsidRDefault="00104130">
      <w:pPr>
        <w:spacing w:after="160" w:line="300" w:lineRule="auto"/>
        <w:jc w:val="both"/>
      </w:pPr>
      <w:r>
        <w:t>The dashboard incorporates slicers for fund house, category, risk grade, and date range, allowing stakeholders to filter the entire report dynamically. Cross-filtering between visuals enables drill-down analysis - for example, selecting a specific fund house filters all performance and risk visuals to that AMC's schemes only, while selecting an investor cohort filters SIP continuity and demographic visuals accordingly.</w:t>
      </w:r>
    </w:p>
    <w:p w:rsidR="00EE0E0F" w:rsidRDefault="00104130">
      <w:pPr>
        <w:pStyle w:val="Heading2"/>
        <w:spacing w:before="300" w:after="150"/>
      </w:pPr>
      <w:bookmarkStart w:id="66" w:name="_Toc234514599"/>
      <w:r>
        <w:lastRenderedPageBreak/>
        <w:t>11.4 Business Value</w:t>
      </w:r>
      <w:bookmarkEnd w:id="66"/>
    </w:p>
    <w:p w:rsidR="00EE0E0F" w:rsidRDefault="00104130">
      <w:pPr>
        <w:spacing w:after="160" w:line="300" w:lineRule="auto"/>
        <w:jc w:val="both"/>
      </w:pPr>
      <w:r>
        <w:t xml:space="preserve">By consolidating outputs from five separate analytical stages into a single interactive dashboard, the Power BI deliverable transforms a collection of static Python/SQL outputs into a living, </w:t>
      </w:r>
      <w:proofErr w:type="spellStart"/>
      <w:r>
        <w:t>explorable</w:t>
      </w:r>
      <w:proofErr w:type="spellEnd"/>
      <w:r>
        <w:t xml:space="preserve"> business tool. This allows non-technical stakeholders at </w:t>
      </w:r>
      <w:proofErr w:type="spellStart"/>
      <w:r>
        <w:t>Bluestock</w:t>
      </w:r>
      <w:proofErr w:type="spellEnd"/>
      <w:r>
        <w:t xml:space="preserve"> </w:t>
      </w:r>
      <w:proofErr w:type="spellStart"/>
      <w:r>
        <w:t>Fintech</w:t>
      </w:r>
      <w:proofErr w:type="spellEnd"/>
      <w:r>
        <w:t xml:space="preserve"> - such as product, marketing, or investment advisory teams - to independently explore fund performance and investor </w:t>
      </w:r>
      <w:proofErr w:type="spellStart"/>
      <w:r>
        <w:t>behaviour</w:t>
      </w:r>
      <w:proofErr w:type="spellEnd"/>
      <w:r>
        <w:t xml:space="preserve"> trends without requiring direct engagement with the underlying data engineering or analytics code.</w:t>
      </w:r>
    </w:p>
    <w:p w:rsidR="00EE0E0F" w:rsidRDefault="00104130">
      <w:pPr>
        <w:pStyle w:val="Heading1"/>
        <w:pageBreakBefore/>
        <w:spacing w:before="400"/>
      </w:pPr>
      <w:bookmarkStart w:id="67" w:name="_Toc234514600"/>
      <w:r>
        <w:lastRenderedPageBreak/>
        <w:t>12. Business Insights</w:t>
      </w:r>
      <w:bookmarkEnd w:id="67"/>
    </w:p>
    <w:p w:rsidR="00EE0E0F" w:rsidRDefault="00104130">
      <w:pPr>
        <w:spacing w:after="160" w:line="300" w:lineRule="auto"/>
        <w:jc w:val="both"/>
      </w:pPr>
      <w:r>
        <w:t xml:space="preserve">The combined EDA, performance analytics, and advanced analytics stages surfaced several actionable business insights relevant to fund houses, distributors, and investor relations teams at a </w:t>
      </w:r>
      <w:proofErr w:type="spellStart"/>
      <w:r>
        <w:t>fintech</w:t>
      </w:r>
      <w:proofErr w:type="spellEnd"/>
      <w:r>
        <w:t xml:space="preserve"> </w:t>
      </w:r>
      <w:proofErr w:type="spellStart"/>
      <w:r>
        <w:t>organisation</w:t>
      </w:r>
      <w:proofErr w:type="spellEnd"/>
      <w:r>
        <w:t xml:space="preserve"> like </w:t>
      </w:r>
      <w:proofErr w:type="spellStart"/>
      <w:r>
        <w:t>Bluestock</w:t>
      </w:r>
      <w:proofErr w:type="spellEnd"/>
      <w:r>
        <w:t>:</w:t>
      </w:r>
    </w:p>
    <w:p w:rsidR="00EE0E0F" w:rsidRDefault="00104130">
      <w:pPr>
        <w:pStyle w:val="Heading2"/>
        <w:spacing w:before="300" w:after="150"/>
      </w:pPr>
      <w:bookmarkStart w:id="68" w:name="_Toc234514601"/>
      <w:r>
        <w:t>12.1 Fund Performance Insights</w:t>
      </w:r>
      <w:bookmarkEnd w:id="68"/>
    </w:p>
    <w:p w:rsidR="00EE0E0F" w:rsidRDefault="00104130">
      <w:pPr>
        <w:pStyle w:val="ListParagraph"/>
        <w:numPr>
          <w:ilvl w:val="0"/>
          <w:numId w:val="1"/>
        </w:numPr>
        <w:spacing w:after="90" w:line="280" w:lineRule="auto"/>
      </w:pPr>
      <w:r>
        <w:t>Equity schemes generally delivered stronger CAGR and absolute returns than debt schemes, but with correspondingly higher volatility and Maximum Drawdown, reinforcing the classic risk-return tradeoff observed across the fund universe.</w:t>
      </w:r>
    </w:p>
    <w:p w:rsidR="00EE0E0F" w:rsidRDefault="00104130">
      <w:pPr>
        <w:pStyle w:val="ListParagraph"/>
        <w:numPr>
          <w:ilvl w:val="0"/>
          <w:numId w:val="1"/>
        </w:numPr>
        <w:spacing w:after="90" w:line="280" w:lineRule="auto"/>
      </w:pPr>
      <w:r>
        <w:t xml:space="preserve">Liquid and short-duration debt funds (e.g., ICICI Prudential Liquid Fund, </w:t>
      </w:r>
      <w:proofErr w:type="spellStart"/>
      <w:r>
        <w:t>Kotak</w:t>
      </w:r>
      <w:proofErr w:type="spellEnd"/>
      <w:r>
        <w:t xml:space="preserve"> Liquid Fund) delivered the highest Sharpe ratios in the dataset, making them attractive for risk-averse investors seeking capital preservation with reasonable risk-adjusted returns.</w:t>
      </w:r>
    </w:p>
    <w:p w:rsidR="00EE0E0F" w:rsidRDefault="00104130">
      <w:pPr>
        <w:pStyle w:val="ListParagraph"/>
        <w:numPr>
          <w:ilvl w:val="0"/>
          <w:numId w:val="1"/>
        </w:numPr>
        <w:spacing w:after="90" w:line="280" w:lineRule="auto"/>
      </w:pPr>
      <w:r>
        <w:t>The composite Fund Scorecard identified a consistent set of top-performing schemes when jointly considering return, risk-adjusted performance, alpha generation, cost efficiency, and downside risk - providing a more holistic ranking than any single metric alone.</w:t>
      </w:r>
    </w:p>
    <w:p w:rsidR="00EE0E0F" w:rsidRDefault="00104130">
      <w:pPr>
        <w:pStyle w:val="Heading2"/>
        <w:spacing w:before="300" w:after="150"/>
      </w:pPr>
      <w:bookmarkStart w:id="69" w:name="_Toc234514602"/>
      <w:r>
        <w:t xml:space="preserve">12.2 Investor </w:t>
      </w:r>
      <w:proofErr w:type="spellStart"/>
      <w:r>
        <w:t>Behaviour</w:t>
      </w:r>
      <w:proofErr w:type="spellEnd"/>
      <w:r>
        <w:t xml:space="preserve"> Insights</w:t>
      </w:r>
      <w:bookmarkEnd w:id="69"/>
    </w:p>
    <w:p w:rsidR="00EE0E0F" w:rsidRDefault="00104130">
      <w:pPr>
        <w:pStyle w:val="ListParagraph"/>
        <w:numPr>
          <w:ilvl w:val="0"/>
          <w:numId w:val="1"/>
        </w:numPr>
        <w:spacing w:after="90" w:line="280" w:lineRule="auto"/>
      </w:pPr>
      <w:r>
        <w:t>SIP transactions dominate the transaction mix (~60% of all transactions), confirming that systematic investing is the primary channel through which retail investors in this dataset build mutual fund exposure.</w:t>
      </w:r>
    </w:p>
    <w:p w:rsidR="00EE0E0F" w:rsidRDefault="00104130">
      <w:pPr>
        <w:pStyle w:val="ListParagraph"/>
        <w:numPr>
          <w:ilvl w:val="0"/>
          <w:numId w:val="1"/>
        </w:numPr>
        <w:spacing w:after="90" w:line="280" w:lineRule="auto"/>
      </w:pPr>
      <w:r>
        <w:t>Investors aged 26-35 are the most active segment, suggesting that product design, communication, and digital-first engagement strategies should be tailored toward younger, digitally native investors.</w:t>
      </w:r>
    </w:p>
    <w:p w:rsidR="00EE0E0F" w:rsidRDefault="00104130">
      <w:pPr>
        <w:pStyle w:val="ListParagraph"/>
        <w:numPr>
          <w:ilvl w:val="0"/>
          <w:numId w:val="1"/>
        </w:numPr>
        <w:spacing w:after="90" w:line="280" w:lineRule="auto"/>
      </w:pPr>
      <w:r>
        <w:t>T30 cities account for roughly two-thirds of transaction value, highlighting continued opportunity for deeper mutual fund penetration in B30 (Beyond Top 30) markets through targeted distribution and financial literacy initiatives.</w:t>
      </w:r>
    </w:p>
    <w:p w:rsidR="00EE0E0F" w:rsidRDefault="00104130">
      <w:pPr>
        <w:pStyle w:val="ListParagraph"/>
        <w:numPr>
          <w:ilvl w:val="0"/>
          <w:numId w:val="1"/>
        </w:numPr>
        <w:spacing w:after="90" w:line="280" w:lineRule="auto"/>
      </w:pPr>
      <w:r>
        <w:t>A meaningful share of SIP investors show irregular contribution patterns (average gap greater than 35 days) and are flagged as 'At-Risk', representing a clear, actionable segment for proactive retention campaigns before full discontinuation occurs.</w:t>
      </w:r>
    </w:p>
    <w:p w:rsidR="00EE0E0F" w:rsidRDefault="00104130">
      <w:pPr>
        <w:pStyle w:val="Heading2"/>
        <w:spacing w:before="300" w:after="150"/>
      </w:pPr>
      <w:bookmarkStart w:id="70" w:name="_Toc234514603"/>
      <w:r>
        <w:t>12.3 Risk &amp; Portfolio Insights</w:t>
      </w:r>
      <w:bookmarkEnd w:id="70"/>
    </w:p>
    <w:p w:rsidR="00EE0E0F" w:rsidRDefault="00104130">
      <w:pPr>
        <w:pStyle w:val="ListParagraph"/>
        <w:numPr>
          <w:ilvl w:val="0"/>
          <w:numId w:val="1"/>
        </w:numPr>
        <w:spacing w:after="90" w:line="280" w:lineRule="auto"/>
      </w:pPr>
      <w:proofErr w:type="spellStart"/>
      <w:r>
        <w:t>VaR</w:t>
      </w:r>
      <w:proofErr w:type="spellEnd"/>
      <w:r>
        <w:t xml:space="preserve"> and </w:t>
      </w:r>
      <w:proofErr w:type="spellStart"/>
      <w:r>
        <w:t>CVaR</w:t>
      </w:r>
      <w:proofErr w:type="spellEnd"/>
      <w:r>
        <w:t xml:space="preserve"> analysis identifies specific schemes with disproportionately high downside risk, information that should be surfaced prominently to risk-averse investors during fund selection.</w:t>
      </w:r>
    </w:p>
    <w:p w:rsidR="00EE0E0F" w:rsidRDefault="00104130">
      <w:pPr>
        <w:pStyle w:val="ListParagraph"/>
        <w:numPr>
          <w:ilvl w:val="0"/>
          <w:numId w:val="1"/>
        </w:numPr>
        <w:spacing w:after="90" w:line="280" w:lineRule="auto"/>
      </w:pPr>
      <w:r>
        <w:t>HHI-based concentration analysis shows meaningful variation in sector diversification across equity schemes, with some funds carrying concentrated sector bets (higher HHI) that materially increase idiosyncratic risk relative to more diversified peers.</w:t>
      </w:r>
    </w:p>
    <w:p w:rsidR="00EE0E0F" w:rsidRDefault="00104130">
      <w:pPr>
        <w:pStyle w:val="ListParagraph"/>
        <w:numPr>
          <w:ilvl w:val="0"/>
          <w:numId w:val="1"/>
        </w:numPr>
        <w:spacing w:after="90" w:line="280" w:lineRule="auto"/>
      </w:pPr>
      <w:r>
        <w:lastRenderedPageBreak/>
        <w:t>Rolling Sharpe Ratio analysis shows that risk-adjusted performance is not static over time - periodic re-evaluation of fund rankings (rather than reliance on a single point-in-time metric) is important for ongoing fund selection and monitoring.</w:t>
      </w:r>
    </w:p>
    <w:p w:rsidR="00EE0E0F" w:rsidRDefault="00104130">
      <w:pPr>
        <w:pStyle w:val="Heading2"/>
        <w:spacing w:before="300" w:after="150"/>
      </w:pPr>
      <w:bookmarkStart w:id="71" w:name="_Toc234514604"/>
      <w:r>
        <w:t>12.4 Strategic Recommendations</w:t>
      </w:r>
      <w:bookmarkEnd w:id="71"/>
    </w:p>
    <w:p w:rsidR="00EE0E0F" w:rsidRDefault="00104130">
      <w:pPr>
        <w:pStyle w:val="ListParagraph"/>
        <w:numPr>
          <w:ilvl w:val="0"/>
          <w:numId w:val="1"/>
        </w:numPr>
        <w:spacing w:after="90" w:line="280" w:lineRule="auto"/>
      </w:pPr>
      <w:r>
        <w:t xml:space="preserve">Deploy the SIP continuity classification as an early-warning system, triggering automated re-engagement communication for </w:t>
      </w:r>
      <w:proofErr w:type="gramStart"/>
      <w:r>
        <w:t>investors</w:t>
      </w:r>
      <w:proofErr w:type="gramEnd"/>
      <w:r>
        <w:t xml:space="preserve"> flagged 'At-Risk'.</w:t>
      </w:r>
    </w:p>
    <w:p w:rsidR="00EE0E0F" w:rsidRDefault="00104130">
      <w:pPr>
        <w:pStyle w:val="ListParagraph"/>
        <w:numPr>
          <w:ilvl w:val="0"/>
          <w:numId w:val="1"/>
        </w:numPr>
        <w:spacing w:after="90" w:line="280" w:lineRule="auto"/>
      </w:pPr>
      <w:r>
        <w:t xml:space="preserve">Use the rule-based recommendation engine (or an enhanced version) as the basis for a self-service fund discovery tool within </w:t>
      </w:r>
      <w:proofErr w:type="spellStart"/>
      <w:r>
        <w:t>Bluestock's</w:t>
      </w:r>
      <w:proofErr w:type="spellEnd"/>
      <w:r>
        <w:t xml:space="preserve"> investor-facing platform.</w:t>
      </w:r>
    </w:p>
    <w:p w:rsidR="00EE0E0F" w:rsidRDefault="00104130">
      <w:pPr>
        <w:pStyle w:val="ListParagraph"/>
        <w:numPr>
          <w:ilvl w:val="0"/>
          <w:numId w:val="1"/>
        </w:numPr>
        <w:spacing w:after="90" w:line="280" w:lineRule="auto"/>
      </w:pPr>
      <w:proofErr w:type="spellStart"/>
      <w:r>
        <w:t>Prioritise</w:t>
      </w:r>
      <w:proofErr w:type="spellEnd"/>
      <w:r>
        <w:t xml:space="preserve"> B30 city expansion initiatives, given the demonstrated growth potential relative to already well-penetrated T30 markets.</w:t>
      </w:r>
    </w:p>
    <w:p w:rsidR="00EE0E0F" w:rsidRDefault="00104130">
      <w:pPr>
        <w:pStyle w:val="ListParagraph"/>
        <w:numPr>
          <w:ilvl w:val="0"/>
          <w:numId w:val="1"/>
        </w:numPr>
        <w:spacing w:after="90" w:line="280" w:lineRule="auto"/>
      </w:pPr>
      <w:r>
        <w:t>Incorporate the composite Fund Scorecard into investor-facing fund comparison tools to help investors move beyond single-metric (e.g., 1-year return only) fund selection.</w:t>
      </w:r>
    </w:p>
    <w:p w:rsidR="00EE0E0F" w:rsidRDefault="00104130">
      <w:pPr>
        <w:pStyle w:val="Heading1"/>
        <w:pageBreakBefore/>
        <w:spacing w:before="400"/>
      </w:pPr>
      <w:bookmarkStart w:id="72" w:name="_Toc234514605"/>
      <w:r>
        <w:lastRenderedPageBreak/>
        <w:t>13. Challenges Faced</w:t>
      </w:r>
      <w:bookmarkEnd w:id="72"/>
    </w:p>
    <w:p w:rsidR="00EE0E0F" w:rsidRDefault="00104130">
      <w:pPr>
        <w:spacing w:after="160" w:line="300" w:lineRule="auto"/>
        <w:jc w:val="both"/>
      </w:pPr>
      <w:r>
        <w:t>Several practical challenges were encountered and resolved during the course of this project, reflecting real-world data analytics obstacles:</w:t>
      </w:r>
    </w:p>
    <w:p w:rsidR="00EE0E0F" w:rsidRDefault="00104130">
      <w:pPr>
        <w:pStyle w:val="ListParagraph"/>
        <w:numPr>
          <w:ilvl w:val="0"/>
          <w:numId w:val="1"/>
        </w:numPr>
        <w:spacing w:after="90" w:line="280" w:lineRule="auto"/>
      </w:pPr>
      <w:r>
        <w:t>Column Name Inconsistencies: Different raw datasets used inconsistent column naming conventions, requiring the development of a diagnostic script (check_columns.py) to systematically inspect column structures before writing cleaning and merge logic.</w:t>
      </w:r>
    </w:p>
    <w:p w:rsidR="00EE0E0F" w:rsidRDefault="00104130">
      <w:pPr>
        <w:pStyle w:val="ListParagraph"/>
        <w:numPr>
          <w:ilvl w:val="0"/>
          <w:numId w:val="1"/>
        </w:numPr>
        <w:spacing w:after="90" w:line="280" w:lineRule="auto"/>
      </w:pPr>
      <w:r>
        <w:t xml:space="preserve">Duplicate Columns After Merging: Merging the NAV returns </w:t>
      </w:r>
      <w:proofErr w:type="spellStart"/>
      <w:r>
        <w:t>dataframe</w:t>
      </w:r>
      <w:proofErr w:type="spellEnd"/>
      <w:r>
        <w:t xml:space="preserve"> with the fund master </w:t>
      </w:r>
      <w:proofErr w:type="spellStart"/>
      <w:r>
        <w:t>dataframe</w:t>
      </w:r>
      <w:proofErr w:type="spellEnd"/>
      <w:r>
        <w:t xml:space="preserve"> on multiple occasions produced duplicate suffixed columns (e.g., </w:t>
      </w:r>
      <w:proofErr w:type="spellStart"/>
      <w:r>
        <w:t>scheme_name_x</w:t>
      </w:r>
      <w:proofErr w:type="spellEnd"/>
      <w:r>
        <w:t xml:space="preserve"> / </w:t>
      </w:r>
      <w:proofErr w:type="spellStart"/>
      <w:r>
        <w:t>scheme_name_y</w:t>
      </w:r>
      <w:proofErr w:type="spellEnd"/>
      <w:r>
        <w:t>), which required careful column selection and de-duplication logic to resolve cleanly.</w:t>
      </w:r>
    </w:p>
    <w:p w:rsidR="00EE0E0F" w:rsidRDefault="00104130">
      <w:pPr>
        <w:pStyle w:val="ListParagraph"/>
        <w:numPr>
          <w:ilvl w:val="0"/>
          <w:numId w:val="1"/>
        </w:numPr>
        <w:spacing w:after="90" w:line="280" w:lineRule="auto"/>
      </w:pPr>
      <w:r>
        <w:t xml:space="preserve">JSON Serialization Errors in </w:t>
      </w:r>
      <w:proofErr w:type="spellStart"/>
      <w:r>
        <w:t>Plotly</w:t>
      </w:r>
      <w:proofErr w:type="spellEnd"/>
      <w:r>
        <w:t xml:space="preserve"> Exports: Exporting </w:t>
      </w:r>
      <w:proofErr w:type="spellStart"/>
      <w:r>
        <w:t>Plotly</w:t>
      </w:r>
      <w:proofErr w:type="spellEnd"/>
      <w:r>
        <w:t xml:space="preserve"> figures containing pandas Timestamp objects (e.g., annotation text referencing a Timestamp directly) raised 'Type is not JSON </w:t>
      </w:r>
      <w:proofErr w:type="spellStart"/>
      <w:r>
        <w:t>serializable</w:t>
      </w:r>
      <w:proofErr w:type="spellEnd"/>
      <w:r>
        <w:t>' errors, requiring explicit conversion of Timestamp values to string/date representations before chart export.</w:t>
      </w:r>
    </w:p>
    <w:p w:rsidR="00EE0E0F" w:rsidRDefault="00104130">
      <w:pPr>
        <w:pStyle w:val="ListParagraph"/>
        <w:numPr>
          <w:ilvl w:val="0"/>
          <w:numId w:val="1"/>
        </w:numPr>
        <w:spacing w:after="90" w:line="280" w:lineRule="auto"/>
      </w:pPr>
      <w:r>
        <w:t>Missing Output Directories: Early attempts to save chart images failed silently because the target charts/ directory did not yet exist; this was resolved by explicitly creating the directory (</w:t>
      </w:r>
      <w:proofErr w:type="spellStart"/>
      <w:r>
        <w:t>os.makedirs</w:t>
      </w:r>
      <w:proofErr w:type="spellEnd"/>
      <w:r>
        <w:t>(</w:t>
      </w:r>
      <w:proofErr w:type="spellStart"/>
      <w:r>
        <w:t>exist_ok</w:t>
      </w:r>
      <w:proofErr w:type="spellEnd"/>
      <w:r>
        <w:t>=True)) before any image export calls.</w:t>
      </w:r>
    </w:p>
    <w:p w:rsidR="00EE0E0F" w:rsidRDefault="00104130">
      <w:pPr>
        <w:pStyle w:val="ListParagraph"/>
        <w:numPr>
          <w:ilvl w:val="0"/>
          <w:numId w:val="1"/>
        </w:numPr>
        <w:spacing w:after="90" w:line="280" w:lineRule="auto"/>
      </w:pPr>
      <w:r>
        <w:t xml:space="preserve">Handling Sparse Return Histories: Several schemes had fewer than 30 return observations, which is insufficient for statistically meaningful </w:t>
      </w:r>
      <w:proofErr w:type="spellStart"/>
      <w:r>
        <w:t>VaR</w:t>
      </w:r>
      <w:proofErr w:type="spellEnd"/>
      <w:r>
        <w:t>/</w:t>
      </w:r>
      <w:proofErr w:type="spellStart"/>
      <w:r>
        <w:t>CVaR</w:t>
      </w:r>
      <w:proofErr w:type="spellEnd"/>
      <w:r>
        <w:t xml:space="preserve"> estimation; such schemes were explicitly excluded from the risk analytics stage using a minimum observation threshold.</w:t>
      </w:r>
    </w:p>
    <w:p w:rsidR="00EE0E0F" w:rsidRDefault="00104130">
      <w:pPr>
        <w:pStyle w:val="ListParagraph"/>
        <w:numPr>
          <w:ilvl w:val="0"/>
          <w:numId w:val="1"/>
        </w:numPr>
        <w:spacing w:after="90" w:line="280" w:lineRule="auto"/>
      </w:pPr>
      <w:r>
        <w:t xml:space="preserve">Reconciling AMFI Codes </w:t>
      </w:r>
      <w:proofErr w:type="gramStart"/>
      <w:r>
        <w:t>Across</w:t>
      </w:r>
      <w:proofErr w:type="gramEnd"/>
      <w:r>
        <w:t xml:space="preserve"> Datasets: Ensuring that AMFI codes were consistent across the fund master, NAV history, transactions, and holdings datasets required explicit set-intersection checks to confirm complete referential coverage before performing joins.</w:t>
      </w:r>
    </w:p>
    <w:p w:rsidR="00EE0E0F" w:rsidRDefault="00104130">
      <w:pPr>
        <w:pStyle w:val="ListParagraph"/>
        <w:numPr>
          <w:ilvl w:val="0"/>
          <w:numId w:val="1"/>
        </w:numPr>
        <w:spacing w:after="90" w:line="280" w:lineRule="auto"/>
      </w:pPr>
      <w:r>
        <w:t>Relative Path Management: Since notebooks were run from within the notebooks/ directory while some scripts assumed the project root, relative file paths occasionally needed adjustment (e.g., "data/raw/..." versus "</w:t>
      </w:r>
      <w:proofErr w:type="gramStart"/>
      <w:r>
        <w:t>..</w:t>
      </w:r>
      <w:proofErr w:type="gramEnd"/>
      <w:r>
        <w:t xml:space="preserve">/data/raw/...") to avoid </w:t>
      </w:r>
      <w:proofErr w:type="spellStart"/>
      <w:r>
        <w:t>FileNotFoundError</w:t>
      </w:r>
      <w:proofErr w:type="spellEnd"/>
      <w:r>
        <w:t xml:space="preserve"> exceptions.</w:t>
      </w:r>
    </w:p>
    <w:p w:rsidR="00EE0E0F" w:rsidRDefault="00104130">
      <w:pPr>
        <w:pStyle w:val="Heading1"/>
        <w:pageBreakBefore/>
        <w:spacing w:before="400"/>
      </w:pPr>
      <w:bookmarkStart w:id="73" w:name="_Toc234514606"/>
      <w:r>
        <w:lastRenderedPageBreak/>
        <w:t>14. Future Scope</w:t>
      </w:r>
      <w:bookmarkEnd w:id="73"/>
    </w:p>
    <w:p w:rsidR="00EE0E0F" w:rsidRDefault="00104130">
      <w:pPr>
        <w:spacing w:after="160" w:line="300" w:lineRule="auto"/>
        <w:jc w:val="both"/>
      </w:pPr>
      <w:r>
        <w:t>While the current implementation delivers a complete end-to-end analytics pipeline, several enhancements could extend the project's depth, scale, and real-world applicability:</w:t>
      </w:r>
    </w:p>
    <w:p w:rsidR="00EE0E0F" w:rsidRDefault="00104130">
      <w:pPr>
        <w:pStyle w:val="ListParagraph"/>
        <w:numPr>
          <w:ilvl w:val="0"/>
          <w:numId w:val="1"/>
        </w:numPr>
        <w:spacing w:after="90" w:line="280" w:lineRule="auto"/>
      </w:pPr>
      <w:r>
        <w:t>Migrate from SQLite to a production-grade RDBMS (</w:t>
      </w:r>
      <w:proofErr w:type="spellStart"/>
      <w:r>
        <w:t>PostgreSQL</w:t>
      </w:r>
      <w:proofErr w:type="spellEnd"/>
      <w:r>
        <w:t xml:space="preserve"> / MySQL) or a cloud data warehouse (Snowflake / </w:t>
      </w:r>
      <w:proofErr w:type="spellStart"/>
      <w:r>
        <w:t>BigQuery</w:t>
      </w:r>
      <w:proofErr w:type="spellEnd"/>
      <w:r>
        <w:t>) to support larger datasets and concurrent multi-user access.</w:t>
      </w:r>
    </w:p>
    <w:p w:rsidR="00EE0E0F" w:rsidRDefault="00104130">
      <w:pPr>
        <w:pStyle w:val="ListParagraph"/>
        <w:numPr>
          <w:ilvl w:val="0"/>
          <w:numId w:val="1"/>
        </w:numPr>
        <w:spacing w:after="90" w:line="280" w:lineRule="auto"/>
      </w:pPr>
      <w:r>
        <w:t xml:space="preserve">Automate the live NAV ingestion pipeline (currently a manual script) into a scheduled job (e.g., using Airflow or a simple </w:t>
      </w:r>
      <w:proofErr w:type="spellStart"/>
      <w:r>
        <w:t>cron</w:t>
      </w:r>
      <w:proofErr w:type="spellEnd"/>
      <w:r>
        <w:t>-based scheduler) for daily incremental NAV updates.</w:t>
      </w:r>
    </w:p>
    <w:p w:rsidR="00EE0E0F" w:rsidRDefault="00104130">
      <w:pPr>
        <w:pStyle w:val="ListParagraph"/>
        <w:numPr>
          <w:ilvl w:val="0"/>
          <w:numId w:val="1"/>
        </w:numPr>
        <w:spacing w:after="90" w:line="280" w:lineRule="auto"/>
      </w:pPr>
      <w:r>
        <w:t>Expand the fund universe beyond the current 40 schemes and 10 fund houses to cover a broader cross-section of the Indian mutual fund industry, including Hybrid and Solution-Oriented fund categories.</w:t>
      </w:r>
    </w:p>
    <w:p w:rsidR="00EE0E0F" w:rsidRDefault="00104130">
      <w:pPr>
        <w:pStyle w:val="ListParagraph"/>
        <w:numPr>
          <w:ilvl w:val="0"/>
          <w:numId w:val="1"/>
        </w:numPr>
        <w:spacing w:after="90" w:line="280" w:lineRule="auto"/>
      </w:pPr>
      <w:r>
        <w:t>Enhance the rule-based recommendation engine into a machine-learning-based recommendation system incorporating investor transaction history, goal-based investing parameters, and collaborative filtering techniques.</w:t>
      </w:r>
    </w:p>
    <w:p w:rsidR="00EE0E0F" w:rsidRDefault="00104130">
      <w:pPr>
        <w:pStyle w:val="ListParagraph"/>
        <w:numPr>
          <w:ilvl w:val="0"/>
          <w:numId w:val="1"/>
        </w:numPr>
        <w:spacing w:after="90" w:line="280" w:lineRule="auto"/>
      </w:pPr>
      <w:r>
        <w:t>Introduce predictive analytics - for example, forecasting future NAV trends or SIP discontinuation probability using time-series models (ARIMA, Prophet) or classification models (logistic regression, gradient boosting) trained on the SIP continuity labels already generated.</w:t>
      </w:r>
    </w:p>
    <w:p w:rsidR="00EE0E0F" w:rsidRDefault="00104130">
      <w:pPr>
        <w:pStyle w:val="ListParagraph"/>
        <w:numPr>
          <w:ilvl w:val="0"/>
          <w:numId w:val="1"/>
        </w:numPr>
        <w:spacing w:after="90" w:line="280" w:lineRule="auto"/>
      </w:pPr>
      <w:r>
        <w:t>Deploy the Power BI dashboard to the Power BI Service (cloud) with scheduled data refresh, enabling real-time or near-real-time dashboard updates as new transaction and NAV data arrives.</w:t>
      </w:r>
    </w:p>
    <w:p w:rsidR="00EE0E0F" w:rsidRDefault="00104130">
      <w:pPr>
        <w:pStyle w:val="ListParagraph"/>
        <w:numPr>
          <w:ilvl w:val="0"/>
          <w:numId w:val="1"/>
        </w:numPr>
        <w:spacing w:after="90" w:line="280" w:lineRule="auto"/>
      </w:pPr>
      <w:r>
        <w:t xml:space="preserve">Extend risk analytics to include parametric and Monte Carlo </w:t>
      </w:r>
      <w:proofErr w:type="spellStart"/>
      <w:r>
        <w:t>VaR</w:t>
      </w:r>
      <w:proofErr w:type="spellEnd"/>
      <w:r>
        <w:t xml:space="preserve"> methodologies alongside the current historical </w:t>
      </w:r>
      <w:proofErr w:type="spellStart"/>
      <w:r>
        <w:t>VaR</w:t>
      </w:r>
      <w:proofErr w:type="spellEnd"/>
      <w:r>
        <w:t xml:space="preserve"> approach, for cross-validation of risk estimates.</w:t>
      </w:r>
    </w:p>
    <w:p w:rsidR="00EE0E0F" w:rsidRDefault="00104130">
      <w:pPr>
        <w:pStyle w:val="ListParagraph"/>
        <w:numPr>
          <w:ilvl w:val="0"/>
          <w:numId w:val="1"/>
        </w:numPr>
        <w:spacing w:after="90" w:line="280" w:lineRule="auto"/>
      </w:pPr>
      <w:r>
        <w:t>Add automated data quality monitoring (e.g., using Great Expectations) to continuously validate incoming data against defined quality rules as the pipeline scales.</w:t>
      </w:r>
    </w:p>
    <w:p w:rsidR="00EE0E0F" w:rsidRDefault="00104130">
      <w:pPr>
        <w:pStyle w:val="Heading1"/>
        <w:pageBreakBefore/>
        <w:spacing w:before="400"/>
      </w:pPr>
      <w:bookmarkStart w:id="74" w:name="_Toc234514607"/>
      <w:r>
        <w:lastRenderedPageBreak/>
        <w:t>15. Conclusion</w:t>
      </w:r>
      <w:bookmarkEnd w:id="74"/>
    </w:p>
    <w:p w:rsidR="00EE0E0F" w:rsidRDefault="00104130">
      <w:pPr>
        <w:spacing w:after="160" w:line="300" w:lineRule="auto"/>
        <w:jc w:val="both"/>
      </w:pPr>
      <w:r>
        <w:t xml:space="preserve">The </w:t>
      </w:r>
      <w:proofErr w:type="spellStart"/>
      <w:r>
        <w:t>Bluestock</w:t>
      </w:r>
      <w:proofErr w:type="spellEnd"/>
      <w:r>
        <w:t xml:space="preserve"> Mutual Fund Analytics Capstone project successfully demonstrates a complete, professional-grade data analytics workflow - from raw data ingestion and cleaning, through relational database design, exploratory analysis, financial performance evaluation, advanced risk and investor </w:t>
      </w:r>
      <w:proofErr w:type="spellStart"/>
      <w:r>
        <w:t>behaviour</w:t>
      </w:r>
      <w:proofErr w:type="spellEnd"/>
      <w:r>
        <w:t xml:space="preserve"> analytics, and finally an interactive Power BI dashboard for business consumption.</w:t>
      </w:r>
    </w:p>
    <w:p w:rsidR="00EE0E0F" w:rsidRDefault="00104130">
      <w:pPr>
        <w:spacing w:after="160" w:line="300" w:lineRule="auto"/>
        <w:jc w:val="both"/>
      </w:pPr>
      <w:r>
        <w:t xml:space="preserve">Across the project's five stages, 40 mutual fund schemes spanning 10 major Indian fund houses were </w:t>
      </w:r>
      <w:proofErr w:type="spellStart"/>
      <w:r>
        <w:t>analysed</w:t>
      </w:r>
      <w:proofErr w:type="spellEnd"/>
      <w:r>
        <w:t xml:space="preserve"> using approximately 46,000 NAV records and 32,778 investor transactions. Industry-standard performance metrics (CAGR, Sharpe Ratio, </w:t>
      </w:r>
      <w:proofErr w:type="spellStart"/>
      <w:r>
        <w:t>Sortino</w:t>
      </w:r>
      <w:proofErr w:type="spellEnd"/>
      <w:r>
        <w:t xml:space="preserve"> Ratio, Alpha, Beta, Maximum Drawdown, </w:t>
      </w:r>
      <w:proofErr w:type="gramStart"/>
      <w:r>
        <w:t>Tracking</w:t>
      </w:r>
      <w:proofErr w:type="gramEnd"/>
      <w:r>
        <w:t xml:space="preserve"> Error) were computed and consolidated into a composite Fund Scorecard, while advanced analytics extended the analysis into Value at Risk, rolling risk-adjusted performance, investor cohort </w:t>
      </w:r>
      <w:proofErr w:type="spellStart"/>
      <w:r>
        <w:t>behaviour</w:t>
      </w:r>
      <w:proofErr w:type="spellEnd"/>
      <w:r>
        <w:t>, SIP continuity, a fund recommendation engine, and portfolio concentration analysis.</w:t>
      </w:r>
    </w:p>
    <w:p w:rsidR="00EE0E0F" w:rsidRDefault="00104130">
      <w:pPr>
        <w:spacing w:after="160" w:line="300" w:lineRule="auto"/>
        <w:jc w:val="both"/>
      </w:pPr>
      <w:r>
        <w:t xml:space="preserve">This project provided practical, hands-on experience with the full data analyst toolkit expected in a </w:t>
      </w:r>
      <w:proofErr w:type="spellStart"/>
      <w:r>
        <w:t>fintech</w:t>
      </w:r>
      <w:proofErr w:type="spellEnd"/>
      <w:r>
        <w:t xml:space="preserve"> environment: Python-based data engineering (Pandas, </w:t>
      </w:r>
      <w:proofErr w:type="spellStart"/>
      <w:r>
        <w:t>NumPy</w:t>
      </w:r>
      <w:proofErr w:type="spellEnd"/>
      <w:r>
        <w:t xml:space="preserve">), relational database design and SQL querying (SQLite, </w:t>
      </w:r>
      <w:proofErr w:type="spellStart"/>
      <w:r>
        <w:t>SQLAlchemy</w:t>
      </w:r>
      <w:proofErr w:type="spellEnd"/>
      <w:r>
        <w:t>), statistical and financial computation (</w:t>
      </w:r>
      <w:proofErr w:type="spellStart"/>
      <w:r>
        <w:t>SciPy</w:t>
      </w:r>
      <w:proofErr w:type="spellEnd"/>
      <w:r>
        <w:t xml:space="preserve">, custom risk/return formulas), data </w:t>
      </w:r>
      <w:proofErr w:type="spellStart"/>
      <w:r>
        <w:t>visualisation</w:t>
      </w:r>
      <w:proofErr w:type="spellEnd"/>
      <w:r>
        <w:t xml:space="preserve"> (</w:t>
      </w:r>
      <w:proofErr w:type="spellStart"/>
      <w:r>
        <w:t>Matplotlib</w:t>
      </w:r>
      <w:proofErr w:type="spellEnd"/>
      <w:r>
        <w:t xml:space="preserve">, </w:t>
      </w:r>
      <w:proofErr w:type="spellStart"/>
      <w:r>
        <w:t>Seaborn</w:t>
      </w:r>
      <w:proofErr w:type="spellEnd"/>
      <w:r>
        <w:t xml:space="preserve">, </w:t>
      </w:r>
      <w:proofErr w:type="spellStart"/>
      <w:r>
        <w:t>Plotly</w:t>
      </w:r>
      <w:proofErr w:type="spellEnd"/>
      <w:r>
        <w:t>), and business intelligence dashboard development (Power BI). Beyond the technical deliverables, the project also reinforced the importance of data quality validation, reproducible ETL pipelines, and translating quantitative analysis into clear, actionable business insights - core competencies for a Data Analyst role in the financial technology sector.</w:t>
      </w:r>
    </w:p>
    <w:p w:rsidR="00EE0E0F" w:rsidRDefault="00104130">
      <w:pPr>
        <w:spacing w:after="160" w:line="300" w:lineRule="auto"/>
        <w:jc w:val="both"/>
      </w:pPr>
      <w:r>
        <w:t xml:space="preserve">Overall, this capstone project reflects a strong foundation in mutual fund analytics and positions the skills developed during this internship for direct application to real-world investment analytics, </w:t>
      </w:r>
      <w:proofErr w:type="spellStart"/>
      <w:r>
        <w:t>fintech</w:t>
      </w:r>
      <w:proofErr w:type="spellEnd"/>
      <w:r>
        <w:t xml:space="preserve"> product development, and business intelligence roles.</w:t>
      </w:r>
    </w:p>
    <w:p w:rsidR="00EE0E0F" w:rsidRDefault="00104130">
      <w:pPr>
        <w:pStyle w:val="Heading1"/>
        <w:pageBreakBefore/>
        <w:spacing w:before="400"/>
      </w:pPr>
      <w:bookmarkStart w:id="75" w:name="_Toc234514608"/>
      <w:r>
        <w:lastRenderedPageBreak/>
        <w:t>16. References</w:t>
      </w:r>
      <w:bookmarkEnd w:id="75"/>
    </w:p>
    <w:p w:rsidR="00EE0E0F" w:rsidRDefault="00104130">
      <w:pPr>
        <w:pStyle w:val="ListParagraph"/>
        <w:numPr>
          <w:ilvl w:val="0"/>
          <w:numId w:val="1"/>
        </w:numPr>
        <w:spacing w:after="90" w:line="280" w:lineRule="auto"/>
      </w:pPr>
      <w:r>
        <w:t>AMFI India - Association of Mutual Funds in India, official scheme data and AMFI codes reference: https://www.amfiindia.com</w:t>
      </w:r>
    </w:p>
    <w:p w:rsidR="00EE0E0F" w:rsidRDefault="00104130">
      <w:pPr>
        <w:pStyle w:val="ListParagraph"/>
        <w:numPr>
          <w:ilvl w:val="0"/>
          <w:numId w:val="1"/>
        </w:numPr>
        <w:spacing w:after="90" w:line="280" w:lineRule="auto"/>
      </w:pPr>
      <w:r>
        <w:t>mfapi.in - Public Mutual Fund NAV API used for live NAV data ingestion: https://www.mfapi.in</w:t>
      </w:r>
    </w:p>
    <w:p w:rsidR="00EE0E0F" w:rsidRDefault="00104130">
      <w:pPr>
        <w:pStyle w:val="ListParagraph"/>
        <w:numPr>
          <w:ilvl w:val="0"/>
          <w:numId w:val="1"/>
        </w:numPr>
        <w:spacing w:after="90" w:line="280" w:lineRule="auto"/>
      </w:pPr>
      <w:r>
        <w:t xml:space="preserve">SEBI (Securities and Exchange Board of India) - Mutual Fund Regulations and </w:t>
      </w:r>
      <w:proofErr w:type="spellStart"/>
      <w:r>
        <w:t>Categorisation</w:t>
      </w:r>
      <w:proofErr w:type="spellEnd"/>
      <w:r>
        <w:t xml:space="preserve"> Framework.</w:t>
      </w:r>
    </w:p>
    <w:p w:rsidR="00EE0E0F" w:rsidRDefault="00104130">
      <w:pPr>
        <w:pStyle w:val="ListParagraph"/>
        <w:numPr>
          <w:ilvl w:val="0"/>
          <w:numId w:val="1"/>
        </w:numPr>
        <w:spacing w:after="90" w:line="280" w:lineRule="auto"/>
      </w:pPr>
      <w:r>
        <w:t>Pandas Documentation - https://pandas.pydata.org/docs/</w:t>
      </w:r>
    </w:p>
    <w:p w:rsidR="00EE0E0F" w:rsidRDefault="00104130">
      <w:pPr>
        <w:pStyle w:val="ListParagraph"/>
        <w:numPr>
          <w:ilvl w:val="0"/>
          <w:numId w:val="1"/>
        </w:numPr>
        <w:spacing w:after="90" w:line="280" w:lineRule="auto"/>
      </w:pPr>
      <w:proofErr w:type="spellStart"/>
      <w:r>
        <w:t>NumPy</w:t>
      </w:r>
      <w:proofErr w:type="spellEnd"/>
      <w:r>
        <w:t xml:space="preserve"> Documentation - https://numpy.org/doc/</w:t>
      </w:r>
    </w:p>
    <w:p w:rsidR="00EE0E0F" w:rsidRDefault="00104130">
      <w:pPr>
        <w:pStyle w:val="ListParagraph"/>
        <w:numPr>
          <w:ilvl w:val="0"/>
          <w:numId w:val="1"/>
        </w:numPr>
        <w:spacing w:after="90" w:line="280" w:lineRule="auto"/>
      </w:pPr>
      <w:proofErr w:type="spellStart"/>
      <w:r>
        <w:t>SciPy</w:t>
      </w:r>
      <w:proofErr w:type="spellEnd"/>
      <w:r>
        <w:t xml:space="preserve"> Documentation (</w:t>
      </w:r>
      <w:proofErr w:type="spellStart"/>
      <w:r>
        <w:t>scipy.stats.linregress</w:t>
      </w:r>
      <w:proofErr w:type="spellEnd"/>
      <w:r>
        <w:t>) - https://docs.scipy.org/doc/scipy/</w:t>
      </w:r>
    </w:p>
    <w:p w:rsidR="00EE0E0F" w:rsidRDefault="00104130">
      <w:pPr>
        <w:pStyle w:val="ListParagraph"/>
        <w:numPr>
          <w:ilvl w:val="0"/>
          <w:numId w:val="1"/>
        </w:numPr>
        <w:spacing w:after="90" w:line="280" w:lineRule="auto"/>
      </w:pPr>
      <w:proofErr w:type="spellStart"/>
      <w:r>
        <w:t>SQLAlchemy</w:t>
      </w:r>
      <w:proofErr w:type="spellEnd"/>
      <w:r>
        <w:t xml:space="preserve"> Documentation - https://docs.sqlalchemy.org/</w:t>
      </w:r>
    </w:p>
    <w:p w:rsidR="00EE0E0F" w:rsidRDefault="00104130">
      <w:pPr>
        <w:pStyle w:val="ListParagraph"/>
        <w:numPr>
          <w:ilvl w:val="0"/>
          <w:numId w:val="1"/>
        </w:numPr>
        <w:spacing w:after="90" w:line="280" w:lineRule="auto"/>
      </w:pPr>
      <w:proofErr w:type="spellStart"/>
      <w:r>
        <w:t>Plotly</w:t>
      </w:r>
      <w:proofErr w:type="spellEnd"/>
      <w:r>
        <w:t xml:space="preserve"> Python Graphing Library - https://plotly.com/python/</w:t>
      </w:r>
    </w:p>
    <w:p w:rsidR="00EE0E0F" w:rsidRDefault="00104130">
      <w:pPr>
        <w:pStyle w:val="ListParagraph"/>
        <w:numPr>
          <w:ilvl w:val="0"/>
          <w:numId w:val="1"/>
        </w:numPr>
        <w:spacing w:after="90" w:line="280" w:lineRule="auto"/>
      </w:pPr>
      <w:proofErr w:type="spellStart"/>
      <w:r>
        <w:t>Matplotlib</w:t>
      </w:r>
      <w:proofErr w:type="spellEnd"/>
      <w:r>
        <w:t xml:space="preserve"> Documentation - https://matplotlib.org/stable/index.html</w:t>
      </w:r>
    </w:p>
    <w:p w:rsidR="00EE0E0F" w:rsidRDefault="00104130">
      <w:pPr>
        <w:pStyle w:val="ListParagraph"/>
        <w:numPr>
          <w:ilvl w:val="0"/>
          <w:numId w:val="1"/>
        </w:numPr>
        <w:spacing w:after="90" w:line="280" w:lineRule="auto"/>
      </w:pPr>
      <w:proofErr w:type="spellStart"/>
      <w:r>
        <w:t>Seaborn</w:t>
      </w:r>
      <w:proofErr w:type="spellEnd"/>
      <w:r>
        <w:t xml:space="preserve"> Statistical Data Visualization - https://seaborn.pydata.org/</w:t>
      </w:r>
    </w:p>
    <w:p w:rsidR="00EE0E0F" w:rsidRDefault="00104130">
      <w:pPr>
        <w:pStyle w:val="ListParagraph"/>
        <w:numPr>
          <w:ilvl w:val="0"/>
          <w:numId w:val="1"/>
        </w:numPr>
        <w:spacing w:after="90" w:line="280" w:lineRule="auto"/>
      </w:pPr>
      <w:r>
        <w:t>Microsoft Power BI Documentation - https://learn.microsoft.com/en-us/power-bi/</w:t>
      </w:r>
    </w:p>
    <w:p w:rsidR="00EE0E0F" w:rsidRDefault="00104130">
      <w:pPr>
        <w:pStyle w:val="ListParagraph"/>
        <w:numPr>
          <w:ilvl w:val="0"/>
          <w:numId w:val="1"/>
        </w:numPr>
        <w:spacing w:after="90" w:line="280" w:lineRule="auto"/>
      </w:pPr>
      <w:proofErr w:type="spellStart"/>
      <w:r>
        <w:t>Bluestock</w:t>
      </w:r>
      <w:proofErr w:type="spellEnd"/>
      <w:r>
        <w:t xml:space="preserve"> </w:t>
      </w:r>
      <w:proofErr w:type="spellStart"/>
      <w:r>
        <w:t>Fintech</w:t>
      </w:r>
      <w:proofErr w:type="spellEnd"/>
      <w:r>
        <w:t xml:space="preserve"> - Data Analyst Internship Program Guidelines and Project Brief.</w:t>
      </w:r>
    </w:p>
    <w:sectPr w:rsidR="00EE0E0F">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390B" w:rsidRDefault="00A6390B">
      <w:r>
        <w:separator/>
      </w:r>
    </w:p>
  </w:endnote>
  <w:endnote w:type="continuationSeparator" w:id="0">
    <w:p w:rsidR="00A6390B" w:rsidRDefault="00A63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4130" w:rsidRDefault="0010413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02A4B">
      <w:rPr>
        <w:noProof/>
        <w:color w:val="888888"/>
        <w:sz w:val="18"/>
        <w:szCs w:val="18"/>
      </w:rPr>
      <w:t>5</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C02A4B">
      <w:rPr>
        <w:noProof/>
        <w:color w:val="888888"/>
        <w:sz w:val="18"/>
        <w:szCs w:val="18"/>
      </w:rPr>
      <w:t>39</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390B" w:rsidRDefault="00A6390B">
      <w:r>
        <w:separator/>
      </w:r>
    </w:p>
  </w:footnote>
  <w:footnote w:type="continuationSeparator" w:id="0">
    <w:p w:rsidR="00A6390B" w:rsidRDefault="00A639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4130" w:rsidRDefault="00104130">
    <w:pPr>
      <w:pBdr>
        <w:bottom w:val="single" w:sz="4" w:space="4" w:color="CCCCCC"/>
      </w:pBdr>
      <w:jc w:val="right"/>
    </w:pPr>
    <w:proofErr w:type="spellStart"/>
    <w:r>
      <w:rPr>
        <w:i/>
        <w:iCs/>
        <w:color w:val="888888"/>
        <w:sz w:val="16"/>
        <w:szCs w:val="16"/>
      </w:rPr>
      <w:t>Bluestock</w:t>
    </w:r>
    <w:proofErr w:type="spellEnd"/>
    <w:r>
      <w:rPr>
        <w:i/>
        <w:iCs/>
        <w:color w:val="888888"/>
        <w:sz w:val="16"/>
        <w:szCs w:val="16"/>
      </w:rPr>
      <w:t xml:space="preserve"> Mutual Fund Analytics Capstone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60021A"/>
    <w:multiLevelType w:val="hybridMultilevel"/>
    <w:tmpl w:val="8E5860D2"/>
    <w:lvl w:ilvl="0" w:tplc="B41ACF9C">
      <w:start w:val="1"/>
      <w:numFmt w:val="bullet"/>
      <w:lvlText w:val="●"/>
      <w:lvlJc w:val="left"/>
      <w:pPr>
        <w:ind w:left="720" w:hanging="360"/>
      </w:pPr>
    </w:lvl>
    <w:lvl w:ilvl="1" w:tplc="546C3594">
      <w:start w:val="1"/>
      <w:numFmt w:val="bullet"/>
      <w:lvlText w:val="○"/>
      <w:lvlJc w:val="left"/>
      <w:pPr>
        <w:ind w:left="1440" w:hanging="360"/>
      </w:pPr>
    </w:lvl>
    <w:lvl w:ilvl="2" w:tplc="E0FE1B22">
      <w:start w:val="1"/>
      <w:numFmt w:val="bullet"/>
      <w:lvlText w:val="■"/>
      <w:lvlJc w:val="left"/>
      <w:pPr>
        <w:ind w:left="2160" w:hanging="360"/>
      </w:pPr>
    </w:lvl>
    <w:lvl w:ilvl="3" w:tplc="4B961BBC">
      <w:start w:val="1"/>
      <w:numFmt w:val="bullet"/>
      <w:lvlText w:val="●"/>
      <w:lvlJc w:val="left"/>
      <w:pPr>
        <w:ind w:left="2880" w:hanging="360"/>
      </w:pPr>
    </w:lvl>
    <w:lvl w:ilvl="4" w:tplc="3A6A5D5A">
      <w:start w:val="1"/>
      <w:numFmt w:val="bullet"/>
      <w:lvlText w:val="○"/>
      <w:lvlJc w:val="left"/>
      <w:pPr>
        <w:ind w:left="3600" w:hanging="360"/>
      </w:pPr>
    </w:lvl>
    <w:lvl w:ilvl="5" w:tplc="C294553C">
      <w:start w:val="1"/>
      <w:numFmt w:val="bullet"/>
      <w:lvlText w:val="■"/>
      <w:lvlJc w:val="left"/>
      <w:pPr>
        <w:ind w:left="4320" w:hanging="360"/>
      </w:pPr>
    </w:lvl>
    <w:lvl w:ilvl="6" w:tplc="345AE72C">
      <w:start w:val="1"/>
      <w:numFmt w:val="bullet"/>
      <w:lvlText w:val="●"/>
      <w:lvlJc w:val="left"/>
      <w:pPr>
        <w:ind w:left="5040" w:hanging="360"/>
      </w:pPr>
    </w:lvl>
    <w:lvl w:ilvl="7" w:tplc="3B50F04A">
      <w:start w:val="1"/>
      <w:numFmt w:val="bullet"/>
      <w:lvlText w:val="●"/>
      <w:lvlJc w:val="left"/>
      <w:pPr>
        <w:ind w:left="5760" w:hanging="360"/>
      </w:pPr>
    </w:lvl>
    <w:lvl w:ilvl="8" w:tplc="027237F2">
      <w:start w:val="1"/>
      <w:numFmt w:val="bullet"/>
      <w:lvlText w:val="●"/>
      <w:lvlJc w:val="left"/>
      <w:pPr>
        <w:ind w:left="6480" w:hanging="360"/>
      </w:pPr>
    </w:lvl>
  </w:abstractNum>
  <w:abstractNum w:abstractNumId="1">
    <w:nsid w:val="5E0655D7"/>
    <w:multiLevelType w:val="hybridMultilevel"/>
    <w:tmpl w:val="B024D6A0"/>
    <w:lvl w:ilvl="0" w:tplc="6082BFC2">
      <w:start w:val="1"/>
      <w:numFmt w:val="bullet"/>
      <w:lvlText w:val="•"/>
      <w:lvlJc w:val="left"/>
      <w:pPr>
        <w:ind w:left="460" w:hanging="260"/>
      </w:pPr>
    </w:lvl>
    <w:lvl w:ilvl="1" w:tplc="EB968902">
      <w:start w:val="1"/>
      <w:numFmt w:val="bullet"/>
      <w:lvlText w:val="◦"/>
      <w:lvlJc w:val="left"/>
      <w:pPr>
        <w:ind w:left="820" w:hanging="260"/>
      </w:pPr>
    </w:lvl>
    <w:lvl w:ilvl="2" w:tplc="B54A6A9E">
      <w:numFmt w:val="decimal"/>
      <w:lvlText w:val=""/>
      <w:lvlJc w:val="left"/>
    </w:lvl>
    <w:lvl w:ilvl="3" w:tplc="A75E3ABA">
      <w:numFmt w:val="decimal"/>
      <w:lvlText w:val=""/>
      <w:lvlJc w:val="left"/>
    </w:lvl>
    <w:lvl w:ilvl="4" w:tplc="85E880CE">
      <w:numFmt w:val="decimal"/>
      <w:lvlText w:val=""/>
      <w:lvlJc w:val="left"/>
    </w:lvl>
    <w:lvl w:ilvl="5" w:tplc="F16A1CA2">
      <w:numFmt w:val="decimal"/>
      <w:lvlText w:val=""/>
      <w:lvlJc w:val="left"/>
    </w:lvl>
    <w:lvl w:ilvl="6" w:tplc="E8861A8C">
      <w:numFmt w:val="decimal"/>
      <w:lvlText w:val=""/>
      <w:lvlJc w:val="left"/>
    </w:lvl>
    <w:lvl w:ilvl="7" w:tplc="AD4CF1FE">
      <w:numFmt w:val="decimal"/>
      <w:lvlText w:val=""/>
      <w:lvlJc w:val="left"/>
    </w:lvl>
    <w:lvl w:ilvl="8" w:tplc="5A3888F4">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E0F"/>
    <w:rsid w:val="00104130"/>
    <w:rsid w:val="00A6390B"/>
    <w:rsid w:val="00C02A4B"/>
    <w:rsid w:val="00EE0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528E2BC-1527-44C8-B616-5CCE48594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4" w:color="2E5395"/>
      </w:pBdr>
      <w:spacing w:before="300" w:after="200"/>
      <w:outlineLvl w:val="0"/>
    </w:pPr>
    <w:rPr>
      <w:b/>
      <w:bCs/>
      <w:color w:val="1F3864"/>
      <w:sz w:val="30"/>
      <w:szCs w:val="30"/>
    </w:rPr>
  </w:style>
  <w:style w:type="paragraph" w:styleId="Heading2">
    <w:name w:val="heading 2"/>
    <w:qFormat/>
    <w:pPr>
      <w:spacing w:before="260" w:after="140"/>
      <w:outlineLvl w:val="1"/>
    </w:pPr>
    <w:rPr>
      <w:b/>
      <w:bCs/>
      <w:color w:val="2E5395"/>
      <w:sz w:val="25"/>
      <w:szCs w:val="25"/>
    </w:rPr>
  </w:style>
  <w:style w:type="paragraph" w:styleId="Heading3">
    <w:name w:val="heading 3"/>
    <w:qFormat/>
    <w:pPr>
      <w:spacing w:before="200" w:after="100"/>
      <w:outlineLvl w:val="2"/>
    </w:pPr>
    <w:rPr>
      <w:b/>
      <w:bCs/>
      <w:color w:val="3B6BC4"/>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04130"/>
    <w:pPr>
      <w:spacing w:after="100"/>
    </w:pPr>
  </w:style>
  <w:style w:type="paragraph" w:styleId="TOC2">
    <w:name w:val="toc 2"/>
    <w:basedOn w:val="Normal"/>
    <w:next w:val="Normal"/>
    <w:autoRedefine/>
    <w:uiPriority w:val="39"/>
    <w:unhideWhenUsed/>
    <w:rsid w:val="00104130"/>
    <w:pPr>
      <w:spacing w:after="100"/>
      <w:ind w:left="220"/>
    </w:pPr>
  </w:style>
  <w:style w:type="paragraph" w:styleId="TOC3">
    <w:name w:val="toc 3"/>
    <w:basedOn w:val="Normal"/>
    <w:next w:val="Normal"/>
    <w:autoRedefine/>
    <w:uiPriority w:val="39"/>
    <w:unhideWhenUsed/>
    <w:rsid w:val="0010413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8457</Words>
  <Characters>48208</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Bluestock Mutual Fund Analytics Capstone - Final Project Report</vt:lpstr>
    </vt:vector>
  </TitlesOfParts>
  <Company/>
  <LinksUpToDate>false</LinksUpToDate>
  <CharactersWithSpaces>56552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Bluestock Mutual Fund Analytics Capstone - Final Project Report</dc:title>
  <dc:creator>Kapish</dc:creator>
  <dc:description>Final Project Report for the Data Analyst Internship at Bluestock Fintech</dc:description>
  <cp:lastModifiedBy>DELL</cp:lastModifiedBy>
  <cp:revision>3</cp:revision>
  <dcterms:created xsi:type="dcterms:W3CDTF">2026-07-08T19:56:00Z</dcterms:created>
  <dcterms:modified xsi:type="dcterms:W3CDTF">2026-07-09T13:42:00Z</dcterms:modified>
</cp:coreProperties>
</file>