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«Инженерно-технические средства защиты информации»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«Инженерно-технические средства защиты информации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812" w:firstLine="142.00000000000045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964" w:firstLine="15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группы N34491</w:t>
      </w:r>
    </w:p>
    <w:p w:rsidR="00000000" w:rsidDel="00000000" w:rsidP="00000000" w:rsidRDefault="00000000" w:rsidRPr="00000000" w14:paraId="0000000E">
      <w:pPr>
        <w:spacing w:line="240" w:lineRule="auto"/>
        <w:ind w:left="5964" w:firstLine="15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Афанасьев Евгений Леонидович</w:t>
      </w:r>
    </w:p>
    <w:p w:rsidR="00000000" w:rsidDel="00000000" w:rsidP="00000000" w:rsidRDefault="00000000" w:rsidRPr="00000000" w14:paraId="00000010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1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Севастьянов Никита Владиславович</w:t>
      </w:r>
    </w:p>
    <w:p w:rsidR="00000000" w:rsidDel="00000000" w:rsidP="00000000" w:rsidRDefault="00000000" w:rsidRPr="00000000" w14:paraId="00000013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4">
      <w:pPr>
        <w:spacing w:line="240" w:lineRule="auto"/>
        <w:ind w:left="6520" w:firstLine="560"/>
        <w:jc w:val="right"/>
        <w:rPr>
          <w:sz w:val="14"/>
          <w:szCs w:val="14"/>
          <w:vertAlign w:val="superscript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Пермин Иван Сергеевич</w:t>
      </w:r>
    </w:p>
    <w:p w:rsidR="00000000" w:rsidDel="00000000" w:rsidP="00000000" w:rsidRDefault="00000000" w:rsidRPr="00000000" w14:paraId="00000016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7">
      <w:pPr>
        <w:spacing w:line="240" w:lineRule="auto"/>
        <w:ind w:left="6520" w:firstLine="560"/>
        <w:jc w:val="right"/>
        <w:rPr>
          <w:sz w:val="14"/>
          <w:szCs w:val="14"/>
          <w:vertAlign w:val="superscript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spacing w:line="240" w:lineRule="auto"/>
        <w:ind w:left="5812" w:firstLine="142.0000000000004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Попов Илья Юрьевич, доцент ФБИТ</w:t>
      </w:r>
    </w:p>
    <w:p w:rsidR="00000000" w:rsidDel="00000000" w:rsidP="00000000" w:rsidRDefault="00000000" w:rsidRPr="00000000" w14:paraId="0000001B">
      <w:pPr>
        <w:spacing w:before="240" w:line="24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    </w:t>
        <w:tab/>
        <w:t xml:space="preserve">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079" w:firstLine="0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3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line="360" w:lineRule="auto"/>
        <w:ind w:right="-32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26">
      <w:pPr>
        <w:pStyle w:val="Heading1"/>
        <w:jc w:val="left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spacing w:line="360" w:lineRule="auto"/>
        <w:ind w:right="-320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sz w:val="24"/>
          <w:szCs w:val="24"/>
          <w:rtl w:val="0"/>
        </w:rPr>
        <w:t xml:space="preserve">изучить работу детектора нелинейных полей</w:t>
      </w:r>
    </w:p>
    <w:p w:rsidR="00000000" w:rsidDel="00000000" w:rsidP="00000000" w:rsidRDefault="00000000" w:rsidRPr="00000000" w14:paraId="00000029">
      <w:pPr>
        <w:spacing w:line="360" w:lineRule="auto"/>
        <w:ind w:right="-320"/>
        <w:rPr>
          <w:b w:val="1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Задачи: </w:t>
      </w:r>
    </w:p>
    <w:p w:rsidR="00000000" w:rsidDel="00000000" w:rsidP="00000000" w:rsidRDefault="00000000" w:rsidRPr="00000000" w14:paraId="0000002A">
      <w:pPr>
        <w:spacing w:line="360" w:lineRule="auto"/>
        <w:ind w:left="720" w:right="-320" w:firstLine="0"/>
        <w:rPr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sz w:val="24"/>
          <w:szCs w:val="24"/>
          <w:rtl w:val="0"/>
        </w:rPr>
        <w:t xml:space="preserve">Просканировать коробочки с содержимым и понять что там </w:t>
      </w:r>
    </w:p>
    <w:p w:rsidR="00000000" w:rsidDel="00000000" w:rsidP="00000000" w:rsidRDefault="00000000" w:rsidRPr="00000000" w14:paraId="0000002B">
      <w:pPr>
        <w:spacing w:line="360" w:lineRule="auto"/>
        <w:ind w:right="-32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bookmarkStart w:colFirst="0" w:colLast="0" w:name="_3as4poj" w:id="6"/>
      <w:bookmarkEnd w:id="6"/>
      <w:r w:rsidDel="00000000" w:rsidR="00000000" w:rsidRPr="00000000">
        <w:rPr>
          <w:b w:val="1"/>
          <w:rtl w:val="0"/>
        </w:rPr>
        <w:t xml:space="preserve">Детектор нелинейных переходов «NR-µ»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1pxezwc" w:id="7"/>
      <w:bookmarkEnd w:id="7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портативный детектор полупроводниковых элементов предназначен для поиска и обнаружения электронных устройств, работающих как во включенном, так и в выключенном состоянии.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режима автоматической регулировки выходной мощности значительно упрощает работу оператора.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Детектор может одновременно отображать на светодиодном табло уровни сигналов второй и третьей гармоник. Кроме того, уровень второй или третьей гармоники можно оценить на слух по частоте щелчков, воспроизводимых через встроенный динамик или подключенные наушники с помощью миниатюрного приемного устройства.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49x2ik5" w:id="8"/>
      <w:bookmarkEnd w:id="8"/>
      <w:r w:rsidDel="00000000" w:rsidR="00000000" w:rsidRPr="00000000">
        <w:rPr>
          <w:rtl w:val="0"/>
        </w:rPr>
        <w:t xml:space="preserve">Принцип работы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работы детектора основан на свойстве полупроводниковых элементов переизлучать вторую и третью гармоники при облучении их зондирующим СВЧ сигналом. Максимальный отклик от полупроводниковых элементов искусственного происхождения наблюдается на второй гармонике зондирующего сигнала. А при облучении естественных окисных пленок максимум отклика приходится на третью гармонику зондирующего сигнала.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Детектор позволяет анализировать отклики облучаемых объектов как по второй, так и по третьей гармоникам зондирующего сигнала, что дает возможность надежно идентифицировать электронные устройства и естественные окисные полупроводники.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Детектор автоматически находит оптимальный частотный канал приема, свободный от помех, что позволяет работать с прибором даже в сложных условиях электромагнитных помех. Алгоритм перестройки частоты автоматически выбирает частоту зондирующего сигнала с минимальным уровнем помех приема второй гармоники.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Проведем исследование содержимого контейнеров с использованием нелинейного локатора. Содержимое контейнера определяется по соотношению второй и третьей гармоник следующим образом: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вторая гармоника превышает третью (2&gt;3), то содержимое идентифицируется как проводник. Это связано с тем, что проводники обычно демонстрируют нелинейные свойства, проявляющиеся в повышенных гармониках при внешнем воздействии.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вторая и третья гармоники равны (2=3), то содержимое идентифицируется как провод. Провода обычно имеют почти линейные характеристики без ярко выраженных нелинейных эффектов.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третья гармоника превышает вторую (2&lt;3), то содержимое определяется как природный неметаллический материал, такой как дерево, пластик, камень и т.п., не демонстрирующий значимых нелинейных свойств.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Соответствие коробок содержимому</w:t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920"/>
        <w:gridCol w:w="1800"/>
        <w:gridCol w:w="1875"/>
        <w:tblGridChange w:id="0">
          <w:tblGrid>
            <w:gridCol w:w="1800"/>
            <w:gridCol w:w="1680"/>
            <w:gridCol w:w="1920"/>
            <w:gridCol w:w="180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коробка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коробка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коробка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коробка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коробка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Скрепки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Полупроводник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Скрепки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Полупроводник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2p2csr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работы мы изучили назначение и принцип действия детектора нелинейных переходов "NR-μ". Мы использовали этот прибор для определения содержимого коробок. После настройки прибора мы наводили его на объекты и анализировали уровень 2-й и 3-й гармоник для оценки содержимого. По результатам этого эксперимента мы сформулировали предположения о содержимом коробок.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320"/>
        <w:rPr>
          <w:sz w:val="24"/>
          <w:szCs w:val="24"/>
        </w:rPr>
      </w:pPr>
      <w:bookmarkStart w:colFirst="0" w:colLast="0" w:name="_147n2z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3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