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«САНКТ-ПЕТЕРБУРГСКИЙ 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color w:val="000000"/>
          <w:rtl w:val="0"/>
        </w:rPr>
        <w:t xml:space="preserve">«Инженерно-технические средства защиты информации»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ОТЧЁТ ПО ЛАБОРАТОРНОЙ РАБОТЕ №1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Измеритель спектра вторичных полей (детектор нелинейных переходов)</w:t>
      </w:r>
    </w:p>
    <w:p w:rsidR="00000000" w:rsidDel="00000000" w:rsidP="00000000" w:rsidRDefault="00000000" w:rsidRPr="00000000" w14:paraId="00000011">
      <w:pPr>
        <w:spacing w:after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right"/>
        <w:rPr/>
      </w:pPr>
      <w:r w:rsidDel="00000000" w:rsidR="00000000" w:rsidRPr="00000000">
        <w:rPr>
          <w:b w:val="1"/>
          <w:color w:val="000000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Казаков М.В. студент группы N34521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4895850</wp:posOffset>
            </wp:positionH>
            <wp:positionV relativeFrom="paragraph">
              <wp:posOffset>283815</wp:posOffset>
            </wp:positionV>
            <wp:extent cx="982027" cy="25139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027" cy="251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right"/>
        <w:rPr>
          <w:i w:val="1"/>
          <w:color w:val="000000"/>
          <w:highlight w:val="white"/>
          <w:u w:val="single"/>
        </w:rPr>
      </w:pPr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Мариненков М.Д. студент группы N34521</w:t>
      </w:r>
    </w:p>
    <w:p w:rsidR="00000000" w:rsidDel="00000000" w:rsidP="00000000" w:rsidRDefault="00000000" w:rsidRPr="00000000" w14:paraId="00000019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5214938</wp:posOffset>
            </wp:positionH>
            <wp:positionV relativeFrom="paragraph">
              <wp:posOffset>137145</wp:posOffset>
            </wp:positionV>
            <wp:extent cx="346715" cy="30413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5" cy="304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right"/>
        <w:rPr>
          <w:i w:val="1"/>
          <w:color w:val="000000"/>
          <w:highlight w:val="white"/>
          <w:u w:val="single"/>
        </w:rPr>
      </w:pPr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Прохиро Д.А. студент группы N34521</w:t>
      </w:r>
    </w:p>
    <w:p w:rsidR="00000000" w:rsidDel="00000000" w:rsidP="00000000" w:rsidRDefault="00000000" w:rsidRPr="00000000" w14:paraId="0000001F">
      <w:pPr>
        <w:ind w:firstLine="0"/>
        <w:jc w:val="right"/>
        <w:rPr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5176838</wp:posOffset>
            </wp:positionH>
            <wp:positionV relativeFrom="paragraph">
              <wp:posOffset>165720</wp:posOffset>
            </wp:positionV>
            <wp:extent cx="433062" cy="277604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62" cy="277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firstLine="0"/>
        <w:jc w:val="both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right"/>
        <w:rPr>
          <w:i w:val="1"/>
          <w:color w:val="000000"/>
          <w:highlight w:val="white"/>
          <w:u w:val="single"/>
        </w:rPr>
      </w:pPr>
      <w:r w:rsidDel="00000000" w:rsidR="00000000" w:rsidRPr="00000000">
        <w:rPr>
          <w:i w:val="1"/>
          <w:color w:val="000000"/>
          <w:highlight w:val="white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22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highlight w:val="white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righ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right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right"/>
        <w:rPr/>
      </w:pPr>
      <w:r w:rsidDel="00000000" w:rsidR="00000000" w:rsidRPr="00000000">
        <w:rPr>
          <w:b w:val="1"/>
          <w:color w:val="000000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right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Попов Илья Юрьевич</w:t>
        <w:br w:type="textWrapping"/>
      </w:r>
      <w:r w:rsidDel="00000000" w:rsidR="00000000" w:rsidRPr="00000000">
        <w:rPr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vertAlign w:val="superscript"/>
          <w:rtl w:val="0"/>
        </w:rPr>
        <w:t xml:space="preserve">    (отметка о выполнении)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right"/>
        <w:rPr/>
      </w:pPr>
      <w:r w:rsidDel="00000000" w:rsidR="00000000" w:rsidRPr="00000000">
        <w:rPr>
          <w:i w:val="1"/>
          <w:color w:val="000000"/>
          <w:u w:val="single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79" w:firstLine="0"/>
        <w:rPr/>
      </w:pPr>
      <w:r w:rsidDel="00000000" w:rsidR="00000000" w:rsidRPr="00000000">
        <w:rPr>
          <w:color w:val="000000"/>
          <w:sz w:val="14"/>
          <w:szCs w:val="14"/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1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Изучить принцип работы нелинейного локатора NR-900EMS “NR‑µ”</w:t>
      </w:r>
    </w:p>
    <w:p w:rsidR="00000000" w:rsidDel="00000000" w:rsidP="00000000" w:rsidRDefault="00000000" w:rsidRPr="00000000" w14:paraId="00000032">
      <w:pPr>
        <w:ind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руководством по использованию измерителя спектра вторичных полей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поиск полупроводниковых элементов в номерных коробках №1-5.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анализ полученных результатов.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9">
      <w:pPr>
        <w:ind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описание.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Измеритель спектра вторичных полей (детектор нелинейных переходов) «NR-μ» (ЮТДН.468165.001) предназначен для поиска скрыто установленных электронных устройств, содержащих полупроводниковые компоненты: радиомикрофонов, микрофонных усилителей, проводных микрофонов, устройств инфракрасного и ультразвукового диапазонов, средств звуко- и видеозаписи и т.п., вне зависимости от их функционального состояния, т.е. находящихся как во включенном, так и в выключенном состоянии.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обеспечивает эффективный поиск и высокую степень локализации местоположения объектов поиска в ограждающих строительных конструкциях (пол, потолок, стены), в предметах интерьера и мебели.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обеспечивает оператору возможность отличить искомые объекты от естественных (коррозийных) нелинейных отражателей.</w:t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Дальность обнаружения штатного имитатора в режиме излучения максимальной мощности при максимальной чувствительности приемников - не менее 0,4 м. </w:t>
        <w:br w:type="textWrapping"/>
        <w:t xml:space="preserve">В качестве имитатора используется полупроводниковый диод 2Д521А, размещенный в защитном кожухе.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мощность зондирующего сигнала передатчика, подводимая к антенне, в режиме излучения максимальной мощности - не более 0,5 Вт.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Ослабление мощности зондирующего сигнала – двумя ступенями по 5 дБ каждая.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Диапазон перестройки частоты зондирующего сигнала передатчика - 848±6 МГц.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перестройки частоты сигнала передатчика - 2 МГц.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Частота следования зондирующих радиоимпульсов в режиме включенной модуляции – 800 Гц.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Чувствительность приемников при отношении сигнал/шум 6дБ – не хуже минус 150 дБ/Вт.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Динамический диапазон приемников - не менее 40 дБ.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Ослабление уровней входных сигналов приемников - четыре ступени по 10 дБ каждая.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Коэффициенты усиления приемной и передающей антенн – не менее 8 дБ и 6 дБ соответственно.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Поляризация антенн - круговая, коэффициент эллиптичности – не хуже 0,75.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Уровень задних лепестков диаграммы направленности для передающей и приемной антенн - не более минус 15 дБ.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Индикация уровней принимаемых сигналов:</w:t>
        <w:br w:type="textWrapping"/>
        <w:t xml:space="preserve">- визуальная </w:t>
        <w:br w:type="textWrapping"/>
        <w:t xml:space="preserve">- светодиодный индикатор</w:t>
        <w:br w:type="textWrapping"/>
        <w:t xml:space="preserve">- звуковая </w:t>
        <w:br w:type="textWrapping"/>
        <w:t xml:space="preserve">- головные телефоны.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эксплуатации:</w:t>
        <w:br w:type="textWrapping"/>
        <w:t xml:space="preserve">- диапазон рабочих температур - от 5°С до 40°С;</w:t>
        <w:br w:type="textWrapping"/>
        <w:t xml:space="preserve">- предельные пониженная и повышенная температуры - минус 20°С и +50°С;</w:t>
        <w:br w:type="textWrapping"/>
        <w:t xml:space="preserve">- относительная влажность воздуха - не более 80% (при 25°С).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Питание изделия от автономного источника – аккумулятор GP «VD-153».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непрерывной работы изделия от одного полностью заряженного аккумулятора:</w:t>
        <w:br w:type="textWrapping"/>
        <w:t xml:space="preserve">- не менее 5 часов в режиме поиска;</w:t>
        <w:br w:type="textWrapping"/>
        <w:t xml:space="preserve">- не менее 1,5 часа в режиме отключенной модуляции.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снаряженного блока приемопередатчика - не более 1,8 кг.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телескопической штанги с антенной системой и пультом управления (приведенная к руке оператора) – не более 1,1 кг.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Масса комплекта изделия в штатной упаковке - не более 7,5 кг.</w:t>
      </w:r>
    </w:p>
    <w:p w:rsidR="00000000" w:rsidDel="00000000" w:rsidP="00000000" w:rsidRDefault="00000000" w:rsidRPr="00000000" w14:paraId="0000005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Устройство и работа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Изделие представляет собой портативный прибор, состоящий из антенной системы, передатчика и двух приемников, настроенных на удвоенную и утроенную частоты сигнала передатчика.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Антенная система состоит из двух соосно расположенных передающей и приемной антенн направленного излучения. Максимумы диаграмм направленности антенн направлены по геометрической оси в сторону, противоположную узлу ее крепления.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режимами работы осуществляется с помощью пульта управления.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Моно гармонический зондирующий сигнал передатчика преобразуется на нелинейных (полупроводниковых) элементах искомого радиоэлектронного устройства в полигармонический и пере излучается.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принятого пере излучённого сигнала приёмниками выделяются вторая и третья гармоники частоты зондирующего сигнала, а их уровни отображаются светодиодным индикатором и индицируются в виде тонального сигнала в головных телефонах, уровень громкости которого пропорционален уровню принятого сигнала.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6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разряде аккумулятора и снижении напряжения до 5,1 –5,2 В в головных телефонах звучит характерная мелодия. В этом случае следует выключить изделие и заменить аккумулятор.</w:t>
      </w:r>
    </w:p>
    <w:p w:rsidR="00000000" w:rsidDel="00000000" w:rsidP="00000000" w:rsidRDefault="00000000" w:rsidRPr="00000000" w14:paraId="0000005C">
      <w:pPr>
        <w:ind w:left="35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ind w:left="357" w:hanging="357"/>
        <w:rPr/>
      </w:pPr>
      <w:r w:rsidDel="00000000" w:rsidR="00000000" w:rsidRPr="00000000">
        <w:rPr/>
        <w:drawing>
          <wp:inline distB="0" distT="0" distL="0" distR="0">
            <wp:extent cx="4448175" cy="3400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Рисунок  1. Антенная система с пультом управления и индикации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61">
      <w:pPr>
        <w:ind w:firstLine="357"/>
        <w:jc w:val="left"/>
        <w:rPr/>
      </w:pPr>
      <w:r w:rsidDel="00000000" w:rsidR="00000000" w:rsidRPr="00000000">
        <w:rPr>
          <w:rtl w:val="0"/>
        </w:rPr>
        <w:t xml:space="preserve">При обнаружении скрепок наблюдалось превышение уровня сигнала 3-й гармоники над уровнем 2-й. Превышение уровня сигнала одной гармоники над другой, сопровождаемое характерным звуком в головных телефонах, можно было отследить на пульте управления измерителя. В случае обнаружения электронной схемы и (или) проводника на пульте управления можно было заметить превышение уровня 2-й гармоники над уровнем 3-й, что также сопровождалось появлением звукового сигнала в головных телефонах.</w:t>
      </w:r>
    </w:p>
    <w:p w:rsidR="00000000" w:rsidDel="00000000" w:rsidP="00000000" w:rsidRDefault="00000000" w:rsidRPr="00000000" w14:paraId="0000006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 ходе исследования были полученные следующие результаты:</w:t>
      </w:r>
    </w:p>
    <w:p w:rsidR="00000000" w:rsidDel="00000000" w:rsidP="00000000" w:rsidRDefault="00000000" w:rsidRPr="00000000" w14:paraId="0000006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1. Визуализация результатов исследования</w:t>
      </w:r>
    </w:p>
    <w:tbl>
      <w:tblPr>
        <w:tblStyle w:val="Table1"/>
        <w:tblW w:w="45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2619"/>
        <w:tblGridChange w:id="0">
          <w:tblGrid>
            <w:gridCol w:w="1912"/>
            <w:gridCol w:w="261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коробки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Содержимое коробки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Скрепки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Провод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Полупроводник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Скрепки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Полупроводник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35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работе был изучен измеритель спектра вторичных полей (детектор нелинейных переходов) “NR‑µ”, применяемый для обнаружения устройств и предметов, содержащих полупроводниковые компоненты. В ходе работы был изучен паспорт данного прибора “NR‑µ”, и с помощью “NR‑µ” осуществлялся поиск таких устройств и предметов, как Полупроводник, провод, металлический мусор. Полупроводник удавалось обнаружить по превышению уровня 2-й гармоники над уровнем 3-й сигнала-отклика и по характерному звуковому сигналу в головных телефонах, а скрепки – по превышению уровня 3-й гармоники над уровнем 2-й сигнала-отклика, что свидетельствует о наличии коррозионной нелинейности.</w:t>
      </w:r>
    </w:p>
    <w:sectPr>
      <w:footerReference r:id="rId11" w:type="default"/>
      <w:pgSz w:h="16838" w:w="11906" w:orient="portrait"/>
      <w:pgMar w:bottom="1276" w:top="1134" w:left="1701" w:right="85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09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10.999999999999943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7" w:hanging="357"/>
      </w:pPr>
      <w:rPr/>
    </w:lvl>
    <w:lvl w:ilvl="1">
      <w:start w:val="1"/>
      <w:numFmt w:val="decimal"/>
      <w:lvlText w:val="%1.%2."/>
      <w:lvlJc w:val="left"/>
      <w:pPr>
        <w:ind w:left="714" w:hanging="357"/>
      </w:pPr>
      <w:rPr/>
    </w:lvl>
    <w:lvl w:ilvl="2">
      <w:start w:val="1"/>
      <w:numFmt w:val="decimal"/>
      <w:lvlText w:val="%1.%2.%3."/>
      <w:lvlJc w:val="left"/>
      <w:pPr>
        <w:ind w:left="1071" w:hanging="357.0000000000001"/>
      </w:pPr>
      <w:rPr/>
    </w:lvl>
    <w:lvl w:ilvl="3">
      <w:start w:val="1"/>
      <w:numFmt w:val="decimal"/>
      <w:lvlText w:val="%1.%2.%3.%4."/>
      <w:lvlJc w:val="left"/>
      <w:pPr>
        <w:ind w:left="1428" w:hanging="357"/>
      </w:pPr>
      <w:rPr/>
    </w:lvl>
    <w:lvl w:ilvl="4">
      <w:start w:val="1"/>
      <w:numFmt w:val="decimal"/>
      <w:lvlText w:val="%1.%2.%3.%4.%5."/>
      <w:lvlJc w:val="left"/>
      <w:pPr>
        <w:ind w:left="1785" w:hanging="357"/>
      </w:pPr>
      <w:rPr/>
    </w:lvl>
    <w:lvl w:ilvl="5">
      <w:start w:val="1"/>
      <w:numFmt w:val="decimal"/>
      <w:lvlText w:val="%1.%2.%3.%4.%5.%6."/>
      <w:lvlJc w:val="left"/>
      <w:pPr>
        <w:ind w:left="2142" w:hanging="357"/>
      </w:pPr>
      <w:rPr/>
    </w:lvl>
    <w:lvl w:ilvl="6">
      <w:start w:val="1"/>
      <w:numFmt w:val="decimal"/>
      <w:lvlText w:val="%1.%2.%3.%4.%5.%6.%7."/>
      <w:lvlJc w:val="left"/>
      <w:pPr>
        <w:ind w:left="2499" w:hanging="357"/>
      </w:pPr>
      <w:rPr/>
    </w:lvl>
    <w:lvl w:ilvl="7">
      <w:start w:val="1"/>
      <w:numFmt w:val="decimal"/>
      <w:lvlText w:val="%1.%2.%3.%4.%5.%6.%7.%8."/>
      <w:lvlJc w:val="left"/>
      <w:pPr>
        <w:ind w:left="2856" w:hanging="356.99999999999955"/>
      </w:pPr>
      <w:rPr/>
    </w:lvl>
    <w:lvl w:ilvl="8">
      <w:start w:val="1"/>
      <w:numFmt w:val="decimal"/>
      <w:lvlText w:val="%1.%2.%3.%4.%5.%6.%7.%8.%9."/>
      <w:lvlJc w:val="left"/>
      <w:pPr>
        <w:ind w:left="3213" w:hanging="35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B553C"/>
    <w:pPr>
      <w:spacing w:after="100" w:afterAutospacing="1" w:before="100" w:beforeAutospacing="1"/>
    </w:pPr>
    <w:rPr>
      <w:rFonts w:eastAsia="Times New Roman"/>
      <w:lang w:eastAsia="ru-RU"/>
    </w:rPr>
  </w:style>
  <w:style w:type="paragraph" w:styleId="a4">
    <w:name w:val="footer"/>
    <w:basedOn w:val="a"/>
    <w:link w:val="a5"/>
    <w:uiPriority w:val="99"/>
    <w:unhideWhenUsed w:val="1"/>
    <w:rsid w:val="00E405B3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5" w:customStyle="1">
    <w:name w:val="Нижний колонтитул Знак"/>
    <w:basedOn w:val="a0"/>
    <w:link w:val="a4"/>
    <w:uiPriority w:val="99"/>
    <w:rsid w:val="00E405B3"/>
    <w:rPr>
      <w:rFonts w:asciiTheme="minorHAnsi" w:eastAsiaTheme="minorEastAsia" w:hAnsiTheme="minorHAnsi"/>
      <w:sz w:val="22"/>
      <w:szCs w:val="22"/>
      <w:lang w:eastAsia="ru-RU"/>
    </w:rPr>
  </w:style>
  <w:style w:type="paragraph" w:styleId="a6">
    <w:name w:val="List Paragraph"/>
    <w:basedOn w:val="a"/>
    <w:uiPriority w:val="34"/>
    <w:qFormat w:val="1"/>
    <w:rsid w:val="001D3D4B"/>
    <w:pPr>
      <w:ind w:left="720"/>
      <w:contextualSpacing w:val="1"/>
    </w:pPr>
  </w:style>
  <w:style w:type="paragraph" w:styleId="a7">
    <w:name w:val="header"/>
    <w:basedOn w:val="a"/>
    <w:link w:val="a8"/>
    <w:uiPriority w:val="99"/>
    <w:unhideWhenUsed w:val="1"/>
    <w:rsid w:val="00DA0E46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DA0E46"/>
  </w:style>
  <w:style w:type="character" w:styleId="a9">
    <w:name w:val="Placeholder Text"/>
    <w:basedOn w:val="a0"/>
    <w:uiPriority w:val="99"/>
    <w:semiHidden w:val="1"/>
    <w:rsid w:val="009F2FE0"/>
    <w:rPr>
      <w:color w:val="808080"/>
    </w:rPr>
  </w:style>
  <w:style w:type="table" w:styleId="aa">
    <w:name w:val="Table Grid"/>
    <w:basedOn w:val="a1"/>
    <w:uiPriority w:val="39"/>
    <w:rsid w:val="00EB08E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caption"/>
    <w:basedOn w:val="a"/>
    <w:next w:val="a"/>
    <w:uiPriority w:val="35"/>
    <w:unhideWhenUsed w:val="1"/>
    <w:qFormat w:val="1"/>
    <w:rsid w:val="00480117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yIo7cnbWokgPtS+GvBM7iQ6Dw==">CgMxLjAyCGguZ2pkZ3hzOAByITEzYkp0OGpzcmZQSHVoeW1sbV90cGdwdHJQUktyT1psdQ==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2023-10-23T20:12:00Z</dcterms:created>
  <dc:creator>Huawei</dc:creator>
</cp:coreProperties>
</file>