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«САНКТ-ПЕТЕРБУРГСКИЙ 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Факультет безопасности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Дисциплина: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«Инженерно-технические средства защиты информации»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ОТЧЁТ 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ind w:firstLine="709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Многофункциональный поисковой прибор ST 031 «Пиранья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Казаков М.В. студент группы N34521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4848225</wp:posOffset>
            </wp:positionH>
            <wp:positionV relativeFrom="paragraph">
              <wp:posOffset>175245</wp:posOffset>
            </wp:positionV>
            <wp:extent cx="982027" cy="251399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027" cy="251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i w:val="1"/>
          <w:color w:val="00000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highlight w:val="white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5">
      <w:pPr>
        <w:ind w:left="70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Мариненков М.Д. студент группы N34521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4848225</wp:posOffset>
            </wp:positionH>
            <wp:positionV relativeFrom="paragraph">
              <wp:posOffset>194295</wp:posOffset>
            </wp:positionV>
            <wp:extent cx="346715" cy="304136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5" cy="304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i w:val="1"/>
          <w:color w:val="00000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highlight w:val="white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9">
      <w:pPr>
        <w:ind w:left="70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Прохиро Д.А. студент группы N34521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4991100</wp:posOffset>
            </wp:positionH>
            <wp:positionV relativeFrom="paragraph">
              <wp:posOffset>140940</wp:posOffset>
            </wp:positionV>
            <wp:extent cx="433062" cy="277604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62" cy="2776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i w:val="1"/>
          <w:color w:val="00000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highlight w:val="white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E">
      <w:pPr>
        <w:ind w:left="70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20">
      <w:pPr>
        <w:ind w:firstLine="709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Попов Илья Юрьевич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u w:val="single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079" w:firstLine="708.9999999999998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8"/>
          <w:szCs w:val="8"/>
          <w:vertAlign w:val="superscript"/>
          <w:rtl w:val="0"/>
        </w:rPr>
        <w:t xml:space="preserve">    (отметка о выполнении)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u w:val="single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79" w:firstLine="708.9999999999998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8"/>
          <w:szCs w:val="8"/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2023г.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Изучить принцип работы многофункционального поискового прибора ST 031 «Пиранья»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с руководством по эксплуатации ST 031 «Пиранья».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поиск средств шпионажа с помощью ST 031 «Пиранья».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анализ полученных результатов.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описание.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</w:t>
      </w:r>
    </w:p>
    <w:p w:rsidR="00000000" w:rsidDel="00000000" w:rsidP="00000000" w:rsidRDefault="00000000" w:rsidRPr="00000000" w14:paraId="00000035">
      <w:pPr>
        <w:ind w:left="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Многофункциональный поисковый прибор ST 031Р предназначен для проведения мероприятий по обнаружению и локализации специальных технических средств негласного добывания информации, для выявления естественных и искусственно созданных каналов утечки информации, а также для контроля качества защиты информации.</w:t>
      </w:r>
    </w:p>
    <w:p w:rsidR="00000000" w:rsidDel="00000000" w:rsidP="00000000" w:rsidRDefault="00000000" w:rsidRPr="00000000" w14:paraId="00000036">
      <w:pPr>
        <w:ind w:left="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 использованием прибора ST 031Р возможно решение следующих контрольно-поисковых задач: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Выявление факта работы (обнаружение) и локализация местоположения радиоизлучающих специальных технических средств, создающих потенциально опасные, с точки зрения утечки информации, радиоизлучения.К таким средствам, прежде всего, относят: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радиомикрофоны;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телефонные радиоретрансляторы;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радиостетоскопы;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скрытые видеокамеры с радиоканалом передачи информации;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систем пространственного высокочастотного облучения в радиодиапазоне;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передачи изображения с монитора ПЭВМ по радиоканалу;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радиомаяки систем слежения за перемещением объектов (людей, транспортных средств, грузов и т. п.);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несанкционированно включенные радиостанции, радиотелефоны и   телефоны с радиоудлинителем;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обработки информации, работа которых сопровождается возникновением побочных электромагнитных излучений (элементы физической архитектуры ПЭВМ, факсы, ксероксы, некоторые типы телефонных аппаратов и т. п.).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Обнаружение и локализация местоположения специальных технических средств, работающих с излучением в инфракрасном диапазоне. К таким средствам, в первую очередь, относят: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4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закладные устройства добывания акустической информации из помещений с её последующей передачей по каналу в инфракрасном диапазоне;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4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систем пространственного облучения в инфракрасном диапазоне.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Обнаружение и локализация местоположения специальных технических средств, использующих для добывания и передачи информации проводные линии различного предназначения, а также технических средств обработки информации, создающих наводки информативных сигналов на рядом расположенные проводные линии или стекание этих сигналов в линии сети электропитания. Такими средствами могут быть: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4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закладные устройства, использующие для передачи перехваченной информации линии сети переменного тока 220В и способные работать на частотах до 15МГц;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4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ПЭВМ и другие технические средства изготовления, размножения и передачи информации;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4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систем линейного высокочастотного навязывания, работающие на частотах свыше 150кГц;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4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закладные устройства, использующие для передачи перехваченной информации абонентские телефонные линии, линии систем пожарной и охранной сигнализации с несущей частотой свыше 20кГц.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Обнаружение и локализация местоположения источников электромагнитных полей с преобладанием (наличием) магнитной составляющей поля, трасс прокладки скрытой (необозначенной) электропроводки. потенциально пригодной для установки закладных устройств, а также исследование технических средств, обрабатывающих речевую информацию. К числу таких источников и технических средств принято относить: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4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трансформаторы усилителей звуковой частоты;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4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динамические громкоговорители акустических систем;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0" w:hanging="425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электродвигатели магнитофонов и диктофонов;</w:t>
      </w:r>
    </w:p>
    <w:p w:rsidR="00000000" w:rsidDel="00000000" w:rsidP="00000000" w:rsidRDefault="00000000" w:rsidRPr="00000000" w14:paraId="0000004F">
      <w:pPr>
        <w:ind w:left="1560" w:hanging="425.9999999999999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Выявление наиболее уязвимых мест, с точки зрения возникновения виброакустических каналов утечки информации, а также оценка эффективности систем виброакустической защиты помещений.</w:t>
      </w:r>
    </w:p>
    <w:p w:rsidR="00000000" w:rsidDel="00000000" w:rsidP="00000000" w:rsidRDefault="00000000" w:rsidRPr="00000000" w14:paraId="00000051">
      <w:pPr>
        <w:ind w:left="70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Выявление наиболее уязвимых мест, с точки зрения возникновения каналов утечки акустической информации, а также оценка эффективности звукоизоляции помещений.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Режим работы прибора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Решение перечисленных в подразделе 1.1. контрольно-поисковых задач обеспечивается многофункциональностью прибора ST 031 «Пиранья», которая, в свою очередь, обусловлена соответствующей его комплектацией и реализуется за счёт возможности использования вполне определённой совокупности режимов его работы.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Системотехническая и программная основа, заложенная в конструкцию и алгоритмы функционирования прибора, позволяет применять его в следующих основных режимах.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высокочастотного детектора-частотомера;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сканирующего анализатора проводных линий;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детектора инфракрасных излучений;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детектора низкочастотных магнитных полей;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виброакустического приёмника;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акустического приёмника.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Перевод прибора ST 031Р в любой из режимов осуществляется автоматически при подключении внешних устройств (антенн, адаптера, датчиков) к высокочастотному разъёму «RF ANT» или 7-ми штырьковому разъёму «PROBES».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Одновременно прибор может работать только в одном из перечисленных основных режимов. С подключением того или иного дополнительного внешнего устройства происходит инициализация соответствующего ему режима с выводом на экран дисплея сообщений вида: «RADIO-FREQUENCY CHANNEL»; «WIRE LINES ANALYSIS»; «INFRARED CHANNEL»; «VIBRO-ACOUSTIC CHANNEL»; «ACOUSTIC CHANNEL».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215640" cy="321564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21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Рисунок 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Многофункциональный поисковой прибор ST 031 «Пиранья»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Практическая часть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ходе выполнения практической части с использование многофункционального поискового прибора ST 031 «Пиранья» было исследовано помещение на наличие средств шпионажа. В результате было обнаружено 2 устройства шпионажа.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данной работе был изучен многофункциональный поисковой прибор ST 031 «Пиранья», предназначенный для проведения мероприятий по обнаружению и локализации специальных технических средств негласного добывания информации. На практике было исследовано помещение и выявлены 2 средства шпионажа.</w:t>
      </w:r>
    </w:p>
    <w:sectPr>
      <w:footerReference r:id="rId11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70033"/>
    <w:pPr>
      <w:spacing w:after="0" w:line="240" w:lineRule="auto"/>
    </w:pPr>
    <w:rPr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A70033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ru-RU"/>
    </w:rPr>
  </w:style>
  <w:style w:type="paragraph" w:styleId="a4">
    <w:name w:val="List Paragraph"/>
    <w:basedOn w:val="a"/>
    <w:uiPriority w:val="34"/>
    <w:qFormat w:val="1"/>
    <w:rsid w:val="00D063BB"/>
    <w:pPr>
      <w:ind w:left="720"/>
      <w:contextualSpacing w:val="1"/>
    </w:pPr>
  </w:style>
  <w:style w:type="paragraph" w:styleId="a5">
    <w:name w:val="header"/>
    <w:basedOn w:val="a"/>
    <w:link w:val="a6"/>
    <w:uiPriority w:val="99"/>
    <w:unhideWhenUsed w:val="1"/>
    <w:rsid w:val="00D063BB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basedOn w:val="a0"/>
    <w:link w:val="a5"/>
    <w:uiPriority w:val="99"/>
    <w:rsid w:val="00D063BB"/>
    <w:rPr>
      <w:sz w:val="24"/>
      <w:szCs w:val="24"/>
    </w:rPr>
  </w:style>
  <w:style w:type="paragraph" w:styleId="a7">
    <w:name w:val="footer"/>
    <w:basedOn w:val="a"/>
    <w:link w:val="a8"/>
    <w:uiPriority w:val="99"/>
    <w:unhideWhenUsed w:val="1"/>
    <w:rsid w:val="00D063BB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D063BB"/>
    <w:rPr>
      <w:sz w:val="24"/>
      <w:szCs w:val="24"/>
    </w:rPr>
  </w:style>
  <w:style w:type="table" w:styleId="a9">
    <w:name w:val="Table Grid"/>
    <w:basedOn w:val="a1"/>
    <w:uiPriority w:val="39"/>
    <w:rsid w:val="00E11BD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W8MYIc2k0GfOHWVf4emXd2c+dw==">CgMxLjAyCGguZ2pkZ3hzMgloLjMwajB6bGwyCWguMWZvYjl0ZTIJaC4zem55c2g3OAByITFfQVhiMGxOci1HT09uakpJWXFZWkZPTFRsSHFCa0pwOQ==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2023-10-23T20:13:00Z</dcterms:created>
  <dc:creator>sveta_bakshina@outlook.com</dc:creator>
</cp:coreProperties>
</file>