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p>
    <w:p>
      <w:pPr>
        <w:spacing w:before="720" w:after="160"/>
        <w:jc w:val="center"/>
      </w:pPr>
      <w:r>
        <w:rPr>
          <w:rFonts w:ascii="Arial" w:cs="Arial" w:eastAsia="Arial" w:hAnsi="Arial"/>
          <w:b/>
          <w:bCs/>
          <w:color w:val="1B3A5C"/>
          <w:sz w:val="52"/>
          <w:szCs w:val="52"/>
        </w:rPr>
        <w:t xml:space="preserve">TENET SYSTEMS</w:t>
      </w:r>
    </w:p>
    <w:p>
      <w:pPr>
        <w:spacing w:before="0" w:after="80"/>
        <w:jc w:val="center"/>
      </w:pPr>
      <w:r>
        <w:rPr>
          <w:rFonts w:ascii="Arial" w:cs="Arial" w:eastAsia="Arial" w:hAnsi="Arial"/>
          <w:i/>
          <w:iCs/>
          <w:color w:val="2E6DA4"/>
          <w:sz w:val="36"/>
          <w:szCs w:val="36"/>
        </w:rPr>
        <w:t xml:space="preserve">Settlement Engine</w:t>
      </w:r>
    </w:p>
    <w:p>
      <w:pPr>
        <w:spacing w:before="0" w:after="80"/>
        <w:jc w:val="center"/>
      </w:pPr>
      <w:r>
        <w:rPr>
          <w:rFonts w:ascii="Arial" w:cs="Arial" w:eastAsia="Arial" w:hAnsi="Arial"/>
          <w:b w:val="false"/>
          <w:bCs w:val="false"/>
          <w:color w:val="444444"/>
          <w:sz w:val="26"/>
          <w:szCs w:val="26"/>
        </w:rPr>
        <w:t xml:space="preserve">Technical Specification</w:t>
      </w:r>
    </w:p>
    <w:p>
      <w:pPr>
        <w:spacing w:before="0" w:after="120"/>
        <w:jc w:val="center"/>
      </w:pPr>
      <w:r>
        <w:rPr>
          <w:rFonts w:ascii="Arial" w:cs="Arial" w:eastAsia="Arial" w:hAnsi="Arial"/>
          <w:b w:val="false"/>
          <w:bCs w:val="false"/>
          <w:color w:val="AAAAAA"/>
          <w:sz w:val="20"/>
          <w:szCs w:val="20"/>
        </w:rPr>
        <w:t xml:space="preserve">v1.0  ·  2026  ·  Internal  ·  Confidential</w:t>
      </w:r>
    </w:p>
    <w:p>
      <w:pPr>
        <w:spacing w:before="0" w:after="480"/>
        <w:jc w:val="center"/>
      </w:pPr>
      <w:r>
        <w:rPr>
          <w:rFonts w:ascii="Arial" w:cs="Arial" w:eastAsia="Arial" w:hAnsi="Arial"/>
          <w:b w:val="false"/>
          <w:bCs w:val="false"/>
          <w:color w:val="2E6DA4"/>
          <w:sz w:val="20"/>
          <w:szCs w:val="20"/>
        </w:rPr>
        <w:t xml:space="preserve">Companion to: Technical Architecture Whitepaper v1.2  ·  Execution Engine Spec v1.0</w:t>
      </w:r>
    </w:p>
    <w:p>
      <w:pPr>
        <w:pStyle w:val="Heading1"/>
        <w:pBdr>
          <w:bottom w:val="single" w:color="2E6DA4" w:sz="4" w:space="4"/>
        </w:pBdr>
        <w:spacing w:before="400" w:after="160"/>
      </w:pPr>
      <w:r>
        <w:rPr>
          <w:rFonts w:ascii="Arial" w:cs="Arial" w:eastAsia="Arial" w:hAnsi="Arial"/>
          <w:b/>
          <w:bCs/>
          <w:color w:val="1B3A5C"/>
          <w:sz w:val="32"/>
          <w:szCs w:val="32"/>
        </w:rPr>
        <w:t xml:space="preserve">1.  Purpose &amp; Scope</w:t>
      </w:r>
    </w:p>
    <w:p>
      <w:pPr>
        <w:spacing w:before="80" w:after="80"/>
      </w:pPr>
      <w:r>
        <w:rPr>
          <w:rFonts w:ascii="Arial" w:cs="Arial" w:eastAsia="Arial" w:hAnsi="Arial"/>
          <w:b w:val="false"/>
          <w:bCs w:val="false"/>
          <w:color w:val="444444"/>
          <w:sz w:val="22"/>
          <w:szCs w:val="22"/>
        </w:rPr>
        <w:t xml:space="preserve">This document specifies the design, algorithm, and interface of the Tenet Systems Settlement Engine. It is the authoritative reference for implementation. Rationale is documented alongside every decision so that engineers and reviewers understand not just what the engine does but why.</w:t>
      </w:r>
    </w:p>
    <w:p>
      <w:pPr>
        <w:spacing w:before="80" w:after="80"/>
      </w:pPr>
      <w:r>
        <w:rPr>
          <w:rFonts w:ascii="Arial" w:cs="Arial" w:eastAsia="Arial" w:hAnsi="Arial"/>
          <w:b w:val="false"/>
          <w:bCs w:val="false"/>
          <w:color w:val="444444"/>
          <w:sz w:val="22"/>
          <w:szCs w:val="22"/>
        </w:rPr>
        <w:t xml:space="preserve">The Settlement Engine owns exactly two responsibilities: extracting settlement from the FI's vault simultaneously with asset delivery, and routing LP payout to their native chain once delivery is confirmed. It owns nothing else. It does not own order state, vault reservations, asset delivery, or ledger writes. All of those belong to other engines or to Orchestration.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6FB" w:val="clear"/>
            <w:tcMar>
              <w:top w:type="dxa" w:w="120"/>
              <w:left w:type="dxa" w:w="200"/>
              <w:bottom w:type="dxa" w:w="120"/>
              <w:right w:type="dxa" w:w="200"/>
            </w:tcMar>
          </w:tcPr>
          <w:p>
            <w:r>
              <w:rPr>
                <w:rFonts w:ascii="Arial" w:cs="Arial" w:eastAsia="Arial" w:hAnsi="Arial"/>
                <w:b/>
                <w:bCs/>
                <w:color w:val="1B3A5C"/>
                <w:sz w:val="21"/>
                <w:szCs w:val="21"/>
              </w:rPr>
              <w:t xml:space="preserve">ONE-LINE DEFINITION  </w:t>
            </w:r>
            <w:r>
              <w:rPr>
                <w:rFonts w:ascii="Arial" w:cs="Arial" w:eastAsia="Arial" w:hAnsi="Arial"/>
                <w:b w:val="false"/>
                <w:bCs w:val="false"/>
                <w:color w:val="444444"/>
                <w:sz w:val="21"/>
                <w:szCs w:val="21"/>
              </w:rPr>
              <w:t xml:space="preserve">The Settlement Engine moves money: out of the FI vault into Tenet's vault, then out of Tenet's vault to the LP's native chain. Nothing more.</w:t>
            </w:r>
          </w:p>
        </w:tc>
      </w:tr>
    </w:tbl>
    <w:p>
      <w:pPr>
        <w:spacing w:before="160" w:after="0"/>
      </w:pPr>
    </w:p>
    <w:p>
      <w:pPr>
        <w:pStyle w:val="Heading1"/>
        <w:pBdr>
          <w:bottom w:val="single" w:color="2E6DA4" w:sz="4" w:space="4"/>
        </w:pBdr>
        <w:spacing w:before="400" w:after="160"/>
      </w:pPr>
      <w:r>
        <w:rPr>
          <w:rFonts w:ascii="Arial" w:cs="Arial" w:eastAsia="Arial" w:hAnsi="Arial"/>
          <w:b/>
          <w:bCs/>
          <w:color w:val="1B3A5C"/>
          <w:sz w:val="32"/>
          <w:szCs w:val="32"/>
        </w:rPr>
        <w:t xml:space="preserve">2.  Position in the Architecture</w:t>
      </w:r>
    </w:p>
    <w:p>
      <w:pPr>
        <w:spacing w:before="80" w:after="80"/>
      </w:pPr>
      <w:r>
        <w:rPr>
          <w:rFonts w:ascii="Arial" w:cs="Arial" w:eastAsia="Arial" w:hAnsi="Arial"/>
          <w:b w:val="false"/>
          <w:bCs w:val="false"/>
          <w:color w:val="444444"/>
          <w:sz w:val="22"/>
          <w:szCs w:val="22"/>
        </w:rPr>
        <w:t xml:space="preserve">The Settlement Engine is called by Orchestration in two separate moments during an order's lifecycle. It is never called directly from outside. It has no public API beyond what Orchestration exposes. It never writes to the clearing ledger — all ledger writes go through Orchestration via engine event logs.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40"/>
              <w:bottom w:type="dxa" w:w="120"/>
              <w:right w:type="dxa" w:w="200"/>
            </w:tcMar>
          </w:tcPr>
          <w:p>
            <w:r>
              <w:rPr>
                <w:rFonts w:ascii="Courier New" w:cs="Courier New" w:eastAsia="Courier New" w:hAnsi="Courier New"/>
                <w:color w:val="1B3A5C"/>
                <w:sz w:val="19"/>
                <w:szCs w:val="19"/>
              </w:rPr>
              <w:t xml:space="preserve">ORDER REACHES DELIVERING STATE</w:t>
            </w:r>
            <w:r>
              <w:br/>
            </w:r>
            <w:r>
              <w:rPr>
                <w:rFonts w:ascii="Courier New" w:cs="Courier New" w:eastAsia="Courier New" w:hAnsi="Courier New"/>
                <w:color w:val="1B3A5C"/>
                <w:sz w:val="19"/>
                <w:szCs w:val="19"/>
              </w:rPr>
              <w:t xml:space="preserve">  │</w:t>
            </w:r>
            <w:r>
              <w:br/>
            </w:r>
            <w:r>
              <w:rPr>
                <w:rFonts w:ascii="Courier New" w:cs="Courier New" w:eastAsia="Courier New" w:hAnsi="Courier New"/>
                <w:color w:val="1B3A5C"/>
                <w:sz w:val="19"/>
                <w:szCs w:val="19"/>
              </w:rPr>
              <w:t xml:space="preserve">  ├─▶ ExecutionEngine.beginDelivery()        ← asset transfer to FI</w:t>
            </w:r>
            <w:r>
              <w:br/>
            </w:r>
            <w:r>
              <w:rPr>
                <w:rFonts w:ascii="Courier New" w:cs="Courier New" w:eastAsia="Courier New" w:hAnsi="Courier New"/>
                <w:color w:val="1B3A5C"/>
                <w:sz w:val="19"/>
                <w:szCs w:val="19"/>
              </w:rPr>
              <w:t xml:space="preserve">  │                                           fires simultaneously</w:t>
            </w:r>
            <w:r>
              <w:br/>
            </w:r>
            <w:r>
              <w:rPr>
                <w:rFonts w:ascii="Courier New" w:cs="Courier New" w:eastAsia="Courier New" w:hAnsi="Courier New"/>
                <w:color w:val="1B3A5C"/>
                <w:sz w:val="19"/>
                <w:szCs w:val="19"/>
              </w:rPr>
              <w:t xml:space="preserve">  └─▶ SettlementEngine.extractSettlement()   ← MOMENT 1</w:t>
            </w:r>
            <w:r>
              <w:br/>
            </w:r>
            <w:r>
              <w:rPr>
                <w:rFonts w:ascii="Courier New" w:cs="Courier New" w:eastAsia="Courier New" w:hAnsi="Courier New"/>
                <w:color w:val="1B3A5C"/>
                <w:sz w:val="19"/>
                <w:szCs w:val="19"/>
              </w:rPr>
              <w:t xml:space="preserve">        │   extracts usdcAmount + fee from FI vault</w:t>
            </w:r>
            <w:r>
              <w:br/>
            </w:r>
            <w:r>
              <w:rPr>
                <w:rFonts w:ascii="Courier New" w:cs="Courier New" w:eastAsia="Courier New" w:hAnsi="Courier New"/>
                <w:color w:val="1B3A5C"/>
                <w:sz w:val="19"/>
                <w:szCs w:val="19"/>
              </w:rPr>
              <w:t xml:space="preserve">        │   deposits into TenetSettlementVault</w:t>
            </w:r>
            <w:r>
              <w:br/>
            </w:r>
            <w:r>
              <w:rPr>
                <w:rFonts w:ascii="Courier New" w:cs="Courier New" w:eastAsia="Courier New" w:hAnsi="Courier New"/>
                <w:color w:val="1B3A5C"/>
                <w:sz w:val="19"/>
                <w:szCs w:val="19"/>
              </w:rPr>
              <w:t xml:space="preserve">        └─▶ callback: ORCH._onSettlementExtracted(orderId)</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BOTH LEGS CONFIRMED (delivery + extraction)</w:t>
            </w:r>
            <w:r>
              <w:br/>
            </w:r>
            <w:r>
              <w:rPr>
                <w:rFonts w:ascii="Courier New" w:cs="Courier New" w:eastAsia="Courier New" w:hAnsi="Courier New"/>
                <w:color w:val="1B3A5C"/>
                <w:sz w:val="19"/>
                <w:szCs w:val="19"/>
              </w:rPr>
              <w:t xml:space="preserve">  │</w:t>
            </w:r>
            <w:r>
              <w:br/>
            </w:r>
            <w:r>
              <w:rPr>
                <w:rFonts w:ascii="Courier New" w:cs="Courier New" w:eastAsia="Courier New" w:hAnsi="Courier New"/>
                <w:color w:val="1B3A5C"/>
                <w:sz w:val="19"/>
                <w:szCs w:val="19"/>
              </w:rPr>
              <w:t xml:space="preserve">  └─▶ ORCH transitions order to AWAITING_SETTLEMENT</w:t>
            </w:r>
            <w:r>
              <w:br/>
            </w:r>
            <w:r>
              <w:rPr>
                <w:rFonts w:ascii="Courier New" w:cs="Courier New" w:eastAsia="Courier New" w:hAnsi="Courier New"/>
                <w:color w:val="1B3A5C"/>
                <w:sz w:val="19"/>
                <w:szCs w:val="19"/>
              </w:rPr>
              <w:t xml:space="preserve">        │</w:t>
            </w:r>
            <w:r>
              <w:br/>
            </w:r>
            <w:r>
              <w:rPr>
                <w:rFonts w:ascii="Courier New" w:cs="Courier New" w:eastAsia="Courier New" w:hAnsi="Courier New"/>
                <w:color w:val="1B3A5C"/>
                <w:sz w:val="19"/>
                <w:szCs w:val="19"/>
              </w:rPr>
              <w:t xml:space="preserve">        └─▶ SettlementEngine.routeLPPayout()  ← MOMENT 2</w:t>
            </w:r>
            <w:r>
              <w:br/>
            </w:r>
            <w:r>
              <w:rPr>
                <w:rFonts w:ascii="Courier New" w:cs="Courier New" w:eastAsia="Courier New" w:hAnsi="Courier New"/>
                <w:color w:val="1B3A5C"/>
                <w:sz w:val="19"/>
                <w:szCs w:val="19"/>
              </w:rPr>
              <w:t xml:space="preserve">              │   deducts Tenet fee from TenetSettlementVault</w:t>
            </w:r>
            <w:r>
              <w:br/>
            </w:r>
            <w:r>
              <w:rPr>
                <w:rFonts w:ascii="Courier New" w:cs="Courier New" w:eastAsia="Courier New" w:hAnsi="Courier New"/>
                <w:color w:val="1B3A5C"/>
                <w:sz w:val="19"/>
                <w:szCs w:val="19"/>
              </w:rPr>
              <w:t xml:space="preserve">              │   routes net amount to LP native chain</w:t>
            </w:r>
            <w:r>
              <w:br/>
            </w:r>
            <w:r>
              <w:rPr>
                <w:rFonts w:ascii="Courier New" w:cs="Courier New" w:eastAsia="Courier New" w:hAnsi="Courier New"/>
                <w:color w:val="1B3A5C"/>
                <w:sz w:val="19"/>
                <w:szCs w:val="19"/>
              </w:rPr>
              <w:t xml:space="preserve">              │   via CCTP / internal netting / Everclear</w:t>
            </w:r>
            <w:r>
              <w:br/>
            </w:r>
            <w:r>
              <w:rPr>
                <w:rFonts w:ascii="Courier New" w:cs="Courier New" w:eastAsia="Courier New" w:hAnsi="Courier New"/>
                <w:color w:val="1B3A5C"/>
                <w:sz w:val="19"/>
                <w:szCs w:val="19"/>
              </w:rPr>
              <w:t xml:space="preserve">              └─▶ callback: ORCH._onLPPayoutConfirmed(orderId)</w:t>
            </w:r>
          </w:p>
        </w:tc>
      </w:tr>
    </w:tbl>
    <w:p>
      <w:pPr>
        <w:spacing w:before="160" w:after="0"/>
      </w:pPr>
    </w:p>
    <w:p>
      <w:pPr>
        <w:pStyle w:val="Heading1"/>
        <w:pBdr>
          <w:bottom w:val="single" w:color="2E6DA4" w:sz="4" w:space="4"/>
        </w:pBdr>
        <w:spacing w:before="400" w:after="160"/>
      </w:pPr>
      <w:r>
        <w:rPr>
          <w:rFonts w:ascii="Arial" w:cs="Arial" w:eastAsia="Arial" w:hAnsi="Arial"/>
          <w:b/>
          <w:bCs/>
          <w:color w:val="1B3A5C"/>
          <w:sz w:val="32"/>
          <w:szCs w:val="32"/>
        </w:rPr>
        <w:t xml:space="preserve">3.  The Two Moments</w:t>
      </w:r>
    </w:p>
    <w:p>
      <w:pPr>
        <w:spacing w:before="80" w:after="80"/>
      </w:pPr>
      <w:r>
        <w:rPr>
          <w:rFonts w:ascii="Arial" w:cs="Arial" w:eastAsia="Arial" w:hAnsi="Arial"/>
          <w:b w:val="false"/>
          <w:bCs w:val="false"/>
          <w:color w:val="444444"/>
          <w:sz w:val="22"/>
          <w:szCs w:val="22"/>
        </w:rPr>
        <w:t xml:space="preserve">The Settlement Engine has exactly two moments of action in an order's lifecycle. Understanding the separation between them is essential.</w:t>
      </w:r>
    </w:p>
    <w:p>
      <w:pPr>
        <w:pStyle w:val="Heading2"/>
        <w:spacing w:before="280" w:after="120"/>
      </w:pPr>
      <w:r>
        <w:rPr>
          <w:rFonts w:ascii="Arial" w:cs="Arial" w:eastAsia="Arial" w:hAnsi="Arial"/>
          <w:b/>
          <w:bCs/>
          <w:color w:val="1B3A5C"/>
          <w:sz w:val="26"/>
          <w:szCs w:val="26"/>
        </w:rPr>
        <w:t xml:space="preserve">3.1  Moment 1 — Extraction</w:t>
      </w:r>
    </w:p>
    <w:p>
      <w:pPr>
        <w:spacing w:before="80" w:after="80"/>
      </w:pPr>
      <w:r>
        <w:rPr>
          <w:rFonts w:ascii="Arial" w:cs="Arial" w:eastAsia="Arial" w:hAnsi="Arial"/>
          <w:b w:val="false"/>
          <w:bCs w:val="false"/>
          <w:color w:val="444444"/>
          <w:sz w:val="22"/>
          <w:szCs w:val="22"/>
        </w:rPr>
        <w:t xml:space="preserve">Extraction fires at the same instant as asset delivery — both are called with Promise.all() by the Orchestration Engine. This is orchestrated atomicity. The Settlement Engine receives only the FI's Tenet address and the total settlement amount. It looks up the FI vault internally from the FI registry. It never receives the vault address directly from Orchestration — the derivation is internal.</w:t>
      </w:r>
    </w:p>
    <w:p>
      <w:pPr>
        <w:spacing w:before="80" w:after="80"/>
      </w:pPr>
      <w:r>
        <w:rPr>
          <w:rFonts w:ascii="Arial" w:cs="Arial" w:eastAsia="Arial" w:hAnsi="Arial"/>
          <w:b w:val="false"/>
          <w:bCs w:val="false"/>
          <w:color w:val="444444"/>
          <w:sz w:val="22"/>
          <w:szCs w:val="22"/>
        </w:rPr>
        <w:t xml:space="preserve">The extraction amount is always: usdcAmount + fee. The fee is 10 basis points of usdcAmount, tiered for larger orders per the fee schedule. The total is what leaves the FI vault. The fee stays in the Tenet Settlement Vault permanently. The usdcAmount (minus fee) is what eventually reaches the LP.</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40"/>
              <w:bottom w:type="dxa" w:w="120"/>
              <w:right w:type="dxa" w:w="200"/>
            </w:tcMar>
          </w:tcPr>
          <w:p>
            <w:r>
              <w:rPr>
                <w:rFonts w:ascii="Courier New" w:cs="Courier New" w:eastAsia="Courier New" w:hAnsi="Courier New"/>
                <w:color w:val="1B3A5C"/>
                <w:sz w:val="19"/>
                <w:szCs w:val="19"/>
              </w:rPr>
              <w:t xml:space="preserve">extractSettlement(</w:t>
            </w:r>
            <w:r>
              <w:br/>
            </w:r>
            <w:r>
              <w:rPr>
                <w:rFonts w:ascii="Courier New" w:cs="Courier New" w:eastAsia="Courier New" w:hAnsi="Courier New"/>
                <w:color w:val="1B3A5C"/>
                <w:sz w:val="19"/>
                <w:szCs w:val="19"/>
              </w:rPr>
              <w:t xml:space="preserve">  orderId:         string,</w:t>
            </w:r>
            <w:r>
              <w:br/>
            </w:r>
            <w:r>
              <w:rPr>
                <w:rFonts w:ascii="Courier New" w:cs="Courier New" w:eastAsia="Courier New" w:hAnsi="Courier New"/>
                <w:color w:val="1B3A5C"/>
                <w:sz w:val="19"/>
                <w:szCs w:val="19"/>
              </w:rPr>
              <w:t xml:space="preserve">  tenetAddress:    string,   // FI identifier only — vault derived internally</w:t>
            </w:r>
            <w:r>
              <w:br/>
            </w:r>
            <w:r>
              <w:rPr>
                <w:rFonts w:ascii="Courier New" w:cs="Courier New" w:eastAsia="Courier New" w:hAnsi="Courier New"/>
                <w:color w:val="1B3A5C"/>
                <w:sz w:val="19"/>
                <w:szCs w:val="19"/>
              </w:rPr>
              <w:t xml:space="preserve">  settlementTotal: number,   // usdcAmount + fee</w:t>
            </w:r>
            <w:r>
              <w:br/>
            </w:r>
            <w:r>
              <w:rPr>
                <w:rFonts w:ascii="Courier New" w:cs="Courier New" w:eastAsia="Courier New" w:hAnsi="Courier New"/>
                <w:color w:val="1B3A5C"/>
                <w:sz w:val="19"/>
                <w:szCs w:val="19"/>
              </w:rPr>
              <w:t xml:space="preserve">  tenetFee:        number,   // 10bps of usdcAmount (tiered)</w:t>
            </w:r>
            <w:r>
              <w:br/>
            </w:r>
            <w:r>
              <w:rPr>
                <w:rFonts w:ascii="Courier New" w:cs="Courier New" w:eastAsia="Courier New" w:hAnsi="Courier New"/>
                <w:color w:val="1B3A5C"/>
                <w:sz w:val="19"/>
                <w:szCs w:val="19"/>
              </w:rPr>
              <w:t xml:space="preserve">  orch:            IOrchestration,</w:t>
            </w:r>
            <w:r>
              <w:br/>
            </w:r>
            <w:r>
              <w:rPr>
                <w:rFonts w:ascii="Courier New" w:cs="Courier New" w:eastAsia="Courier New" w:hAnsi="Courier New"/>
                <w:color w:val="1B3A5C"/>
                <w:sz w:val="19"/>
                <w:szCs w:val="19"/>
              </w:rPr>
              <w:t xml:space="preserve">)</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Internal derivation:</w:t>
            </w:r>
            <w:r>
              <w:br/>
            </w:r>
            <w:r>
              <w:rPr>
                <w:rFonts w:ascii="Courier New" w:cs="Courier New" w:eastAsia="Courier New" w:hAnsi="Courier New"/>
                <w:color w:val="1B3A5C"/>
                <w:sz w:val="19"/>
                <w:szCs w:val="19"/>
              </w:rPr>
              <w:t xml:space="preserve">  fi     = FI_REGISTRY[tenetAddress]</w:t>
            </w:r>
            <w:r>
              <w:br/>
            </w:r>
            <w:r>
              <w:rPr>
                <w:rFonts w:ascii="Courier New" w:cs="Courier New" w:eastAsia="Courier New" w:hAnsi="Courier New"/>
                <w:color w:val="1B3A5C"/>
                <w:sz w:val="19"/>
                <w:szCs w:val="19"/>
              </w:rPr>
              <w:t xml:space="preserve">  vaultId = fi.vault              // e.g. "GoldmanSettlementVault"</w:t>
            </w:r>
            <w:r>
              <w:br/>
            </w:r>
            <w:r>
              <w:rPr>
                <w:rFonts w:ascii="Courier New" w:cs="Courier New" w:eastAsia="Courier New" w:hAnsi="Courier New"/>
                <w:color w:val="1B3A5C"/>
                <w:sz w:val="19"/>
                <w:szCs w:val="19"/>
              </w:rPr>
              <w:t xml:space="preserve">  VaultProvider.cosignTransfer(vaultId, "TenetSettlementVault", settlementTotal)</w:t>
            </w:r>
          </w:p>
        </w:tc>
      </w:tr>
    </w:tbl>
    <w:p>
      <w:pPr>
        <w:spacing w:before="120" w:after="0"/>
      </w:pPr>
    </w:p>
    <w:p>
      <w:pPr>
        <w:pStyle w:val="Heading2"/>
        <w:spacing w:before="280" w:after="120"/>
      </w:pPr>
      <w:r>
        <w:rPr>
          <w:rFonts w:ascii="Arial" w:cs="Arial" w:eastAsia="Arial" w:hAnsi="Arial"/>
          <w:b/>
          <w:bCs/>
          <w:color w:val="1B3A5C"/>
          <w:sz w:val="26"/>
          <w:szCs w:val="26"/>
        </w:rPr>
        <w:t xml:space="preserve">3.2  Moment 2 — LP Payout Routing</w:t>
      </w:r>
    </w:p>
    <w:p>
      <w:pPr>
        <w:spacing w:before="80" w:after="80"/>
      </w:pPr>
      <w:r>
        <w:rPr>
          <w:rFonts w:ascii="Arial" w:cs="Arial" w:eastAsia="Arial" w:hAnsi="Arial"/>
          <w:b w:val="false"/>
          <w:bCs w:val="false"/>
          <w:color w:val="444444"/>
          <w:sz w:val="22"/>
          <w:szCs w:val="22"/>
        </w:rPr>
        <w:t xml:space="preserve">LP payout fires after both delivery and extraction are confirmed — once Orchestration has moved the order to AWAITING_SETTLEMENT. The Settlement Engine receives the fill plan (the list of LP legs), the usdcAmount, and the fee. It calculates each LP's proportional share of the net payout, selects the correct routing method for each LP, and routes accordingly.</w:t>
      </w:r>
    </w:p>
    <w:p>
      <w:pPr>
        <w:spacing w:before="80" w:after="80"/>
      </w:pPr>
      <w:r>
        <w:rPr>
          <w:rFonts w:ascii="Arial" w:cs="Arial" w:eastAsia="Arial" w:hAnsi="Arial"/>
          <w:b w:val="false"/>
          <w:bCs w:val="false"/>
          <w:color w:val="444444"/>
          <w:sz w:val="22"/>
          <w:szCs w:val="22"/>
        </w:rPr>
        <w:t xml:space="preserve">From the LP's perspective, they receive a single settlement on their native chain. The routing complexity — CCTP, netting, Everclear — is invisible to them. Tenet guarantees native chain settlement as a contractual obligation.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40"/>
              <w:bottom w:type="dxa" w:w="120"/>
              <w:right w:type="dxa" w:w="200"/>
            </w:tcMar>
          </w:tcPr>
          <w:p>
            <w:r>
              <w:rPr>
                <w:rFonts w:ascii="Courier New" w:cs="Courier New" w:eastAsia="Courier New" w:hAnsi="Courier New"/>
                <w:color w:val="1B3A5C"/>
                <w:sz w:val="19"/>
                <w:szCs w:val="19"/>
              </w:rPr>
              <w:t xml:space="preserve">routeLPPayout(</w:t>
            </w:r>
            <w:r>
              <w:br/>
            </w:r>
            <w:r>
              <w:rPr>
                <w:rFonts w:ascii="Courier New" w:cs="Courier New" w:eastAsia="Courier New" w:hAnsi="Courier New"/>
                <w:color w:val="1B3A5C"/>
                <w:sz w:val="19"/>
                <w:szCs w:val="19"/>
              </w:rPr>
              <w:t xml:space="preserve">  orderId:    string,</w:t>
            </w:r>
            <w:r>
              <w:br/>
            </w:r>
            <w:r>
              <w:rPr>
                <w:rFonts w:ascii="Courier New" w:cs="Courier New" w:eastAsia="Courier New" w:hAnsi="Courier New"/>
                <w:color w:val="1B3A5C"/>
                <w:sz w:val="19"/>
                <w:szCs w:val="19"/>
              </w:rPr>
              <w:t xml:space="preserve">  fills:      FillLeg[],   // from Execution Engine fill plan</w:t>
            </w:r>
            <w:r>
              <w:br/>
            </w:r>
            <w:r>
              <w:rPr>
                <w:rFonts w:ascii="Courier New" w:cs="Courier New" w:eastAsia="Courier New" w:hAnsi="Courier New"/>
                <w:color w:val="1B3A5C"/>
                <w:sz w:val="19"/>
                <w:szCs w:val="19"/>
              </w:rPr>
              <w:t xml:space="preserve">  usdcAmount: number,      // original FI spend amount</w:t>
            </w:r>
            <w:r>
              <w:br/>
            </w:r>
            <w:r>
              <w:rPr>
                <w:rFonts w:ascii="Courier New" w:cs="Courier New" w:eastAsia="Courier New" w:hAnsi="Courier New"/>
                <w:color w:val="1B3A5C"/>
                <w:sz w:val="19"/>
                <w:szCs w:val="19"/>
              </w:rPr>
              <w:t xml:space="preserve">  tenetFee:   number,      // retained by Tenet</w:t>
            </w:r>
            <w:r>
              <w:br/>
            </w:r>
            <w:r>
              <w:rPr>
                <w:rFonts w:ascii="Courier New" w:cs="Courier New" w:eastAsia="Courier New" w:hAnsi="Courier New"/>
                <w:color w:val="1B3A5C"/>
                <w:sz w:val="19"/>
                <w:szCs w:val="19"/>
              </w:rPr>
              <w:t xml:space="preserve">  orch:       IOrchestration,</w:t>
            </w:r>
            <w:r>
              <w:br/>
            </w:r>
            <w:r>
              <w:rPr>
                <w:rFonts w:ascii="Courier New" w:cs="Courier New" w:eastAsia="Courier New" w:hAnsi="Courier New"/>
                <w:color w:val="1B3A5C"/>
                <w:sz w:val="19"/>
                <w:szCs w:val="19"/>
              </w:rPr>
              <w:t xml:space="preserve">)</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Net to LP = usdcAmount - tenetFee</w:t>
            </w:r>
            <w:r>
              <w:br/>
            </w:r>
            <w:r>
              <w:rPr>
                <w:rFonts w:ascii="Courier New" w:cs="Courier New" w:eastAsia="Courier New" w:hAnsi="Courier New"/>
                <w:color w:val="1B3A5C"/>
                <w:sz w:val="19"/>
                <w:szCs w:val="19"/>
              </w:rPr>
              <w:t xml:space="preserve">Each LP's share = netToLP × (leg.qty / totalQty)</w:t>
            </w:r>
          </w:p>
        </w:tc>
      </w:tr>
    </w:tbl>
    <w:p>
      <w:pPr>
        <w:spacing w:before="160" w:after="0"/>
      </w:pPr>
    </w:p>
    <w:p>
      <w:pPr>
        <w:pStyle w:val="Heading1"/>
        <w:pBdr>
          <w:bottom w:val="single" w:color="2E6DA4" w:sz="4" w:space="4"/>
        </w:pBdr>
        <w:spacing w:before="400" w:after="160"/>
      </w:pPr>
      <w:r>
        <w:rPr>
          <w:rFonts w:ascii="Arial" w:cs="Arial" w:eastAsia="Arial" w:hAnsi="Arial"/>
          <w:b/>
          <w:bCs/>
          <w:color w:val="1B3A5C"/>
          <w:sz w:val="32"/>
          <w:szCs w:val="32"/>
        </w:rPr>
        <w:t xml:space="preserve">4.  Orchestrated Atomicity</w:t>
      </w:r>
    </w:p>
    <w:p>
      <w:pPr>
        <w:spacing w:before="80" w:after="80"/>
      </w:pPr>
      <w:r>
        <w:rPr>
          <w:rFonts w:ascii="Arial" w:cs="Arial" w:eastAsia="Arial" w:hAnsi="Arial"/>
          <w:b w:val="false"/>
          <w:bCs w:val="false"/>
          <w:color w:val="444444"/>
          <w:sz w:val="22"/>
          <w:szCs w:val="22"/>
        </w:rPr>
        <w:t xml:space="preserve">Delivery and extraction firing simultaneously is the mechanism that eliminates settlement gap — the window of time between when the FI receives their asset and when Tenet extracts the corresponding payment. In traditional markets this gap represents counterparty exposure. In Tenet it does not exist by design.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40"/>
              <w:bottom w:type="dxa" w:w="120"/>
              <w:right w:type="dxa" w:w="200"/>
            </w:tcMar>
          </w:tcPr>
          <w:p>
            <w:r>
              <w:rPr>
                <w:rFonts w:ascii="Courier New" w:cs="Courier New" w:eastAsia="Courier New" w:hAnsi="Courier New"/>
                <w:color w:val="1B3A5C"/>
                <w:sz w:val="19"/>
                <w:szCs w:val="19"/>
              </w:rPr>
              <w:t xml:space="preserve">// In OrchestrationEngine.submitIntent() — called after DELIVERING state</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Promise.all([</w:t>
            </w:r>
            <w:r>
              <w:br/>
            </w:r>
            <w:r>
              <w:rPr>
                <w:rFonts w:ascii="Courier New" w:cs="Courier New" w:eastAsia="Courier New" w:hAnsi="Courier New"/>
                <w:color w:val="1B3A5C"/>
                <w:sz w:val="19"/>
                <w:szCs w:val="19"/>
              </w:rPr>
              <w:t xml:space="preserve">  this.exec.beginDelivery(order, this),          // asset → FI wallet</w:t>
            </w:r>
            <w:r>
              <w:br/>
            </w:r>
            <w:r>
              <w:rPr>
                <w:rFonts w:ascii="Courier New" w:cs="Courier New" w:eastAsia="Courier New" w:hAnsi="Courier New"/>
                <w:color w:val="1B3A5C"/>
                <w:sz w:val="19"/>
                <w:szCs w:val="19"/>
              </w:rPr>
              <w:t xml:space="preserve">  this.sett.extractSettlement(                   // USDC → TenetVault</w:t>
            </w:r>
            <w:r>
              <w:br/>
            </w:r>
            <w:r>
              <w:rPr>
                <w:rFonts w:ascii="Courier New" w:cs="Courier New" w:eastAsia="Courier New" w:hAnsi="Courier New"/>
                <w:color w:val="1B3A5C"/>
                <w:sz w:val="19"/>
                <w:szCs w:val="19"/>
              </w:rPr>
              <w:t xml:space="preserve">    orderId, tenetAddress, total, fee, this</w:t>
            </w:r>
            <w:r>
              <w:br/>
            </w:r>
            <w:r>
              <w:rPr>
                <w:rFonts w:ascii="Courier New" w:cs="Courier New" w:eastAsia="Courier New" w:hAnsi="Courier New"/>
                <w:color w:val="1B3A5C"/>
                <w:sz w:val="19"/>
                <w:szCs w:val="19"/>
              </w:rPr>
              <w:t xml:space="preserve">  ),</w:t>
            </w:r>
            <w:r>
              <w:br/>
            </w:r>
            <w:r>
              <w:rPr>
                <w:rFonts w:ascii="Courier New" w:cs="Courier New" w:eastAsia="Courier New" w:hAnsi="Courier New"/>
                <w:color w:val="1B3A5C"/>
                <w:sz w:val="19"/>
                <w:szCs w:val="19"/>
              </w:rPr>
              <w:t xml:space="preserve">])</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 Neither leg is contingent on the other completing first.</w:t>
            </w:r>
            <w:r>
              <w:br/>
            </w:r>
            <w:r>
              <w:rPr>
                <w:rFonts w:ascii="Courier New" w:cs="Courier New" w:eastAsia="Courier New" w:hAnsi="Courier New"/>
                <w:color w:val="1B3A5C"/>
                <w:sz w:val="19"/>
                <w:szCs w:val="19"/>
              </w:rPr>
              <w:t xml:space="preserve">// ORCH only advances to AWAITING_SETTLEMENT when both callbacks fire.</w:t>
            </w:r>
            <w:r>
              <w:br/>
            </w:r>
            <w:r>
              <w:rPr>
                <w:rFonts w:ascii="Courier New" w:cs="Courier New" w:eastAsia="Courier New" w:hAnsi="Courier New"/>
                <w:color w:val="1B3A5C"/>
                <w:sz w:val="19"/>
                <w:szCs w:val="19"/>
              </w:rPr>
              <w:t xml:space="preserve">// If extraction succeeds but delivery fails: extraction is returned.</w:t>
            </w:r>
            <w:r>
              <w:br/>
            </w:r>
            <w:r>
              <w:rPr>
                <w:rFonts w:ascii="Courier New" w:cs="Courier New" w:eastAsia="Courier New" w:hAnsi="Courier New"/>
                <w:color w:val="1B3A5C"/>
                <w:sz w:val="19"/>
                <w:szCs w:val="19"/>
              </w:rPr>
              <w:t xml:space="preserve">// If delivery succeeds but extraction fails: order is failed, LP notified.</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A4F00" w:sz="8"/>
              <w:bottom w:val="single" w:color="CCCCCC" w:sz="1"/>
              <w:right w:val="single" w:color="CCCCCC" w:sz="1"/>
            </w:tcBorders>
            <w:shd w:fill="FFF8E6" w:val="clear"/>
            <w:tcMar>
              <w:top w:type="dxa" w:w="100"/>
              <w:left w:type="dxa" w:w="200"/>
              <w:bottom w:type="dxa" w:w="100"/>
              <w:right w:type="dxa" w:w="200"/>
            </w:tcMar>
          </w:tcPr>
          <w:p>
            <w:r>
              <w:rPr>
                <w:rFonts w:ascii="Arial" w:cs="Arial" w:eastAsia="Arial" w:hAnsi="Arial"/>
                <w:b w:val="false"/>
                <w:bCs w:val="false"/>
                <w:color w:val="444444"/>
                <w:sz w:val="21"/>
                <w:szCs w:val="21"/>
              </w:rPr>
              <w:t xml:space="preserve">Why not blockchain-atomic? True DvP atomicity requires a single smart contract execution on a shared chain. Tenet operates across multiple chains and assets simultaneously. Cross-chain atomicity is not available at the protocol level. Orchestrated atomicity — firing both legs in the same execution window with mutual dependency on completion — is the institutional-grade equivalent and what Tenet's contractual obligations are built on.</w:t>
            </w:r>
          </w:p>
        </w:tc>
      </w:tr>
    </w:tbl>
    <w:p>
      <w:pPr>
        <w:spacing w:before="160" w:after="0"/>
      </w:pPr>
    </w:p>
    <w:p>
      <w:pPr>
        <w:pStyle w:val="Heading1"/>
        <w:pBdr>
          <w:bottom w:val="single" w:color="2E6DA4" w:sz="4" w:space="4"/>
        </w:pBdr>
        <w:spacing w:before="400" w:after="160"/>
      </w:pPr>
      <w:r>
        <w:rPr>
          <w:rFonts w:ascii="Arial" w:cs="Arial" w:eastAsia="Arial" w:hAnsi="Arial"/>
          <w:b/>
          <w:bCs/>
          <w:color w:val="1B3A5C"/>
          <w:sz w:val="32"/>
          <w:szCs w:val="32"/>
        </w:rPr>
        <w:t xml:space="preserve">5.  Fee Calculation</w:t>
      </w:r>
    </w:p>
    <w:p>
      <w:pPr>
        <w:spacing w:before="80" w:after="80"/>
      </w:pPr>
      <w:r>
        <w:rPr>
          <w:rFonts w:ascii="Arial" w:cs="Arial" w:eastAsia="Arial" w:hAnsi="Arial"/>
          <w:b w:val="false"/>
          <w:bCs w:val="false"/>
          <w:color w:val="444444"/>
          <w:sz w:val="22"/>
          <w:szCs w:val="22"/>
        </w:rPr>
        <w:t xml:space="preserve">Tenet's fee is calculated by Orchestration before calling the Settlement Engine. The Settlement Engine receives the pre-calculated fee and never recalculates it. This is deliberate — the fee is determined at order acceptance and locked. It does not change between acceptance and settlement regardless of what happens to spot price.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Order Size (USDC)</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Fee Rate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Up to $10,000,000</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10 basis points  (usdcAmount × 0.001)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$10,000,001 – $100,000,000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7 basis points   (usdcAmount × 0.0007)</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$100,000,001 – $250,000,000</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5 basis points   (usdcAmount × 0.0005)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Above $250,000,000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Negotiated — set at FI onboarding, stored in FI registry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Tokenized RWAs (any size)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0.5 basis points (usdcAmount × 0.00005)</w:t>
            </w:r>
          </w:p>
        </w:tc>
      </w:tr>
    </w:tbl>
    <w:p>
      <w:pPr>
        <w:spacing w:before="120" w:after="0"/>
      </w:pPr>
    </w:p>
    <w:p>
      <w:pPr>
        <w:spacing w:before="80" w:after="80"/>
      </w:pPr>
      <w:r>
        <w:rPr>
          <w:rFonts w:ascii="Arial" w:cs="Arial" w:eastAsia="Arial" w:hAnsi="Arial"/>
          <w:b w:val="false"/>
          <w:bCs w:val="false"/>
          <w:color w:val="444444"/>
          <w:sz w:val="22"/>
          <w:szCs w:val="22"/>
        </w:rPr>
        <w:t xml:space="preserve">The fee accumulates in the Tenet Settlement Vault and is never paid out to LPs. Over time it becomes Tenet's proprietary capital reserve — the long-term path to becoming both orchestrator and liquidity provider.</w:t>
      </w:r>
    </w:p>
    <w:p>
      <w:pPr>
        <w:spacing w:before="160" w:after="0"/>
      </w:pPr>
    </w:p>
    <w:p>
      <w:pPr>
        <w:pStyle w:val="Heading1"/>
        <w:pBdr>
          <w:bottom w:val="single" w:color="2E6DA4" w:sz="4" w:space="4"/>
        </w:pBdr>
        <w:spacing w:before="400" w:after="160"/>
      </w:pPr>
      <w:r>
        <w:rPr>
          <w:rFonts w:ascii="Arial" w:cs="Arial" w:eastAsia="Arial" w:hAnsi="Arial"/>
          <w:b/>
          <w:bCs/>
          <w:color w:val="1B3A5C"/>
          <w:sz w:val="32"/>
          <w:szCs w:val="32"/>
        </w:rPr>
        <w:t xml:space="preserve">6.  LP Payout Routing — The Three Methods</w:t>
      </w:r>
    </w:p>
    <w:p>
      <w:pPr>
        <w:spacing w:before="80" w:after="80"/>
      </w:pPr>
      <w:r>
        <w:rPr>
          <w:rFonts w:ascii="Arial" w:cs="Arial" w:eastAsia="Arial" w:hAnsi="Arial"/>
          <w:b w:val="false"/>
          <w:bCs w:val="false"/>
          <w:color w:val="444444"/>
          <w:sz w:val="22"/>
          <w:szCs w:val="22"/>
        </w:rPr>
        <w:t xml:space="preserve">After extraction is confirmed and the order moves to AWAITING_SETTLEMENT, the Settlement Engine routes LP payout via one of three methods. Method selection is automatic — the Settlement Engine derives it from the LP's chain and the asset type. The LP never specifies routing method directly.</w:t>
      </w:r>
    </w:p>
    <w:p>
      <w:pPr>
        <w:pStyle w:val="Heading2"/>
        <w:spacing w:before="280" w:after="120"/>
      </w:pPr>
      <w:r>
        <w:rPr>
          <w:rFonts w:ascii="Arial" w:cs="Arial" w:eastAsia="Arial" w:hAnsi="Arial"/>
          <w:b/>
          <w:bCs/>
          <w:color w:val="1B3A5C"/>
          <w:sz w:val="26"/>
          <w:szCs w:val="26"/>
        </w:rPr>
        <w:t xml:space="preserve">6.1  Method Selection Logic</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40"/>
              <w:bottom w:type="dxa" w:w="120"/>
              <w:right w:type="dxa" w:w="200"/>
            </w:tcMar>
          </w:tcPr>
          <w:p>
            <w:r>
              <w:rPr>
                <w:rFonts w:ascii="Courier New" w:cs="Courier New" w:eastAsia="Courier New" w:hAnsi="Courier New"/>
                <w:color w:val="1B3A5C"/>
                <w:sz w:val="19"/>
                <w:szCs w:val="19"/>
              </w:rPr>
              <w:t xml:space="preserve">FOR each LP leg in fills:</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  IF same chain as TenetSettlementVault origin</w:t>
            </w:r>
            <w:r>
              <w:br/>
            </w:r>
            <w:r>
              <w:rPr>
                <w:rFonts w:ascii="Courier New" w:cs="Courier New" w:eastAsia="Courier New" w:hAnsi="Courier New"/>
                <w:color w:val="1B3A5C"/>
                <w:sz w:val="19"/>
                <w:szCs w:val="19"/>
              </w:rPr>
              <w:t xml:space="preserve">  AND other LPs on same settlement batch exist:</w:t>
            </w:r>
            <w:r>
              <w:br/>
            </w:r>
            <w:r>
              <w:rPr>
                <w:rFonts w:ascii="Courier New" w:cs="Courier New" w:eastAsia="Courier New" w:hAnsi="Courier New"/>
                <w:color w:val="1B3A5C"/>
                <w:sz w:val="19"/>
                <w:szCs w:val="19"/>
              </w:rPr>
              <w:t xml:space="preserve">    → INTERNAL NETTING   (highest priority — cheapest, no protocol fees)</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  ELSE IF asset is USDC</w:t>
            </w:r>
            <w:r>
              <w:br/>
            </w:r>
            <w:r>
              <w:rPr>
                <w:rFonts w:ascii="Courier New" w:cs="Courier New" w:eastAsia="Courier New" w:hAnsi="Courier New"/>
                <w:color w:val="1B3A5C"/>
                <w:sz w:val="19"/>
                <w:szCs w:val="19"/>
              </w:rPr>
              <w:t xml:space="preserve">  AND LP native chain is CCTP-supported:</w:t>
            </w:r>
            <w:r>
              <w:br/>
            </w:r>
            <w:r>
              <w:rPr>
                <w:rFonts w:ascii="Courier New" w:cs="Courier New" w:eastAsia="Courier New" w:hAnsi="Courier New"/>
                <w:color w:val="1B3A5C"/>
                <w:sz w:val="19"/>
                <w:szCs w:val="19"/>
              </w:rPr>
              <w:t xml:space="preserve">    → CCTP               (second priority — native Circle protocol)</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  ELSE:</w:t>
            </w:r>
            <w:r>
              <w:br/>
            </w:r>
            <w:r>
              <w:rPr>
                <w:rFonts w:ascii="Courier New" w:cs="Courier New" w:eastAsia="Courier New" w:hAnsi="Courier New"/>
                <w:color w:val="1B3A5C"/>
                <w:sz w:val="19"/>
                <w:szCs w:val="19"/>
              </w:rPr>
              <w:t xml:space="preserve">    → EVERCLEAR          (fallback — non-USDC or non-CCTP chain)</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Internal netting is always preferred where possible.</w:t>
            </w:r>
            <w:r>
              <w:br/>
            </w:r>
            <w:r>
              <w:rPr>
                <w:rFonts w:ascii="Courier New" w:cs="Courier New" w:eastAsia="Courier New" w:hAnsi="Courier New"/>
                <w:color w:val="1B3A5C"/>
                <w:sz w:val="19"/>
                <w:szCs w:val="19"/>
              </w:rPr>
              <w:t xml:space="preserve">CCTP is preferred over Everclear for USDC.</w:t>
            </w:r>
            <w:r>
              <w:br/>
            </w:r>
            <w:r>
              <w:rPr>
                <w:rFonts w:ascii="Courier New" w:cs="Courier New" w:eastAsia="Courier New" w:hAnsi="Courier New"/>
                <w:color w:val="1B3A5C"/>
                <w:sz w:val="19"/>
                <w:szCs w:val="19"/>
              </w:rPr>
              <w:t xml:space="preserve">Everclear is the universal fallback.</w:t>
            </w:r>
          </w:p>
        </w:tc>
      </w:tr>
    </w:tbl>
    <w:p>
      <w:pPr>
        <w:spacing w:before="120" w:after="0"/>
      </w:pPr>
    </w:p>
    <w:p>
      <w:pPr>
        <w:pStyle w:val="Heading2"/>
        <w:spacing w:before="280" w:after="120"/>
      </w:pPr>
      <w:r>
        <w:rPr>
          <w:rFonts w:ascii="Arial" w:cs="Arial" w:eastAsia="Arial" w:hAnsi="Arial"/>
          <w:b/>
          <w:bCs/>
          <w:color w:val="1B3A5C"/>
          <w:sz w:val="26"/>
          <w:szCs w:val="26"/>
        </w:rPr>
        <w:t xml:space="preserve">6.2  Internal Netting</w:t>
      </w:r>
    </w:p>
    <w:p>
      <w:pPr>
        <w:spacing w:before="80" w:after="80"/>
      </w:pPr>
      <w:r>
        <w:rPr>
          <w:rFonts w:ascii="Arial" w:cs="Arial" w:eastAsia="Arial" w:hAnsi="Arial"/>
          <w:b w:val="false"/>
          <w:bCs w:val="false"/>
          <w:color w:val="444444"/>
          <w:sz w:val="22"/>
          <w:szCs w:val="22"/>
        </w:rPr>
        <w:t xml:space="preserve">When multiple LP settlement obligations exist on the same chain within the same settlement batch, Tenet nets them internally before executing any on-chain transfers. No external protocol is involved. No gas is spent on individual transfers. The net obligation per chain is a single on-chain transaction.</w:t>
      </w:r>
    </w:p>
    <w:p>
      <w:pPr>
        <w:spacing w:before="80" w:after="80"/>
      </w:pPr>
      <w:r>
        <w:rPr>
          <w:rFonts w:ascii="Arial" w:cs="Arial" w:eastAsia="Arial" w:hAnsi="Arial"/>
          <w:b w:val="false"/>
          <w:bCs w:val="false"/>
          <w:color w:val="444444"/>
          <w:sz w:val="22"/>
          <w:szCs w:val="22"/>
        </w:rPr>
        <w:t xml:space="preserve">Internal netting is applied per batch window, not per order. As order volume scales, the netting efficiency increases — a large batch of ETH chain orders results in one net transfer rather than N individual ones. This is a structural cost advantage that compounds with volume.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40"/>
              <w:bottom w:type="dxa" w:w="120"/>
              <w:right w:type="dxa" w:w="200"/>
            </w:tcMar>
          </w:tcPr>
          <w:p>
            <w:r>
              <w:rPr>
                <w:rFonts w:ascii="Courier New" w:cs="Courier New" w:eastAsia="Courier New" w:hAnsi="Courier New"/>
                <w:color w:val="1B3A5C"/>
                <w:sz w:val="19"/>
                <w:szCs w:val="19"/>
              </w:rPr>
              <w:t xml:space="preserve">Example: 3 orders settled in the same batch, all LPs on ETH chain</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  ORD_001  Cumberland_ETH   owes  $42,000 USDC</w:t>
            </w:r>
            <w:r>
              <w:br/>
            </w:r>
            <w:r>
              <w:rPr>
                <w:rFonts w:ascii="Courier New" w:cs="Courier New" w:eastAsia="Courier New" w:hAnsi="Courier New"/>
                <w:color w:val="1B3A5C"/>
                <w:sz w:val="19"/>
                <w:szCs w:val="19"/>
              </w:rPr>
              <w:t xml:space="preserve">  ORD_002  Wintermute_ETH   owes  $180,000 USDC</w:t>
            </w:r>
            <w:r>
              <w:br/>
            </w:r>
            <w:r>
              <w:rPr>
                <w:rFonts w:ascii="Courier New" w:cs="Courier New" w:eastAsia="Courier New" w:hAnsi="Courier New"/>
                <w:color w:val="1B3A5C"/>
                <w:sz w:val="19"/>
                <w:szCs w:val="19"/>
              </w:rPr>
              <w:t xml:space="preserve">  ORD_003  Cumberland_ETH   owes  $91,000 USDC</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Net obligations:</w:t>
            </w:r>
            <w:r>
              <w:br/>
            </w:r>
            <w:r>
              <w:rPr>
                <w:rFonts w:ascii="Courier New" w:cs="Courier New" w:eastAsia="Courier New" w:hAnsi="Courier New"/>
                <w:color w:val="1B3A5C"/>
                <w:sz w:val="19"/>
                <w:szCs w:val="19"/>
              </w:rPr>
              <w:t xml:space="preserve">  Cumberland_ETH   $133,000 USDC  (1 transfer, not 2)</w:t>
            </w:r>
            <w:r>
              <w:br/>
            </w:r>
            <w:r>
              <w:rPr>
                <w:rFonts w:ascii="Courier New" w:cs="Courier New" w:eastAsia="Courier New" w:hAnsi="Courier New"/>
                <w:color w:val="1B3A5C"/>
                <w:sz w:val="19"/>
                <w:szCs w:val="19"/>
              </w:rPr>
              <w:t xml:space="preserve">  Wintermute_ETH   $180,000 USDC  (1 transfer)</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Total: 2 on-chain transfers instead of 3.</w:t>
            </w:r>
            <w:r>
              <w:br/>
            </w:r>
            <w:r>
              <w:rPr>
                <w:rFonts w:ascii="Courier New" w:cs="Courier New" w:eastAsia="Courier New" w:hAnsi="Courier New"/>
                <w:color w:val="1B3A5C"/>
                <w:sz w:val="19"/>
                <w:szCs w:val="19"/>
              </w:rPr>
              <w:t xml:space="preserve">Gas saved: 1 transaction. At scale with hundreds of orders, savings compound.</w:t>
            </w:r>
          </w:p>
        </w:tc>
      </w:tr>
    </w:tbl>
    <w:p>
      <w:pPr>
        <w:spacing w:before="120" w:after="0"/>
      </w:pPr>
    </w:p>
    <w:p>
      <w:pPr>
        <w:pStyle w:val="Heading2"/>
        <w:spacing w:before="280" w:after="120"/>
      </w:pPr>
      <w:r>
        <w:rPr>
          <w:rFonts w:ascii="Arial" w:cs="Arial" w:eastAsia="Arial" w:hAnsi="Arial"/>
          <w:b/>
          <w:bCs/>
          <w:color w:val="1B3A5C"/>
          <w:sz w:val="26"/>
          <w:szCs w:val="26"/>
        </w:rPr>
        <w:t xml:space="preserve">6.3  CCTP — Circle Cross-Chain Transfer Protocol</w:t>
      </w:r>
    </w:p>
    <w:p>
      <w:pPr>
        <w:spacing w:before="80" w:after="80"/>
      </w:pPr>
      <w:r>
        <w:rPr>
          <w:rFonts w:ascii="Arial" w:cs="Arial" w:eastAsia="Arial" w:hAnsi="Arial"/>
          <w:b w:val="false"/>
          <w:bCs w:val="false"/>
          <w:color w:val="444444"/>
          <w:sz w:val="22"/>
          <w:szCs w:val="22"/>
        </w:rPr>
        <w:t xml:space="preserve">Used for all USDC settlement where internal netting does not apply and the LP's native chain is CCTP-supported. CCTP burns USDC on the source chain and mints native USDC on the destination chain. No wrapped token risk. No bridge counterparty. No liquidity pool dependency.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Asset scope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USDC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Mechanism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Burn on source chain, mint on destination chain. Circle is the sole counterparty.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Chains supported</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Ethereum, Arbitrum, Base, Optimism, Avalanche, Solana, Polygon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Settlement time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2–5 minutes (CCTP v1). Sub-minute targeted in CCTP v2.</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Bridge risk</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None. Native Circle protocol. No third-party bridge involved.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Protocol fees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Minimal. Passed through transparently. Included in price_total at quote time.</w:t>
            </w:r>
          </w:p>
        </w:tc>
      </w:tr>
    </w:tbl>
    <w:p>
      <w:pPr>
        <w:spacing w:before="120" w:after="0"/>
      </w:pPr>
    </w:p>
    <w:p>
      <w:pPr>
        <w:pStyle w:val="Heading2"/>
        <w:spacing w:before="280" w:after="120"/>
      </w:pPr>
      <w:r>
        <w:rPr>
          <w:rFonts w:ascii="Arial" w:cs="Arial" w:eastAsia="Arial" w:hAnsi="Arial"/>
          <w:b/>
          <w:bCs/>
          <w:color w:val="1B3A5C"/>
          <w:sz w:val="26"/>
          <w:szCs w:val="26"/>
        </w:rPr>
        <w:t xml:space="preserve">6.4  Everclear</w:t>
      </w:r>
    </w:p>
    <w:p>
      <w:pPr>
        <w:spacing w:before="80" w:after="80"/>
      </w:pPr>
      <w:r>
        <w:rPr>
          <w:rFonts w:ascii="Arial" w:cs="Arial" w:eastAsia="Arial" w:hAnsi="Arial"/>
          <w:b w:val="false"/>
          <w:bCs w:val="false"/>
          <w:color w:val="444444"/>
          <w:sz w:val="22"/>
          <w:szCs w:val="22"/>
        </w:rPr>
        <w:t xml:space="preserve">Used for non-USDC assets requiring cross-chain settlement, and as a fallback for chains not supported by CCTP. Tenet transfers to Everclear's clearing layer, which handles netting and delivers final settlement to the LP's native chain.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Asset scope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Any asset. Primary use: non-USDC cross-chain settlement.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Mechanism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Tenet transfers to Everclear clearing layer. Everclear handles final delivery.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Settlement time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Within Everclear's confirmed protocol window. Variable by chain pair.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Bridge risk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Everclear protocol risk. Mitigated by Tenet holding funds in settlement vault until Everclear confirms receipt.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Protocol fees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Passed through transparently to the FI. Included in price_total at quote 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Fallback from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CCTP unavailable, or LP native chain not CCTP-supported.</w:t>
            </w:r>
          </w:p>
        </w:tc>
      </w:tr>
    </w:tbl>
    <w:p>
      <w:pPr>
        <w:spacing w:before="160" w:after="0"/>
      </w:pPr>
    </w:p>
    <w:p>
      <w:pPr>
        <w:pStyle w:val="Heading1"/>
        <w:pBdr>
          <w:bottom w:val="single" w:color="2E6DA4" w:sz="4" w:space="4"/>
        </w:pBdr>
        <w:spacing w:before="400" w:after="160"/>
      </w:pPr>
      <w:r>
        <w:rPr>
          <w:rFonts w:ascii="Arial" w:cs="Arial" w:eastAsia="Arial" w:hAnsi="Arial"/>
          <w:b/>
          <w:bCs/>
          <w:color w:val="1B3A5C"/>
          <w:sz w:val="32"/>
          <w:szCs w:val="32"/>
        </w:rPr>
        <w:t xml:space="preserve">7.  Routing Failure — Funds Stay in the Vault</w:t>
      </w:r>
    </w:p>
    <w:p>
      <w:pPr>
        <w:spacing w:before="80" w:after="80"/>
      </w:pPr>
      <w:r>
        <w:rPr>
          <w:rFonts w:ascii="Arial" w:cs="Arial" w:eastAsia="Arial" w:hAnsi="Arial"/>
          <w:b w:val="false"/>
          <w:bCs w:val="false"/>
          <w:color w:val="444444"/>
          <w:sz w:val="22"/>
          <w:szCs w:val="22"/>
        </w:rPr>
        <w:t xml:space="preserve">This is one of the most important properties of the Settlement Engine. If both CCTP and Everclear are unavailable at the time LP payout is attempted, the funds do not move. They remain in the Tenet Settlement Vault. The order status moves to AWAITING_SETTLEMENT and stays there until routing resumes.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B" w:val="clear"/>
            <w:tcMar>
              <w:top w:type="dxa" w:w="120"/>
              <w:left w:type="dxa" w:w="200"/>
              <w:bottom w:type="dxa" w:w="120"/>
              <w:right w:type="dxa" w:w="200"/>
            </w:tcMar>
          </w:tcPr>
          <w:p>
            <w:r>
              <w:rPr>
                <w:rFonts w:ascii="Arial" w:cs="Arial" w:eastAsia="Arial" w:hAnsi="Arial"/>
                <w:b/>
                <w:bCs/>
                <w:color w:val="2E6DA4"/>
                <w:sz w:val="21"/>
                <w:szCs w:val="21"/>
              </w:rPr>
              <w:t xml:space="preserve">INVARIANT  </w:t>
            </w:r>
            <w:r>
              <w:rPr>
                <w:rFonts w:ascii="Arial" w:cs="Arial" w:eastAsia="Arial" w:hAnsi="Arial"/>
                <w:b w:val="false"/>
                <w:bCs w:val="false"/>
                <w:color w:val="444444"/>
                <w:sz w:val="21"/>
                <w:szCs w:val="21"/>
              </w:rPr>
              <w:t xml:space="preserve">Funds in the Tenet Settlement Vault never disappear. If routing fails, they wait. The LP will be paid. The question is only when, not whether.</w:t>
            </w:r>
          </w:p>
        </w:tc>
      </w:tr>
    </w:tbl>
    <w:p>
      <w:pPr>
        <w:spacing w:before="120" w:after="0"/>
      </w:pPr>
    </w:p>
    <w:p>
      <w:pPr>
        <w:spacing w:before="80" w:after="80"/>
      </w:pPr>
      <w:r>
        <w:rPr>
          <w:rFonts w:ascii="Arial" w:cs="Arial" w:eastAsia="Arial" w:hAnsi="Arial"/>
          <w:b w:val="false"/>
          <w:bCs w:val="false"/>
          <w:color w:val="444444"/>
          <w:sz w:val="22"/>
          <w:szCs w:val="22"/>
        </w:rPr>
        <w:t xml:space="preserve">This behaviour is contractually guaranteed to LPs under the Settlement Guarantee clause of the LP Liquidity Access Agreement. If settlement is delayed beyond the guaranteed window, Tenet pays interest on the delayed amount at SOFR + 2% per annum. The LP bears no loss — only a delayed receipt.</w:t>
      </w:r>
    </w:p>
    <w:p>
      <w:pPr>
        <w:pStyle w:val="Heading2"/>
        <w:spacing w:before="280" w:after="120"/>
      </w:pPr>
      <w:r>
        <w:rPr>
          <w:rFonts w:ascii="Arial" w:cs="Arial" w:eastAsia="Arial" w:hAnsi="Arial"/>
          <w:b/>
          <w:bCs/>
          <w:color w:val="1B3A5C"/>
          <w:sz w:val="26"/>
          <w:szCs w:val="26"/>
        </w:rPr>
        <w:t xml:space="preserve">7.1  SETTLEMENT_ROUTING_FAILURE Response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40"/>
              <w:bottom w:type="dxa" w:w="120"/>
              <w:right w:type="dxa" w:w="200"/>
            </w:tcMar>
          </w:tcPr>
          <w:p>
            <w:r>
              <w:rPr>
                <w:rFonts w:ascii="Courier New" w:cs="Courier New" w:eastAsia="Courier New" w:hAnsi="Courier New"/>
                <w:color w:val="1B3A5C"/>
                <w:sz w:val="19"/>
                <w:szCs w:val="19"/>
              </w:rPr>
              <w:t xml:space="preserve">IF CCTP.transfer() throws RoutingUnavailable:</w:t>
            </w:r>
            <w:r>
              <w:br/>
            </w:r>
            <w:r>
              <w:rPr>
                <w:rFonts w:ascii="Courier New" w:cs="Courier New" w:eastAsia="Courier New" w:hAnsi="Courier New"/>
                <w:color w:val="1B3A5C"/>
                <w:sz w:val="19"/>
                <w:szCs w:val="19"/>
              </w:rPr>
              <w:t xml:space="preserve">  AND Everclear.transfer() throws RoutingUnavailable:</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  → funds remain in TenetSettlementVault   ← never moved, never lost</w:t>
            </w:r>
            <w:r>
              <w:br/>
            </w:r>
            <w:r>
              <w:rPr>
                <w:rFonts w:ascii="Courier New" w:cs="Courier New" w:eastAsia="Courier New" w:hAnsi="Courier New"/>
                <w:color w:val="1B3A5C"/>
                <w:sz w:val="19"/>
                <w:szCs w:val="19"/>
              </w:rPr>
              <w:t xml:space="preserve">  → order stays in AWAITING_SETTLEMENT      ← ledger reflects correctly</w:t>
            </w:r>
            <w:r>
              <w:br/>
            </w:r>
            <w:r>
              <w:rPr>
                <w:rFonts w:ascii="Courier New" w:cs="Courier New" w:eastAsia="Courier New" w:hAnsi="Courier New"/>
                <w:color w:val="1B3A5C"/>
                <w:sz w:val="19"/>
                <w:szCs w:val="19"/>
              </w:rPr>
              <w:t xml:space="preserve">  → LP notified: routing temporarily unavailable</w:t>
            </w:r>
            <w:r>
              <w:br/>
            </w:r>
            <w:r>
              <w:rPr>
                <w:rFonts w:ascii="Courier New" w:cs="Courier New" w:eastAsia="Courier New" w:hAnsi="Courier New"/>
                <w:color w:val="1B3A5C"/>
                <w:sz w:val="19"/>
                <w:szCs w:val="19"/>
              </w:rPr>
              <w:t xml:space="preserve">  → ORCH writes SETTLEMENT_ROUTING_FAILURE event to ledger</w:t>
            </w:r>
            <w:r>
              <w:br/>
            </w:r>
            <w:r>
              <w:rPr>
                <w:rFonts w:ascii="Courier New" w:cs="Courier New" w:eastAsia="Courier New" w:hAnsi="Courier New"/>
                <w:color w:val="1B3A5C"/>
                <w:sz w:val="19"/>
                <w:szCs w:val="19"/>
              </w:rPr>
              <w:t xml:space="preserve">  → retry scheduler activated (see §7.2)</w:t>
            </w:r>
            <w:r>
              <w:br/>
            </w:r>
            <w:r>
              <w:rPr>
                <w:rFonts w:ascii="Courier New" w:cs="Courier New" w:eastAsia="Courier New" w:hAnsi="Courier New"/>
                <w:color w:val="1B3A5C"/>
                <w:sz w:val="19"/>
                <w:szCs w:val="19"/>
              </w:rPr>
              <w:t xml:space="preserve">  → interest accrual begins if delay exceeds guaranteed window</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The FI is NOT affected. FI delivery already completed.</w:t>
            </w:r>
            <w:r>
              <w:br/>
            </w:r>
            <w:r>
              <w:rPr>
                <w:rFonts w:ascii="Courier New" w:cs="Courier New" w:eastAsia="Courier New" w:hAnsi="Courier New"/>
                <w:color w:val="1B3A5C"/>
                <w:sz w:val="19"/>
                <w:szCs w:val="19"/>
              </w:rPr>
              <w:t xml:space="preserve">The FI's experience ended at DELIVERING → AWAITING_SETTLEMENT.</w:t>
            </w:r>
          </w:p>
        </w:tc>
      </w:tr>
    </w:tbl>
    <w:p>
      <w:pPr>
        <w:spacing w:before="120" w:after="0"/>
      </w:pPr>
    </w:p>
    <w:p>
      <w:pPr>
        <w:pStyle w:val="Heading2"/>
        <w:spacing w:before="280" w:after="120"/>
      </w:pPr>
      <w:r>
        <w:rPr>
          <w:rFonts w:ascii="Arial" w:cs="Arial" w:eastAsia="Arial" w:hAnsi="Arial"/>
          <w:b/>
          <w:bCs/>
          <w:color w:val="1B3A5C"/>
          <w:sz w:val="26"/>
          <w:szCs w:val="26"/>
        </w:rPr>
        <w:t xml:space="preserve">7.2  Retry Scheduler</w:t>
      </w:r>
    </w:p>
    <w:p>
      <w:pPr>
        <w:spacing w:before="80" w:after="80"/>
      </w:pPr>
      <w:r>
        <w:rPr>
          <w:rFonts w:ascii="Arial" w:cs="Arial" w:eastAsia="Arial" w:hAnsi="Arial"/>
          <w:b w:val="false"/>
          <w:bCs w:val="false"/>
          <w:color w:val="444444"/>
          <w:sz w:val="22"/>
          <w:szCs w:val="22"/>
        </w:rPr>
        <w:t xml:space="preserve">The Settlement Engine maintains a retry queue for failed routing attempts. When CCTP or Everclear becomes available again, the queue processes automatically. No manual intervention is required unless the retry queue has been accumulating for longer than 24 hours, at which point the Tenet admin portal escalates to manual review.</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Retry Window</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0–10 minutes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Automatic retry every 2 minutes. CCTP checked first, then Everclear.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10–60 minutes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Automatic retry every 10 minutes. LP notified at 10-minute mark.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1–24 hours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Automatic retry every 30 minutes. Interest accrual logged in ledger.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&gt; 24 hours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Escalate to manual review via Tenet admin portal. LP notified directly.</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A4F00" w:sz="8"/>
              <w:bottom w:val="single" w:color="CCCCCC" w:sz="1"/>
              <w:right w:val="single" w:color="CCCCCC" w:sz="1"/>
            </w:tcBorders>
            <w:shd w:fill="FFF8E6" w:val="clear"/>
            <w:tcMar>
              <w:top w:type="dxa" w:w="100"/>
              <w:left w:type="dxa" w:w="200"/>
              <w:bottom w:type="dxa" w:w="100"/>
              <w:right w:type="dxa" w:w="200"/>
            </w:tcMar>
          </w:tcPr>
          <w:p>
            <w:r>
              <w:rPr>
                <w:rFonts w:ascii="Arial" w:cs="Arial" w:eastAsia="Arial" w:hAnsi="Arial"/>
                <w:b w:val="false"/>
                <w:bCs w:val="false"/>
                <w:color w:val="444444"/>
                <w:sz w:val="21"/>
                <w:szCs w:val="21"/>
              </w:rPr>
              <w:t xml:space="preserve">Design rationale: The retry scheduler runs independently of the Orchestration Engine. It does not block new orders. New orders continue to process normally while historical AWAITING_SETTLEMENT orders retry in the background. The two flows are completely decoupled.</w:t>
            </w:r>
          </w:p>
        </w:tc>
      </w:tr>
    </w:tbl>
    <w:p>
      <w:pPr>
        <w:spacing w:before="160" w:after="0"/>
      </w:pPr>
    </w:p>
    <w:p>
      <w:pPr>
        <w:pStyle w:val="Heading1"/>
        <w:pBdr>
          <w:bottom w:val="single" w:color="2E6DA4" w:sz="4" w:space="4"/>
        </w:pBdr>
        <w:spacing w:before="400" w:after="160"/>
      </w:pPr>
      <w:r>
        <w:rPr>
          <w:rFonts w:ascii="Arial" w:cs="Arial" w:eastAsia="Arial" w:hAnsi="Arial"/>
          <w:b/>
          <w:bCs/>
          <w:color w:val="1B3A5C"/>
          <w:sz w:val="32"/>
          <w:szCs w:val="32"/>
        </w:rPr>
        <w:t xml:space="preserve">8.  Multi-LP Payout</w:t>
      </w:r>
    </w:p>
    <w:p>
      <w:pPr>
        <w:spacing w:before="80" w:after="80"/>
      </w:pPr>
      <w:r>
        <w:rPr>
          <w:rFonts w:ascii="Arial" w:cs="Arial" w:eastAsia="Arial" w:hAnsi="Arial"/>
          <w:b w:val="false"/>
          <w:bCs w:val="false"/>
          <w:color w:val="444444"/>
          <w:sz w:val="22"/>
          <w:szCs w:val="22"/>
        </w:rPr>
        <w:t xml:space="preserve">When an order was filled by multiple LPs (a split order), each LP receives a proportional share of the net payout. The share is calculated by each LP's contribution as a percentage of the total asset quantity delivered.</w:t>
      </w:r>
    </w:p>
    <w:p>
      <w:pPr>
        <w:pStyle w:val="Heading2"/>
        <w:spacing w:before="280" w:after="120"/>
      </w:pPr>
      <w:r>
        <w:rPr>
          <w:rFonts w:ascii="Arial" w:cs="Arial" w:eastAsia="Arial" w:hAnsi="Arial"/>
          <w:b/>
          <w:bCs/>
          <w:color w:val="1B3A5C"/>
          <w:sz w:val="26"/>
          <w:szCs w:val="26"/>
        </w:rPr>
        <w:t xml:space="preserve">8.1  Proportional Share Calculation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40"/>
              <w:bottom w:type="dxa" w:w="120"/>
              <w:right w:type="dxa" w:w="200"/>
            </w:tcMar>
          </w:tcPr>
          <w:p>
            <w:r>
              <w:rPr>
                <w:rFonts w:ascii="Courier New" w:cs="Courier New" w:eastAsia="Courier New" w:hAnsi="Courier New"/>
                <w:color w:val="1B3A5C"/>
                <w:sz w:val="19"/>
                <w:szCs w:val="19"/>
              </w:rPr>
              <w:t xml:space="preserve">totalQty   = sum(leg.qty for leg in fills)</w:t>
            </w:r>
            <w:r>
              <w:br/>
            </w:r>
            <w:r>
              <w:rPr>
                <w:rFonts w:ascii="Courier New" w:cs="Courier New" w:eastAsia="Courier New" w:hAnsi="Courier New"/>
                <w:color w:val="1B3A5C"/>
                <w:sz w:val="19"/>
                <w:szCs w:val="19"/>
              </w:rPr>
              <w:t xml:space="preserve">netToLP    = usdcAmount - tenetFee</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FOR each leg in fills:</w:t>
            </w:r>
            <w:r>
              <w:br/>
            </w:r>
            <w:r>
              <w:rPr>
                <w:rFonts w:ascii="Courier New" w:cs="Courier New" w:eastAsia="Courier New" w:hAnsi="Courier New"/>
                <w:color w:val="1B3A5C"/>
                <w:sz w:val="19"/>
                <w:szCs w:val="19"/>
              </w:rPr>
              <w:t xml:space="preserve">  leg.usdcShare = netToLP × (leg.qty / totalQty)</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Each LP receives leg.usdcShare on their native chain.</w:t>
            </w:r>
            <w:r>
              <w:br/>
            </w:r>
            <w:r>
              <w:rPr>
                <w:rFonts w:ascii="Courier New" w:cs="Courier New" w:eastAsia="Courier New" w:hAnsi="Courier New"/>
                <w:color w:val="1B3A5C"/>
                <w:sz w:val="19"/>
                <w:szCs w:val="19"/>
              </w:rPr>
              <w:t xml:space="preserve">Routing method selected per LP per the method selection logic in §6.1.</w:t>
            </w:r>
          </w:p>
        </w:tc>
      </w:tr>
    </w:tbl>
    <w:p>
      <w:pPr>
        <w:spacing w:before="120" w:after="0"/>
      </w:pPr>
    </w:p>
    <w:p>
      <w:pPr>
        <w:pStyle w:val="Heading2"/>
        <w:spacing w:before="280" w:after="120"/>
      </w:pPr>
      <w:r>
        <w:rPr>
          <w:rFonts w:ascii="Arial" w:cs="Arial" w:eastAsia="Arial" w:hAnsi="Arial"/>
          <w:b/>
          <w:bCs/>
          <w:color w:val="1B3A5C"/>
          <w:sz w:val="26"/>
          <w:szCs w:val="26"/>
        </w:rPr>
        <w:t xml:space="preserve">8.2  Each LP on Their Native Chain</w:t>
      </w:r>
    </w:p>
    <w:p>
      <w:pPr>
        <w:spacing w:before="80" w:after="80"/>
      </w:pPr>
      <w:r>
        <w:rPr>
          <w:rFonts w:ascii="Arial" w:cs="Arial" w:eastAsia="Arial" w:hAnsi="Arial"/>
          <w:b w:val="false"/>
          <w:bCs w:val="false"/>
          <w:color w:val="444444"/>
          <w:sz w:val="22"/>
          <w:szCs w:val="22"/>
        </w:rPr>
        <w:t xml:space="preserve">LPs are contractually guaranteed to receive settlement on their native chain — the chain specified in their LP Liquidity Access Agreement. The Settlement Engine never redirects settlement to an alternative chain without LP consent. This applies even in multi-LP splits: if three LPs filled an order and each is on a different chain, the Settlement Engine routes three separate payouts, each to the correct chain, using the correct method for each.</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40"/>
              <w:bottom w:type="dxa" w:w="120"/>
              <w:right w:type="dxa" w:w="200"/>
            </w:tcMar>
          </w:tcPr>
          <w:p>
            <w:r>
              <w:rPr>
                <w:rFonts w:ascii="Courier New" w:cs="Courier New" w:eastAsia="Courier New" w:hAnsi="Courier New"/>
                <w:color w:val="1B3A5C"/>
                <w:sz w:val="19"/>
                <w:szCs w:val="19"/>
              </w:rPr>
              <w:t xml:space="preserve">Example: 3-LP split order</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  Cumberland_SOL   → payout on SOL  via CCTP</w:t>
            </w:r>
            <w:r>
              <w:br/>
            </w:r>
            <w:r>
              <w:rPr>
                <w:rFonts w:ascii="Courier New" w:cs="Courier New" w:eastAsia="Courier New" w:hAnsi="Courier New"/>
                <w:color w:val="1B3A5C"/>
                <w:sz w:val="19"/>
                <w:szCs w:val="19"/>
              </w:rPr>
              <w:t xml:space="preserve">  Wintermute_ETH   → payout on ETH  via internal netting (if batch)</w:t>
            </w:r>
            <w:r>
              <w:br/>
            </w:r>
            <w:r>
              <w:rPr>
                <w:rFonts w:ascii="Courier New" w:cs="Courier New" w:eastAsia="Courier New" w:hAnsi="Courier New"/>
                <w:color w:val="1B3A5C"/>
                <w:sz w:val="19"/>
                <w:szCs w:val="19"/>
              </w:rPr>
              <w:t xml:space="preserve">  Galaxy_ARB       → payout on ARB  via CCTP</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Three separate routing actions. Three separate confirmations.</w:t>
            </w:r>
            <w:r>
              <w:br/>
            </w:r>
            <w:r>
              <w:rPr>
                <w:rFonts w:ascii="Courier New" w:cs="Courier New" w:eastAsia="Courier New" w:hAnsi="Courier New"/>
                <w:color w:val="1B3A5C"/>
                <w:sz w:val="19"/>
                <w:szCs w:val="19"/>
              </w:rPr>
              <w:t xml:space="preserve">Order is only COMPLETED when all three LP payouts confirm.</w:t>
            </w:r>
          </w:p>
        </w:tc>
      </w:tr>
    </w:tbl>
    <w:p>
      <w:pPr>
        <w:spacing w:before="160" w:after="0"/>
      </w:pPr>
    </w:p>
    <w:p>
      <w:pPr>
        <w:pStyle w:val="Heading1"/>
        <w:pBdr>
          <w:bottom w:val="single" w:color="2E6DA4" w:sz="4" w:space="4"/>
        </w:pBdr>
        <w:spacing w:before="400" w:after="160"/>
      </w:pPr>
      <w:r>
        <w:rPr>
          <w:rFonts w:ascii="Arial" w:cs="Arial" w:eastAsia="Arial" w:hAnsi="Arial"/>
          <w:b/>
          <w:bCs/>
          <w:color w:val="1B3A5C"/>
          <w:sz w:val="32"/>
          <w:szCs w:val="32"/>
        </w:rPr>
        <w:t xml:space="preserve">9.  Settlement Guarantee Windows</w:t>
      </w:r>
    </w:p>
    <w:p>
      <w:pPr>
        <w:spacing w:before="80" w:after="80"/>
      </w:pPr>
      <w:r>
        <w:rPr>
          <w:rFonts w:ascii="Arial" w:cs="Arial" w:eastAsia="Arial" w:hAnsi="Arial"/>
          <w:b w:val="false"/>
          <w:bCs w:val="false"/>
          <w:color w:val="444444"/>
          <w:sz w:val="22"/>
          <w:szCs w:val="22"/>
        </w:rPr>
        <w:t xml:space="preserve">The LP Liquidity Access Agreement specifies guaranteed settlement windows per routing method. If Tenet fails to settle within these windows, it pays SOFR + 2% per annum on the delayed amount, accruing from the moment the window expires. These are contractual obligations, not best-efforts targets.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Routing Method</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Guaranteed Settlement Window</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CCTP</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Within 10 minutes of order COMPLETED state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Internal netting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Within 1 business day of order COMPLETED state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Everclear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Within Everclear's confirmed protocol window (variable, disclosed at routing 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Routing failure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Funds held in Tenet Settlement Vault. Interest at SOFR + 2% per annum from window expiry.</w:t>
            </w:r>
          </w:p>
        </w:tc>
      </w:tr>
    </w:tbl>
    <w:p>
      <w:pPr>
        <w:spacing w:before="120" w:after="0"/>
      </w:pPr>
    </w:p>
    <w:p>
      <w:pPr>
        <w:spacing w:before="80" w:after="80"/>
      </w:pPr>
      <w:r>
        <w:rPr>
          <w:rFonts w:ascii="Arial" w:cs="Arial" w:eastAsia="Arial" w:hAnsi="Arial"/>
          <w:b w:val="false"/>
          <w:bCs w:val="false"/>
          <w:color w:val="444444"/>
          <w:sz w:val="22"/>
          <w:szCs w:val="22"/>
        </w:rPr>
        <w:t xml:space="preserve">The Settlement Engine logs every guarantee window start and every settlement confirmation to the clearing ledger via Orchestration. This creates an auditable record of whether each guarantee was met. If interest becomes payable, the calculation is deterministic from the ledger record.</w:t>
      </w:r>
    </w:p>
    <w:p>
      <w:pPr>
        <w:spacing w:before="160" w:after="0"/>
      </w:pPr>
    </w:p>
    <w:p>
      <w:pPr>
        <w:pStyle w:val="Heading1"/>
        <w:pBdr>
          <w:bottom w:val="single" w:color="2E6DA4" w:sz="4" w:space="4"/>
        </w:pBdr>
        <w:spacing w:before="400" w:after="160"/>
      </w:pPr>
      <w:r>
        <w:rPr>
          <w:rFonts w:ascii="Arial" w:cs="Arial" w:eastAsia="Arial" w:hAnsi="Arial"/>
          <w:b/>
          <w:bCs/>
          <w:color w:val="1B3A5C"/>
          <w:sz w:val="32"/>
          <w:szCs w:val="32"/>
        </w:rPr>
        <w:t xml:space="preserve">10.  Inputs &amp; Outputs</w:t>
      </w:r>
    </w:p>
    <w:p>
      <w:pPr>
        <w:pStyle w:val="Heading2"/>
        <w:spacing w:before="280" w:after="120"/>
      </w:pPr>
      <w:r>
        <w:rPr>
          <w:rFonts w:ascii="Arial" w:cs="Arial" w:eastAsia="Arial" w:hAnsi="Arial"/>
          <w:b/>
          <w:bCs/>
          <w:color w:val="1B3A5C"/>
          <w:sz w:val="26"/>
          <w:szCs w:val="26"/>
        </w:rPr>
        <w:t xml:space="preserve">10.1  extractSettlement() — Input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 / Description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orderId</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string — unique order identifier for ledger event writes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tenetAddress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string — FI Tenet address only. Vault derived internally from FI_REGISTRY.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settlementTotal</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number — usdcAmount + tenetFee. Full amount extracted from FI vault.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tenetFee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number — pre-calculated fee. Never recalculated by Settlement Engine.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orch</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IOrchestration — callback interface to Orchestration Engine</w:t>
            </w:r>
          </w:p>
        </w:tc>
      </w:tr>
    </w:tbl>
    <w:p>
      <w:pPr>
        <w:spacing w:before="120" w:after="0"/>
      </w:pPr>
    </w:p>
    <w:p>
      <w:pPr>
        <w:pStyle w:val="Heading2"/>
        <w:spacing w:before="280" w:after="120"/>
      </w:pPr>
      <w:r>
        <w:rPr>
          <w:rFonts w:ascii="Arial" w:cs="Arial" w:eastAsia="Arial" w:hAnsi="Arial"/>
          <w:b/>
          <w:bCs/>
          <w:color w:val="1B3A5C"/>
          <w:sz w:val="26"/>
          <w:szCs w:val="26"/>
        </w:rPr>
        <w:t xml:space="preserve">10.2  routeLPPayout() — Input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 / Description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orderId</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string — unique order identifier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fills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FillLeg[] — LP fill plan from Execution Engine. Used to calculate proportional shares.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usdcAmount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number — original FI spend amount. Net payout = usdcAmount - tenetFee.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tenetFee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number — retained by Tenet. Deducted from TenetSettlementVault before routing.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orch</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IOrchestration — callback interface to Orchestration Engine</w:t>
            </w:r>
          </w:p>
        </w:tc>
      </w:tr>
    </w:tbl>
    <w:p>
      <w:pPr>
        <w:spacing w:before="120" w:after="0"/>
      </w:pPr>
    </w:p>
    <w:p>
      <w:pPr>
        <w:pStyle w:val="Heading2"/>
        <w:spacing w:before="280" w:after="120"/>
      </w:pPr>
      <w:r>
        <w:rPr>
          <w:rFonts w:ascii="Arial" w:cs="Arial" w:eastAsia="Arial" w:hAnsi="Arial"/>
          <w:b/>
          <w:bCs/>
          <w:color w:val="1B3A5C"/>
          <w:sz w:val="26"/>
          <w:szCs w:val="26"/>
        </w:rPr>
        <w:t xml:space="preserve">10.3  Callbacks into Orchestration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40"/>
              <w:bottom w:type="dxa" w:w="120"/>
              <w:right w:type="dxa" w:w="200"/>
            </w:tcMar>
          </w:tcPr>
          <w:p>
            <w:r>
              <w:rPr>
                <w:rFonts w:ascii="Courier New" w:cs="Courier New" w:eastAsia="Courier New" w:hAnsi="Courier New"/>
                <w:color w:val="1B3A5C"/>
                <w:sz w:val="19"/>
                <w:szCs w:val="19"/>
              </w:rPr>
              <w:t xml:space="preserve">// Called when FI vault extraction is confirmed on-chain.</w:t>
            </w:r>
            <w:r>
              <w:br/>
            </w:r>
            <w:r>
              <w:rPr>
                <w:rFonts w:ascii="Courier New" w:cs="Courier New" w:eastAsia="Courier New" w:hAnsi="Courier New"/>
                <w:color w:val="1B3A5C"/>
                <w:sz w:val="19"/>
                <w:szCs w:val="19"/>
              </w:rPr>
              <w:t xml:space="preserve">// order.settlExtractTx must be set before this fires.</w:t>
            </w:r>
            <w:r>
              <w:br/>
            </w:r>
            <w:r>
              <w:rPr>
                <w:rFonts w:ascii="Courier New" w:cs="Courier New" w:eastAsia="Courier New" w:hAnsi="Courier New"/>
                <w:color w:val="1B3A5C"/>
                <w:sz w:val="19"/>
                <w:szCs w:val="19"/>
              </w:rPr>
              <w:t xml:space="preserve">orchestration._onSettlementExtracted(orderId: string) → void</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 Called when LP payout is confirmed on all LP native chains.</w:t>
            </w:r>
            <w:r>
              <w:br/>
            </w:r>
            <w:r>
              <w:rPr>
                <w:rFonts w:ascii="Courier New" w:cs="Courier New" w:eastAsia="Courier New" w:hAnsi="Courier New"/>
                <w:color w:val="1B3A5C"/>
                <w:sz w:val="19"/>
                <w:szCs w:val="19"/>
              </w:rPr>
              <w:t xml:space="preserve">// order.settlTx must be set before this fires.</w:t>
            </w:r>
            <w:r>
              <w:br/>
            </w:r>
            <w:r>
              <w:rPr>
                <w:rFonts w:ascii="Courier New" w:cs="Courier New" w:eastAsia="Courier New" w:hAnsi="Courier New"/>
                <w:color w:val="1B3A5C"/>
                <w:sz w:val="19"/>
                <w:szCs w:val="19"/>
              </w:rPr>
              <w:t xml:space="preserve">orchestration._onLPPayoutConfirmed(orderId: string) → void</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 Called on unrecoverable settlement failure.</w:t>
            </w:r>
            <w:r>
              <w:br/>
            </w:r>
            <w:r>
              <w:rPr>
                <w:rFonts w:ascii="Courier New" w:cs="Courier New" w:eastAsia="Courier New" w:hAnsi="Courier New"/>
                <w:color w:val="1B3A5C"/>
                <w:sz w:val="19"/>
                <w:szCs w:val="19"/>
              </w:rPr>
              <w:t xml:space="preserve">// Triggers SETTLEMENT_ROUTING_FAILURE handling in ORCH.</w:t>
            </w:r>
            <w:r>
              <w:br/>
            </w:r>
            <w:r>
              <w:rPr>
                <w:rFonts w:ascii="Courier New" w:cs="Courier New" w:eastAsia="Courier New" w:hAnsi="Courier New"/>
                <w:color w:val="1B3A5C"/>
                <w:sz w:val="19"/>
                <w:szCs w:val="19"/>
              </w:rPr>
              <w:t xml:space="preserve">orchestration._onSettlementFailed(orderId: string, reason: string) → void</w:t>
            </w:r>
          </w:p>
        </w:tc>
      </w:tr>
    </w:tbl>
    <w:p>
      <w:pPr>
        <w:spacing w:before="160" w:after="0"/>
      </w:pPr>
    </w:p>
    <w:p>
      <w:pPr>
        <w:pStyle w:val="Heading1"/>
        <w:pBdr>
          <w:bottom w:val="single" w:color="2E6DA4" w:sz="4" w:space="4"/>
        </w:pBdr>
        <w:spacing w:before="400" w:after="160"/>
      </w:pPr>
      <w:r>
        <w:rPr>
          <w:rFonts w:ascii="Arial" w:cs="Arial" w:eastAsia="Arial" w:hAnsi="Arial"/>
          <w:b/>
          <w:bCs/>
          <w:color w:val="1B3A5C"/>
          <w:sz w:val="32"/>
          <w:szCs w:val="32"/>
        </w:rPr>
        <w:t xml:space="preserve">11.  Worked Example — Full Settlement Flow</w:t>
      </w:r>
    </w:p>
    <w:p>
      <w:pPr>
        <w:spacing w:before="80" w:after="80"/>
      </w:pPr>
      <w:r>
        <w:rPr>
          <w:rFonts w:ascii="Arial" w:cs="Arial" w:eastAsia="Arial" w:hAnsi="Arial"/>
          <w:b w:val="false"/>
          <w:bCs w:val="false"/>
          <w:color w:val="444444"/>
          <w:sz w:val="22"/>
          <w:szCs w:val="22"/>
        </w:rPr>
        <w:t xml:space="preserve">The following example traces a 3-LP split order through the complete settlement lifecycle with real numbers.</w:t>
      </w:r>
    </w:p>
    <w:p>
      <w:pPr>
        <w:pStyle w:val="Heading2"/>
        <w:spacing w:before="280" w:after="120"/>
      </w:pPr>
      <w:r>
        <w:rPr>
          <w:rFonts w:ascii="Arial" w:cs="Arial" w:eastAsia="Arial" w:hAnsi="Arial"/>
          <w:b/>
          <w:bCs/>
          <w:color w:val="1B3A5C"/>
          <w:sz w:val="26"/>
          <w:szCs w:val="26"/>
        </w:rPr>
        <w:t xml:space="preserve">11.1  Order Context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40"/>
              <w:bottom w:type="dxa" w:w="120"/>
              <w:right w:type="dxa" w:w="200"/>
            </w:tcMar>
          </w:tcPr>
          <w:p>
            <w:r>
              <w:rPr>
                <w:rFonts w:ascii="Courier New" w:cs="Courier New" w:eastAsia="Courier New" w:hAnsi="Courier New"/>
                <w:color w:val="1B3A5C"/>
                <w:sz w:val="19"/>
                <w:szCs w:val="19"/>
              </w:rPr>
              <w:t xml:space="preserve">FI:            GoldmanSachs_x800</w:t>
            </w:r>
            <w:r>
              <w:br/>
            </w:r>
            <w:r>
              <w:rPr>
                <w:rFonts w:ascii="Courier New" w:cs="Courier New" w:eastAsia="Courier New" w:hAnsi="Courier New"/>
                <w:color w:val="1B3A5C"/>
                <w:sz w:val="19"/>
                <w:szCs w:val="19"/>
              </w:rPr>
              <w:t xml:space="preserve">Asset:         ETH on SOL</w:t>
            </w:r>
            <w:r>
              <w:br/>
            </w:r>
            <w:r>
              <w:rPr>
                <w:rFonts w:ascii="Courier New" w:cs="Courier New" w:eastAsia="Courier New" w:hAnsi="Courier New"/>
                <w:color w:val="1B3A5C"/>
                <w:sz w:val="19"/>
                <w:szCs w:val="19"/>
              </w:rPr>
              <w:t xml:space="preserve">USDC amount:   $50,000,000</w:t>
            </w:r>
            <w:r>
              <w:br/>
            </w:r>
            <w:r>
              <w:rPr>
                <w:rFonts w:ascii="Courier New" w:cs="Courier New" w:eastAsia="Courier New" w:hAnsi="Courier New"/>
                <w:color w:val="1B3A5C"/>
                <w:sz w:val="19"/>
                <w:szCs w:val="19"/>
              </w:rPr>
              <w:t xml:space="preserve">Tenet fee:     $50,000  (10bps)</w:t>
            </w:r>
            <w:r>
              <w:br/>
            </w:r>
            <w:r>
              <w:rPr>
                <w:rFonts w:ascii="Courier New" w:cs="Courier New" w:eastAsia="Courier New" w:hAnsi="Courier New"/>
                <w:color w:val="1B3A5C"/>
                <w:sz w:val="19"/>
                <w:szCs w:val="19"/>
              </w:rPr>
              <w:t xml:space="preserve">Vault extract: $50,050,000  (amount + fee)</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Fill plan (from Execution Engine):</w:t>
            </w:r>
            <w:r>
              <w:br/>
            </w:r>
            <w:r>
              <w:rPr>
                <w:rFonts w:ascii="Courier New" w:cs="Courier New" w:eastAsia="Courier New" w:hAnsi="Courier New"/>
                <w:color w:val="1B3A5C"/>
                <w:sz w:val="19"/>
                <w:szCs w:val="19"/>
              </w:rPr>
              <w:t xml:space="preserve">  Leg 1: Cumberland_SOL   4,094 ETH   27.2%</w:t>
            </w:r>
            <w:r>
              <w:br/>
            </w:r>
            <w:r>
              <w:rPr>
                <w:rFonts w:ascii="Courier New" w:cs="Courier New" w:eastAsia="Courier New" w:hAnsi="Courier New"/>
                <w:color w:val="1B3A5C"/>
                <w:sz w:val="19"/>
                <w:szCs w:val="19"/>
              </w:rPr>
              <w:t xml:space="preserve">  Leg 2: Wintermute_SOL   5,776 ETH   38.3%</w:t>
            </w:r>
            <w:r>
              <w:br/>
            </w:r>
            <w:r>
              <w:rPr>
                <w:rFonts w:ascii="Courier New" w:cs="Courier New" w:eastAsia="Courier New" w:hAnsi="Courier New"/>
                <w:color w:val="1B3A5C"/>
                <w:sz w:val="19"/>
                <w:szCs w:val="19"/>
              </w:rPr>
              <w:t xml:space="preserve">  Leg 3: Galaxy_SOL       5,130 ETH   34.0%</w:t>
            </w:r>
            <w:r>
              <w:br/>
            </w:r>
            <w:r>
              <w:rPr>
                <w:rFonts w:ascii="Courier New" w:cs="Courier New" w:eastAsia="Courier New" w:hAnsi="Courier New"/>
                <w:color w:val="1B3A5C"/>
                <w:sz w:val="19"/>
                <w:szCs w:val="19"/>
              </w:rPr>
              <w:t xml:space="preserve">  Leg 4: Amber_SOL           68 ETH    0.5%  (residual)</w:t>
            </w:r>
            <w:r>
              <w:br/>
            </w:r>
            <w:r>
              <w:rPr>
                <w:rFonts w:ascii="Courier New" w:cs="Courier New" w:eastAsia="Courier New" w:hAnsi="Courier New"/>
                <w:color w:val="1B3A5C"/>
                <w:sz w:val="19"/>
                <w:szCs w:val="19"/>
              </w:rPr>
              <w:t xml:space="preserve">  Total: 15,068 ETH</w:t>
            </w:r>
          </w:p>
        </w:tc>
      </w:tr>
    </w:tbl>
    <w:p>
      <w:pPr>
        <w:spacing w:before="120" w:after="0"/>
      </w:pPr>
    </w:p>
    <w:p>
      <w:pPr>
        <w:pStyle w:val="Heading2"/>
        <w:spacing w:before="280" w:after="120"/>
      </w:pPr>
      <w:r>
        <w:rPr>
          <w:rFonts w:ascii="Arial" w:cs="Arial" w:eastAsia="Arial" w:hAnsi="Arial"/>
          <w:b/>
          <w:bCs/>
          <w:color w:val="1B3A5C"/>
          <w:sz w:val="26"/>
          <w:szCs w:val="26"/>
        </w:rPr>
        <w:t xml:space="preserve">11.2  Moment 1 — Extraction (fires with delivery)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40"/>
              <w:bottom w:type="dxa" w:w="120"/>
              <w:right w:type="dxa" w:w="200"/>
            </w:tcMar>
          </w:tcPr>
          <w:p>
            <w:r>
              <w:rPr>
                <w:rFonts w:ascii="Courier New" w:cs="Courier New" w:eastAsia="Courier New" w:hAnsi="Courier New"/>
                <w:color w:val="1B3A5C"/>
                <w:sz w:val="19"/>
                <w:szCs w:val="19"/>
              </w:rPr>
              <w:t xml:space="preserve">extractSettlement(</w:t>
            </w:r>
            <w:r>
              <w:br/>
            </w:r>
            <w:r>
              <w:rPr>
                <w:rFonts w:ascii="Courier New" w:cs="Courier New" w:eastAsia="Courier New" w:hAnsi="Courier New"/>
                <w:color w:val="1B3A5C"/>
                <w:sz w:val="19"/>
                <w:szCs w:val="19"/>
              </w:rPr>
              <w:t xml:space="preserve">  orderId:         "ORD_93847592",</w:t>
            </w:r>
            <w:r>
              <w:br/>
            </w:r>
            <w:r>
              <w:rPr>
                <w:rFonts w:ascii="Courier New" w:cs="Courier New" w:eastAsia="Courier New" w:hAnsi="Courier New"/>
                <w:color w:val="1B3A5C"/>
                <w:sz w:val="19"/>
                <w:szCs w:val="19"/>
              </w:rPr>
              <w:t xml:space="preserve">  tenetAddress:    "GoldmanSachs_x800",</w:t>
            </w:r>
            <w:r>
              <w:br/>
            </w:r>
            <w:r>
              <w:rPr>
                <w:rFonts w:ascii="Courier New" w:cs="Courier New" w:eastAsia="Courier New" w:hAnsi="Courier New"/>
                <w:color w:val="1B3A5C"/>
                <w:sz w:val="19"/>
                <w:szCs w:val="19"/>
              </w:rPr>
              <w:t xml:space="preserve">  settlementTotal: 50,050,000,</w:t>
            </w:r>
            <w:r>
              <w:br/>
            </w:r>
            <w:r>
              <w:rPr>
                <w:rFonts w:ascii="Courier New" w:cs="Courier New" w:eastAsia="Courier New" w:hAnsi="Courier New"/>
                <w:color w:val="1B3A5C"/>
                <w:sz w:val="19"/>
                <w:szCs w:val="19"/>
              </w:rPr>
              <w:t xml:space="preserve">  tenetFee:        50,000,</w:t>
            </w:r>
            <w:r>
              <w:br/>
            </w:r>
            <w:r>
              <w:rPr>
                <w:rFonts w:ascii="Courier New" w:cs="Courier New" w:eastAsia="Courier New" w:hAnsi="Courier New"/>
                <w:color w:val="1B3A5C"/>
                <w:sz w:val="19"/>
                <w:szCs w:val="19"/>
              </w:rPr>
              <w:t xml:space="preserve">)</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Internal derivation:</w:t>
            </w:r>
            <w:r>
              <w:br/>
            </w:r>
            <w:r>
              <w:rPr>
                <w:rFonts w:ascii="Courier New" w:cs="Courier New" w:eastAsia="Courier New" w:hAnsi="Courier New"/>
                <w:color w:val="1B3A5C"/>
                <w:sz w:val="19"/>
                <w:szCs w:val="19"/>
              </w:rPr>
              <w:t xml:space="preserve">  fi.vault = "GoldmanSettlementVault"</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VaultProvider.cosignTransfer(</w:t>
            </w:r>
            <w:r>
              <w:br/>
            </w:r>
            <w:r>
              <w:rPr>
                <w:rFonts w:ascii="Courier New" w:cs="Courier New" w:eastAsia="Courier New" w:hAnsi="Courier New"/>
                <w:color w:val="1B3A5C"/>
                <w:sz w:val="19"/>
                <w:szCs w:val="19"/>
              </w:rPr>
              <w:t xml:space="preserve">  "GoldmanSettlementVault" → "TenetSettlementVault"</w:t>
            </w:r>
            <w:r>
              <w:br/>
            </w:r>
            <w:r>
              <w:rPr>
                <w:rFonts w:ascii="Courier New" w:cs="Courier New" w:eastAsia="Courier New" w:hAnsi="Courier New"/>
                <w:color w:val="1B3A5C"/>
                <w:sz w:val="19"/>
                <w:szCs w:val="19"/>
              </w:rPr>
              <w:t xml:space="preserve">  $50,050,000 USDC</w:t>
            </w:r>
            <w:r>
              <w:br/>
            </w:r>
            <w:r>
              <w:rPr>
                <w:rFonts w:ascii="Courier New" w:cs="Courier New" w:eastAsia="Courier New" w:hAnsi="Courier New"/>
                <w:color w:val="1B3A5C"/>
                <w:sz w:val="19"/>
                <w:szCs w:val="19"/>
              </w:rPr>
              <w:t xml:space="preserve">)</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TenetSettlementVault balance: +$50,050,000</w:t>
            </w:r>
            <w:r>
              <w:br/>
            </w:r>
            <w:r>
              <w:rPr>
                <w:rFonts w:ascii="Courier New" w:cs="Courier New" w:eastAsia="Courier New" w:hAnsi="Courier New"/>
                <w:color w:val="1B3A5C"/>
                <w:sz w:val="19"/>
                <w:szCs w:val="19"/>
              </w:rPr>
              <w:t xml:space="preserve">GoldmanSettlementVault balance: -$50,050,000</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settlExtractTx: 0x4a9f...b812  ← logged to ledger via ORCH</w:t>
            </w:r>
            <w:r>
              <w:br/>
            </w:r>
            <w:r>
              <w:rPr>
                <w:rFonts w:ascii="Courier New" w:cs="Courier New" w:eastAsia="Courier New" w:hAnsi="Courier New"/>
                <w:color w:val="1B3A5C"/>
                <w:sz w:val="19"/>
                <w:szCs w:val="19"/>
              </w:rPr>
              <w:t xml:space="preserve">Callback: ORCH._onSettlementExtracted("ORD_93847592")</w:t>
            </w:r>
          </w:p>
        </w:tc>
      </w:tr>
    </w:tbl>
    <w:p>
      <w:pPr>
        <w:spacing w:before="120" w:after="0"/>
      </w:pPr>
    </w:p>
    <w:p>
      <w:pPr>
        <w:pStyle w:val="Heading2"/>
        <w:spacing w:before="280" w:after="120"/>
      </w:pPr>
      <w:r>
        <w:rPr>
          <w:rFonts w:ascii="Arial" w:cs="Arial" w:eastAsia="Arial" w:hAnsi="Arial"/>
          <w:b/>
          <w:bCs/>
          <w:color w:val="1B3A5C"/>
          <w:sz w:val="26"/>
          <w:szCs w:val="26"/>
        </w:rPr>
        <w:t xml:space="preserve">11.3  Moment 2 — LP Payout Routing</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40"/>
              <w:bottom w:type="dxa" w:w="120"/>
              <w:right w:type="dxa" w:w="200"/>
            </w:tcMar>
          </w:tcPr>
          <w:p>
            <w:r>
              <w:rPr>
                <w:rFonts w:ascii="Courier New" w:cs="Courier New" w:eastAsia="Courier New" w:hAnsi="Courier New"/>
                <w:color w:val="1B3A5C"/>
                <w:sz w:val="19"/>
                <w:szCs w:val="19"/>
              </w:rPr>
              <w:t xml:space="preserve">routeLPPayout(</w:t>
            </w:r>
            <w:r>
              <w:br/>
            </w:r>
            <w:r>
              <w:rPr>
                <w:rFonts w:ascii="Courier New" w:cs="Courier New" w:eastAsia="Courier New" w:hAnsi="Courier New"/>
                <w:color w:val="1B3A5C"/>
                <w:sz w:val="19"/>
                <w:szCs w:val="19"/>
              </w:rPr>
              <w:t xml:space="preserve">  fills:      [Cumberland_SOL 27.2%, Wintermute_SOL 38.3%,</w:t>
            </w:r>
            <w:r>
              <w:br/>
            </w:r>
            <w:r>
              <w:rPr>
                <w:rFonts w:ascii="Courier New" w:cs="Courier New" w:eastAsia="Courier New" w:hAnsi="Courier New"/>
                <w:color w:val="1B3A5C"/>
                <w:sz w:val="19"/>
                <w:szCs w:val="19"/>
              </w:rPr>
              <w:t xml:space="preserve">               Galaxy_SOL 34.0%, Amber_SOL 0.5%],</w:t>
            </w:r>
            <w:r>
              <w:br/>
            </w:r>
            <w:r>
              <w:rPr>
                <w:rFonts w:ascii="Courier New" w:cs="Courier New" w:eastAsia="Courier New" w:hAnsi="Courier New"/>
                <w:color w:val="1B3A5C"/>
                <w:sz w:val="19"/>
                <w:szCs w:val="19"/>
              </w:rPr>
              <w:t xml:space="preserve">  usdcAmount: 50,000,000,</w:t>
            </w:r>
            <w:r>
              <w:br/>
            </w:r>
            <w:r>
              <w:rPr>
                <w:rFonts w:ascii="Courier New" w:cs="Courier New" w:eastAsia="Courier New" w:hAnsi="Courier New"/>
                <w:color w:val="1B3A5C"/>
                <w:sz w:val="19"/>
                <w:szCs w:val="19"/>
              </w:rPr>
              <w:t xml:space="preserve">  tenetFee:   50,000,</w:t>
            </w:r>
            <w:r>
              <w:br/>
            </w:r>
            <w:r>
              <w:rPr>
                <w:rFonts w:ascii="Courier New" w:cs="Courier New" w:eastAsia="Courier New" w:hAnsi="Courier New"/>
                <w:color w:val="1B3A5C"/>
                <w:sz w:val="19"/>
                <w:szCs w:val="19"/>
              </w:rPr>
              <w:t xml:space="preserve">)</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Step 1: Deduct Tenet fee</w:t>
            </w:r>
            <w:r>
              <w:br/>
            </w:r>
            <w:r>
              <w:rPr>
                <w:rFonts w:ascii="Courier New" w:cs="Courier New" w:eastAsia="Courier New" w:hAnsi="Courier New"/>
                <w:color w:val="1B3A5C"/>
                <w:sz w:val="19"/>
                <w:szCs w:val="19"/>
              </w:rPr>
              <w:t xml:space="preserve">  TenetSettlementVault balance: $50,050,000 - $50,000 = $50,000,000</w:t>
            </w:r>
            <w:r>
              <w:br/>
            </w:r>
            <w:r>
              <w:rPr>
                <w:rFonts w:ascii="Courier New" w:cs="Courier New" w:eastAsia="Courier New" w:hAnsi="Courier New"/>
                <w:color w:val="1B3A5C"/>
                <w:sz w:val="19"/>
                <w:szCs w:val="19"/>
              </w:rPr>
              <w:t xml:space="preserve">  Tenet retains: $50,000 (proprietary capital)</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Step 2: Calculate LP shares</w:t>
            </w:r>
            <w:r>
              <w:br/>
            </w:r>
            <w:r>
              <w:rPr>
                <w:rFonts w:ascii="Courier New" w:cs="Courier New" w:eastAsia="Courier New" w:hAnsi="Courier New"/>
                <w:color w:val="1B3A5C"/>
                <w:sz w:val="19"/>
                <w:szCs w:val="19"/>
              </w:rPr>
              <w:t xml:space="preserve">  netToLP    = $50,000,000</w:t>
            </w:r>
            <w:r>
              <w:br/>
            </w:r>
            <w:r>
              <w:rPr>
                <w:rFonts w:ascii="Courier New" w:cs="Courier New" w:eastAsia="Courier New" w:hAnsi="Courier New"/>
                <w:color w:val="1B3A5C"/>
                <w:sz w:val="19"/>
                <w:szCs w:val="19"/>
              </w:rPr>
              <w:t xml:space="preserve">  totalQty   = 15,068 ETH</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  Cumberland_SOL:  $50,000,000 × (4,094/15,068) = $13,582,785</w:t>
            </w:r>
            <w:r>
              <w:br/>
            </w:r>
            <w:r>
              <w:rPr>
                <w:rFonts w:ascii="Courier New" w:cs="Courier New" w:eastAsia="Courier New" w:hAnsi="Courier New"/>
                <w:color w:val="1B3A5C"/>
                <w:sz w:val="19"/>
                <w:szCs w:val="19"/>
              </w:rPr>
              <w:t xml:space="preserve">  Wintermute_SOL:  $50,000,000 × (5,776/15,068) = $19,163,455</w:t>
            </w:r>
            <w:r>
              <w:br/>
            </w:r>
            <w:r>
              <w:rPr>
                <w:rFonts w:ascii="Courier New" w:cs="Courier New" w:eastAsia="Courier New" w:hAnsi="Courier New"/>
                <w:color w:val="1B3A5C"/>
                <w:sz w:val="19"/>
                <w:szCs w:val="19"/>
              </w:rPr>
              <w:t xml:space="preserve">  Galaxy_SOL:      $50,000,000 × (5,130/15,068) = $17,021,167</w:t>
            </w:r>
            <w:r>
              <w:br/>
            </w:r>
            <w:r>
              <w:rPr>
                <w:rFonts w:ascii="Courier New" w:cs="Courier New" w:eastAsia="Courier New" w:hAnsi="Courier New"/>
                <w:color w:val="1B3A5C"/>
                <w:sz w:val="19"/>
                <w:szCs w:val="19"/>
              </w:rPr>
              <w:t xml:space="preserve">  Amber_SOL:       $50,000,000 × (   68/15,068) =    $232,593</w:t>
            </w:r>
            <w:r>
              <w:br/>
            </w:r>
            <w:r>
              <w:rPr>
                <w:rFonts w:ascii="Courier New" w:cs="Courier New" w:eastAsia="Courier New" w:hAnsi="Courier New"/>
                <w:color w:val="1B3A5C"/>
                <w:sz w:val="19"/>
                <w:szCs w:val="19"/>
              </w:rPr>
              <w:t xml:space="preserve">  Total:           $50,000,000  ✓</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Step 3: Select routing method per LP</w:t>
            </w:r>
            <w:r>
              <w:br/>
            </w:r>
            <w:r>
              <w:rPr>
                <w:rFonts w:ascii="Courier New" w:cs="Courier New" w:eastAsia="Courier New" w:hAnsi="Courier New"/>
                <w:color w:val="1B3A5C"/>
                <w:sz w:val="19"/>
                <w:szCs w:val="19"/>
              </w:rPr>
              <w:t xml:space="preserve">  All four LPs: chain = SOL, asset = USDC</w:t>
            </w:r>
            <w:r>
              <w:br/>
            </w:r>
            <w:r>
              <w:rPr>
                <w:rFonts w:ascii="Courier New" w:cs="Courier New" w:eastAsia="Courier New" w:hAnsi="Courier New"/>
                <w:color w:val="1B3A5C"/>
                <w:sz w:val="19"/>
                <w:szCs w:val="19"/>
              </w:rPr>
              <w:t xml:space="preserve">  CCTP check: SOL is CCTP-supported ✓</w:t>
            </w:r>
            <w:r>
              <w:br/>
            </w:r>
            <w:r>
              <w:rPr>
                <w:rFonts w:ascii="Courier New" w:cs="Courier New" w:eastAsia="Courier New" w:hAnsi="Courier New"/>
                <w:color w:val="1B3A5C"/>
                <w:sz w:val="19"/>
                <w:szCs w:val="19"/>
              </w:rPr>
              <w:t xml:space="preserve">  Netting check: all four on same chain → INTERNAL NETTING applies</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  Net SOL obligations:</w:t>
            </w:r>
            <w:r>
              <w:br/>
            </w:r>
            <w:r>
              <w:rPr>
                <w:rFonts w:ascii="Courier New" w:cs="Courier New" w:eastAsia="Courier New" w:hAnsi="Courier New"/>
                <w:color w:val="1B3A5C"/>
                <w:sz w:val="19"/>
                <w:szCs w:val="19"/>
              </w:rPr>
              <w:t xml:space="preserve">    Cumberland:  $13,582,785</w:t>
            </w:r>
            <w:r>
              <w:br/>
            </w:r>
            <w:r>
              <w:rPr>
                <w:rFonts w:ascii="Courier New" w:cs="Courier New" w:eastAsia="Courier New" w:hAnsi="Courier New"/>
                <w:color w:val="1B3A5C"/>
                <w:sz w:val="19"/>
                <w:szCs w:val="19"/>
              </w:rPr>
              <w:t xml:space="preserve">    Wintermute:  $19,163,455</w:t>
            </w:r>
            <w:r>
              <w:br/>
            </w:r>
            <w:r>
              <w:rPr>
                <w:rFonts w:ascii="Courier New" w:cs="Courier New" w:eastAsia="Courier New" w:hAnsi="Courier New"/>
                <w:color w:val="1B3A5C"/>
                <w:sz w:val="19"/>
                <w:szCs w:val="19"/>
              </w:rPr>
              <w:t xml:space="preserve">    Galaxy:      $17,021,167</w:t>
            </w:r>
            <w:r>
              <w:br/>
            </w:r>
            <w:r>
              <w:rPr>
                <w:rFonts w:ascii="Courier New" w:cs="Courier New" w:eastAsia="Courier New" w:hAnsi="Courier New"/>
                <w:color w:val="1B3A5C"/>
                <w:sz w:val="19"/>
                <w:szCs w:val="19"/>
              </w:rPr>
              <w:t xml:space="preserve">    Amber:          $232,593</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  4 internal transfers (same chain — no CCTP burn/mint needed)</w:t>
            </w:r>
            <w:r>
              <w:br/>
            </w:r>
            <w:r>
              <w:rPr>
                <w:rFonts w:ascii="Courier New" w:cs="Courier New" w:eastAsia="Courier New" w:hAnsi="Courier New"/>
                <w:color w:val="1B3A5C"/>
                <w:sz w:val="19"/>
                <w:szCs w:val="19"/>
              </w:rPr>
              <w:t xml:space="preserve">  Gas: 4 same-chain transfers vs 4 CCTP cross-chain burns = significant saving</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Step 4: Execute transfers</w:t>
            </w:r>
            <w:r>
              <w:br/>
            </w:r>
            <w:r>
              <w:rPr>
                <w:rFonts w:ascii="Courier New" w:cs="Courier New" w:eastAsia="Courier New" w:hAnsi="Courier New"/>
                <w:color w:val="1B3A5C"/>
                <w:sz w:val="19"/>
                <w:szCs w:val="19"/>
              </w:rPr>
              <w:t xml:space="preserve">  TenetSettlementVault → Cumberland_SOL:  $13,582,785  tx:0x1a2b...c3d4</w:t>
            </w:r>
            <w:r>
              <w:br/>
            </w:r>
            <w:r>
              <w:rPr>
                <w:rFonts w:ascii="Courier New" w:cs="Courier New" w:eastAsia="Courier New" w:hAnsi="Courier New"/>
                <w:color w:val="1B3A5C"/>
                <w:sz w:val="19"/>
                <w:szCs w:val="19"/>
              </w:rPr>
              <w:t xml:space="preserve">  TenetSettlementVault → Wintermute_SOL:  $19,163,455  tx:0x5e6f...g7h8</w:t>
            </w:r>
            <w:r>
              <w:br/>
            </w:r>
            <w:r>
              <w:rPr>
                <w:rFonts w:ascii="Courier New" w:cs="Courier New" w:eastAsia="Courier New" w:hAnsi="Courier New"/>
                <w:color w:val="1B3A5C"/>
                <w:sz w:val="19"/>
                <w:szCs w:val="19"/>
              </w:rPr>
              <w:t xml:space="preserve">  TenetSettlementVault → Galaxy_SOL:      $17,021,167  tx:0x9i0j...k1l2</w:t>
            </w:r>
            <w:r>
              <w:br/>
            </w:r>
            <w:r>
              <w:rPr>
                <w:rFonts w:ascii="Courier New" w:cs="Courier New" w:eastAsia="Courier New" w:hAnsi="Courier New"/>
                <w:color w:val="1B3A5C"/>
                <w:sz w:val="19"/>
                <w:szCs w:val="19"/>
              </w:rPr>
              <w:t xml:space="preserve">  TenetSettlementVault → Amber_SOL:          $232,593  tx:0xm3n4...o5p6</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Callback: ORCH._onLPPayoutConfirmed("ORD_93847592")</w:t>
            </w:r>
            <w:r>
              <w:br/>
            </w:r>
            <w:r>
              <w:rPr>
                <w:rFonts w:ascii="Courier New" w:cs="Courier New" w:eastAsia="Courier New" w:hAnsi="Courier New"/>
                <w:color w:val="1B3A5C"/>
                <w:sz w:val="19"/>
                <w:szCs w:val="19"/>
              </w:rPr>
              <w:t xml:space="preserve">ORCH transitions order to COMPLETED.</w:t>
            </w:r>
          </w:p>
        </w:tc>
      </w:tr>
    </w:tbl>
    <w:p>
      <w:pPr>
        <w:spacing w:before="160" w:after="0"/>
      </w:pPr>
    </w:p>
    <w:p>
      <w:pPr>
        <w:pStyle w:val="Heading1"/>
        <w:pBdr>
          <w:bottom w:val="single" w:color="2E6DA4" w:sz="4" w:space="4"/>
        </w:pBdr>
        <w:spacing w:before="400" w:after="160"/>
      </w:pPr>
      <w:r>
        <w:rPr>
          <w:rFonts w:ascii="Arial" w:cs="Arial" w:eastAsia="Arial" w:hAnsi="Arial"/>
          <w:b/>
          <w:bCs/>
          <w:color w:val="1B3A5C"/>
          <w:sz w:val="32"/>
          <w:szCs w:val="32"/>
        </w:rPr>
        <w:t xml:space="preserve">12.  Failure Handling</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Failure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FI_NOT_FOUND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tenetAddress not in FI_REGISTRY</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Callback: _onSettlementFailed. ORCH fails order. Unlikely in production — FI address validated at intent submission.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VAULT_CO-SIGN_FAILURE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Custody API unavailable during extraction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Retry up to 3× with exponential backoff. If all retries fail, callback: _onSettlementFailed. ORCH fails order, releases all reservations.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VAULT_PENDING_CUSTODY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FI vault not yet connected</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Blocked at Gate 1 by Reservation Engine. Should never reach Settlement Engine. If it does: callback _onSettlementFailed immediately.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SETTLEMENT_ROUTING_FAILURE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CCTP and Everclear both unavailable at LP payout time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Funds remain in TenetSettlementVault. Order stays AWAITING_SETTLEMENT. Retry scheduler activates. Interest accrual begins after guarantee window. Ledger records all events via ORCH.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PARTIAL_PAYOUT_FAILURE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Some LP transfers succeed, others fail</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Succeeded transfers are irreversible. Failed transfers retry independently. Each LP's payout is tracked separately. Order stays AWAITING_SETTLEMENT until all LP legs confirm.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EXTRACTION_CONFIRMS_DELIVERY_FAILS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Settlement extracted but delivery failed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Extraction must be reversed: TenetSettlementVault → GoldmanSettlementVault for the full amount. ORCH coordinates. Logged to ledger. This is a critical failure path — never silently discard.</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A4F00" w:sz="8"/>
              <w:bottom w:val="single" w:color="CCCCCC" w:sz="1"/>
              <w:right w:val="single" w:color="CCCCCC" w:sz="1"/>
            </w:tcBorders>
            <w:shd w:fill="FFF8E6" w:val="clear"/>
            <w:tcMar>
              <w:top w:type="dxa" w:w="100"/>
              <w:left w:type="dxa" w:w="200"/>
              <w:bottom w:type="dxa" w:w="100"/>
              <w:right w:type="dxa" w:w="200"/>
            </w:tcMar>
          </w:tcPr>
          <w:p>
            <w:r>
              <w:rPr>
                <w:rFonts w:ascii="Arial" w:cs="Arial" w:eastAsia="Arial" w:hAnsi="Arial"/>
                <w:b w:val="false"/>
                <w:bCs w:val="false"/>
                <w:color w:val="444444"/>
                <w:sz w:val="21"/>
                <w:szCs w:val="21"/>
              </w:rPr>
              <w:t xml:space="preserve">The EXTRACTION_CONFIRMS_DELIVERY_FAILS path is the most critical failure in the entire system. The FI has been charged but not delivered. The Settlement Engine must immediately reverse the extraction — cosign a transfer from TenetSettlementVault back to the FI vault for the full amount. This reversal is logged as a separate event in the ledger and is subject to the same audit trail as every other vault operation.</w:t>
            </w:r>
          </w:p>
        </w:tc>
      </w:tr>
    </w:tbl>
    <w:p>
      <w:pPr>
        <w:spacing w:before="160" w:after="0"/>
      </w:pPr>
    </w:p>
    <w:p>
      <w:pPr>
        <w:pStyle w:val="Heading1"/>
        <w:pBdr>
          <w:bottom w:val="single" w:color="2E6DA4" w:sz="4" w:space="4"/>
        </w:pBdr>
        <w:spacing w:before="400" w:after="160"/>
      </w:pPr>
      <w:r>
        <w:rPr>
          <w:rFonts w:ascii="Arial" w:cs="Arial" w:eastAsia="Arial" w:hAnsi="Arial"/>
          <w:b/>
          <w:bCs/>
          <w:color w:val="1B3A5C"/>
          <w:sz w:val="32"/>
          <w:szCs w:val="32"/>
        </w:rPr>
        <w:t xml:space="preserve">13.  Engine Interface Contracts</w:t>
      </w:r>
    </w:p>
    <w:p>
      <w:pPr>
        <w:spacing w:before="80" w:after="80"/>
      </w:pPr>
      <w:r>
        <w:rPr>
          <w:rFonts w:ascii="Arial" w:cs="Arial" w:eastAsia="Arial" w:hAnsi="Arial"/>
          <w:b w:val="false"/>
          <w:bCs w:val="false"/>
          <w:color w:val="444444"/>
          <w:sz w:val="22"/>
          <w:szCs w:val="22"/>
        </w:rPr>
        <w:t xml:space="preserve">The following defines the exact method signatures and callback contracts between the Orchestration Engine and the Settlement Engine.</w:t>
      </w:r>
    </w:p>
    <w:p>
      <w:pPr>
        <w:pStyle w:val="Heading2"/>
        <w:spacing w:before="280" w:after="120"/>
      </w:pPr>
      <w:r>
        <w:rPr>
          <w:rFonts w:ascii="Arial" w:cs="Arial" w:eastAsia="Arial" w:hAnsi="Arial"/>
          <w:b/>
          <w:bCs/>
          <w:color w:val="1B3A5C"/>
          <w:sz w:val="26"/>
          <w:szCs w:val="26"/>
        </w:rPr>
        <w:t xml:space="preserve">13.1  Methods Exposed to Orchestration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40"/>
              <w:bottom w:type="dxa" w:w="120"/>
              <w:right w:type="dxa" w:w="200"/>
            </w:tcMar>
          </w:tcPr>
          <w:p>
            <w:r>
              <w:rPr>
                <w:rFonts w:ascii="Courier New" w:cs="Courier New" w:eastAsia="Courier New" w:hAnsi="Courier New"/>
                <w:color w:val="1B3A5C"/>
                <w:sz w:val="19"/>
                <w:szCs w:val="19"/>
              </w:rPr>
              <w:t xml:space="preserve">// Called simultaneously with ExecutionEngine.beginDelivery().</w:t>
            </w:r>
            <w:r>
              <w:br/>
            </w:r>
            <w:r>
              <w:rPr>
                <w:rFonts w:ascii="Courier New" w:cs="Courier New" w:eastAsia="Courier New" w:hAnsi="Courier New"/>
                <w:color w:val="1B3A5C"/>
                <w:sz w:val="19"/>
                <w:szCs w:val="19"/>
              </w:rPr>
              <w:t xml:space="preserve">// Fires at the DELIVERING state transition.</w:t>
            </w:r>
            <w:r>
              <w:br/>
            </w:r>
            <w:r>
              <w:rPr>
                <w:rFonts w:ascii="Courier New" w:cs="Courier New" w:eastAsia="Courier New" w:hAnsi="Courier New"/>
                <w:color w:val="1B3A5C"/>
                <w:sz w:val="19"/>
                <w:szCs w:val="19"/>
              </w:rPr>
              <w:t xml:space="preserve">SettlementEngine.extractSettlement(</w:t>
            </w:r>
            <w:r>
              <w:br/>
            </w:r>
            <w:r>
              <w:rPr>
                <w:rFonts w:ascii="Courier New" w:cs="Courier New" w:eastAsia="Courier New" w:hAnsi="Courier New"/>
                <w:color w:val="1B3A5C"/>
                <w:sz w:val="19"/>
                <w:szCs w:val="19"/>
              </w:rPr>
              <w:t xml:space="preserve">  orderId:         string,</w:t>
            </w:r>
            <w:r>
              <w:br/>
            </w:r>
            <w:r>
              <w:rPr>
                <w:rFonts w:ascii="Courier New" w:cs="Courier New" w:eastAsia="Courier New" w:hAnsi="Courier New"/>
                <w:color w:val="1B3A5C"/>
                <w:sz w:val="19"/>
                <w:szCs w:val="19"/>
              </w:rPr>
              <w:t xml:space="preserve">  tenetAddress:    string,</w:t>
            </w:r>
            <w:r>
              <w:br/>
            </w:r>
            <w:r>
              <w:rPr>
                <w:rFonts w:ascii="Courier New" w:cs="Courier New" w:eastAsia="Courier New" w:hAnsi="Courier New"/>
                <w:color w:val="1B3A5C"/>
                <w:sz w:val="19"/>
                <w:szCs w:val="19"/>
              </w:rPr>
              <w:t xml:space="preserve">  settlementTotal: number,</w:t>
            </w:r>
            <w:r>
              <w:br/>
            </w:r>
            <w:r>
              <w:rPr>
                <w:rFonts w:ascii="Courier New" w:cs="Courier New" w:eastAsia="Courier New" w:hAnsi="Courier New"/>
                <w:color w:val="1B3A5C"/>
                <w:sz w:val="19"/>
                <w:szCs w:val="19"/>
              </w:rPr>
              <w:t xml:space="preserve">  tenetFee:        number,</w:t>
            </w:r>
            <w:r>
              <w:br/>
            </w:r>
            <w:r>
              <w:rPr>
                <w:rFonts w:ascii="Courier New" w:cs="Courier New" w:eastAsia="Courier New" w:hAnsi="Courier New"/>
                <w:color w:val="1B3A5C"/>
                <w:sz w:val="19"/>
                <w:szCs w:val="19"/>
              </w:rPr>
              <w:t xml:space="preserve">  orch:            IOrchestration,</w:t>
            </w:r>
            <w:r>
              <w:br/>
            </w:r>
            <w:r>
              <w:rPr>
                <w:rFonts w:ascii="Courier New" w:cs="Courier New" w:eastAsia="Courier New" w:hAnsi="Courier New"/>
                <w:color w:val="1B3A5C"/>
                <w:sz w:val="19"/>
                <w:szCs w:val="19"/>
              </w:rPr>
              <w:t xml:space="preserve">) → Promise&lt;void&gt;</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 Called after ORCH confirms both delivery and extraction.</w:t>
            </w:r>
            <w:r>
              <w:br/>
            </w:r>
            <w:r>
              <w:rPr>
                <w:rFonts w:ascii="Courier New" w:cs="Courier New" w:eastAsia="Courier New" w:hAnsi="Courier New"/>
                <w:color w:val="1B3A5C"/>
                <w:sz w:val="19"/>
                <w:szCs w:val="19"/>
              </w:rPr>
              <w:t xml:space="preserve">// Fires when order moves to AWAITING_SETTLEMENT.</w:t>
            </w:r>
            <w:r>
              <w:br/>
            </w:r>
            <w:r>
              <w:rPr>
                <w:rFonts w:ascii="Courier New" w:cs="Courier New" w:eastAsia="Courier New" w:hAnsi="Courier New"/>
                <w:color w:val="1B3A5C"/>
                <w:sz w:val="19"/>
                <w:szCs w:val="19"/>
              </w:rPr>
              <w:t xml:space="preserve">SettlementEngine.routeLPPayout(</w:t>
            </w:r>
            <w:r>
              <w:br/>
            </w:r>
            <w:r>
              <w:rPr>
                <w:rFonts w:ascii="Courier New" w:cs="Courier New" w:eastAsia="Courier New" w:hAnsi="Courier New"/>
                <w:color w:val="1B3A5C"/>
                <w:sz w:val="19"/>
                <w:szCs w:val="19"/>
              </w:rPr>
              <w:t xml:space="preserve">  orderId:    string,</w:t>
            </w:r>
            <w:r>
              <w:br/>
            </w:r>
            <w:r>
              <w:rPr>
                <w:rFonts w:ascii="Courier New" w:cs="Courier New" w:eastAsia="Courier New" w:hAnsi="Courier New"/>
                <w:color w:val="1B3A5C"/>
                <w:sz w:val="19"/>
                <w:szCs w:val="19"/>
              </w:rPr>
              <w:t xml:space="preserve">  fills:      FillLeg[],</w:t>
            </w:r>
            <w:r>
              <w:br/>
            </w:r>
            <w:r>
              <w:rPr>
                <w:rFonts w:ascii="Courier New" w:cs="Courier New" w:eastAsia="Courier New" w:hAnsi="Courier New"/>
                <w:color w:val="1B3A5C"/>
                <w:sz w:val="19"/>
                <w:szCs w:val="19"/>
              </w:rPr>
              <w:t xml:space="preserve">  usdcAmount: number,</w:t>
            </w:r>
            <w:r>
              <w:br/>
            </w:r>
            <w:r>
              <w:rPr>
                <w:rFonts w:ascii="Courier New" w:cs="Courier New" w:eastAsia="Courier New" w:hAnsi="Courier New"/>
                <w:color w:val="1B3A5C"/>
                <w:sz w:val="19"/>
                <w:szCs w:val="19"/>
              </w:rPr>
              <w:t xml:space="preserve">  tenetFee:   number,</w:t>
            </w:r>
            <w:r>
              <w:br/>
            </w:r>
            <w:r>
              <w:rPr>
                <w:rFonts w:ascii="Courier New" w:cs="Courier New" w:eastAsia="Courier New" w:hAnsi="Courier New"/>
                <w:color w:val="1B3A5C"/>
                <w:sz w:val="19"/>
                <w:szCs w:val="19"/>
              </w:rPr>
              <w:t xml:space="preserve">  orch:       IOrchestration,</w:t>
            </w:r>
            <w:r>
              <w:br/>
            </w:r>
            <w:r>
              <w:rPr>
                <w:rFonts w:ascii="Courier New" w:cs="Courier New" w:eastAsia="Courier New" w:hAnsi="Courier New"/>
                <w:color w:val="1B3A5C"/>
                <w:sz w:val="19"/>
                <w:szCs w:val="19"/>
              </w:rPr>
              <w:t xml:space="preserve">) → Promise&lt;void&gt;</w:t>
            </w:r>
          </w:p>
        </w:tc>
      </w:tr>
    </w:tbl>
    <w:p>
      <w:pPr>
        <w:spacing w:before="120" w:after="0"/>
      </w:pPr>
    </w:p>
    <w:p>
      <w:pPr>
        <w:pStyle w:val="Heading2"/>
        <w:spacing w:before="280" w:after="120"/>
      </w:pPr>
      <w:r>
        <w:rPr>
          <w:rFonts w:ascii="Arial" w:cs="Arial" w:eastAsia="Arial" w:hAnsi="Arial"/>
          <w:b/>
          <w:bCs/>
          <w:color w:val="1B3A5C"/>
          <w:sz w:val="26"/>
          <w:szCs w:val="26"/>
        </w:rPr>
        <w:t xml:space="preserve">13.2  Callbacks into Orchestration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40"/>
              <w:bottom w:type="dxa" w:w="120"/>
              <w:right w:type="dxa" w:w="200"/>
            </w:tcMar>
          </w:tcPr>
          <w:p>
            <w:r>
              <w:rPr>
                <w:rFonts w:ascii="Courier New" w:cs="Courier New" w:eastAsia="Courier New" w:hAnsi="Courier New"/>
                <w:color w:val="1B3A5C"/>
                <w:sz w:val="19"/>
                <w:szCs w:val="19"/>
              </w:rPr>
              <w:t xml:space="preserve">// FI vault extraction confirmed on-chain.</w:t>
            </w:r>
            <w:r>
              <w:br/>
            </w:r>
            <w:r>
              <w:rPr>
                <w:rFonts w:ascii="Courier New" w:cs="Courier New" w:eastAsia="Courier New" w:hAnsi="Courier New"/>
                <w:color w:val="1B3A5C"/>
                <w:sz w:val="19"/>
                <w:szCs w:val="19"/>
              </w:rPr>
              <w:t xml:space="preserve">// order.settlExtractTx must be set.</w:t>
            </w:r>
            <w:r>
              <w:br/>
            </w:r>
            <w:r>
              <w:rPr>
                <w:rFonts w:ascii="Courier New" w:cs="Courier New" w:eastAsia="Courier New" w:hAnsi="Courier New"/>
                <w:color w:val="1B3A5C"/>
                <w:sz w:val="19"/>
                <w:szCs w:val="19"/>
              </w:rPr>
              <w:t xml:space="preserve">orchestration._onSettlementExtracted(orderId: string) → void</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 All LP payouts confirmed on their native chains.</w:t>
            </w:r>
            <w:r>
              <w:br/>
            </w:r>
            <w:r>
              <w:rPr>
                <w:rFonts w:ascii="Courier New" w:cs="Courier New" w:eastAsia="Courier New" w:hAnsi="Courier New"/>
                <w:color w:val="1B3A5C"/>
                <w:sz w:val="19"/>
                <w:szCs w:val="19"/>
              </w:rPr>
              <w:t xml:space="preserve">// order.settlTx must be set.</w:t>
            </w:r>
            <w:r>
              <w:br/>
            </w:r>
            <w:r>
              <w:rPr>
                <w:rFonts w:ascii="Courier New" w:cs="Courier New" w:eastAsia="Courier New" w:hAnsi="Courier New"/>
                <w:color w:val="1B3A5C"/>
                <w:sz w:val="19"/>
                <w:szCs w:val="19"/>
              </w:rPr>
              <w:t xml:space="preserve">orchestration._onLPPayoutConfirmed(orderId: string) → void</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 Unrecoverable failure — extraction failed or routing permanently unavailable.</w:t>
            </w:r>
            <w:r>
              <w:br/>
            </w:r>
            <w:r>
              <w:rPr>
                <w:rFonts w:ascii="Courier New" w:cs="Courier New" w:eastAsia="Courier New" w:hAnsi="Courier New"/>
                <w:color w:val="1B3A5C"/>
                <w:sz w:val="19"/>
                <w:szCs w:val="19"/>
              </w:rPr>
              <w:t xml:space="preserve">// Triggers order failure and reservation release in ORCH.</w:t>
            </w:r>
            <w:r>
              <w:br/>
            </w:r>
            <w:r>
              <w:rPr>
                <w:rFonts w:ascii="Courier New" w:cs="Courier New" w:eastAsia="Courier New" w:hAnsi="Courier New"/>
                <w:color w:val="1B3A5C"/>
                <w:sz w:val="19"/>
                <w:szCs w:val="19"/>
              </w:rPr>
              <w:t xml:space="preserve">orchestration._onSettlementFailed(orderId: string, reason: string) → void</w:t>
            </w:r>
          </w:p>
        </w:tc>
      </w:tr>
    </w:tbl>
    <w:p>
      <w:pPr>
        <w:spacing w:before="120" w:after="0"/>
      </w:pPr>
    </w:p>
    <w:p>
      <w:pPr>
        <w:pStyle w:val="Heading2"/>
        <w:spacing w:before="280" w:after="120"/>
      </w:pPr>
      <w:r>
        <w:rPr>
          <w:rFonts w:ascii="Arial" w:cs="Arial" w:eastAsia="Arial" w:hAnsi="Arial"/>
          <w:b/>
          <w:bCs/>
          <w:color w:val="1B3A5C"/>
          <w:sz w:val="26"/>
          <w:szCs w:val="26"/>
        </w:rPr>
        <w:t xml:space="preserve">13.3  What the Settlement Engine Must Never Do</w:t>
      </w:r>
    </w:p>
    <w:p>
      <w:pPr>
        <w:pStyle w:val="ListParagraph"/>
        <w:numPr>
          <w:ilvl w:val="0"/>
          <w:numId w:val="2"/>
        </w:numPr>
        <w:spacing w:before="50" w:after="50"/>
      </w:pPr>
      <w:r>
        <w:rPr>
          <w:rFonts w:ascii="Arial" w:cs="Arial" w:eastAsia="Arial" w:hAnsi="Arial"/>
          <w:b w:val="false"/>
          <w:bCs w:val="false"/>
          <w:color w:val="444444"/>
          <w:sz w:val="22"/>
          <w:szCs w:val="22"/>
        </w:rPr>
        <w:t xml:space="preserve">Write directly to the clearing ledger — all writes go through Orchestration.</w:t>
      </w:r>
    </w:p>
    <w:p>
      <w:pPr>
        <w:pStyle w:val="ListParagraph"/>
        <w:numPr>
          <w:ilvl w:val="0"/>
          <w:numId w:val="2"/>
        </w:numPr>
        <w:spacing w:before="50" w:after="50"/>
      </w:pPr>
      <w:r>
        <w:rPr>
          <w:rFonts w:ascii="Arial" w:cs="Arial" w:eastAsia="Arial" w:hAnsi="Arial"/>
          <w:b w:val="false"/>
          <w:bCs w:val="false"/>
          <w:color w:val="444444"/>
          <w:sz w:val="22"/>
          <w:szCs w:val="22"/>
        </w:rPr>
        <w:t xml:space="preserve">Release vault reservations — that is exclusively the Reservation Engine.</w:t>
      </w:r>
    </w:p>
    <w:p>
      <w:pPr>
        <w:pStyle w:val="ListParagraph"/>
        <w:numPr>
          <w:ilvl w:val="0"/>
          <w:numId w:val="2"/>
        </w:numPr>
        <w:spacing w:before="50" w:after="50"/>
      </w:pPr>
      <w:r>
        <w:rPr>
          <w:rFonts w:ascii="Arial" w:cs="Arial" w:eastAsia="Arial" w:hAnsi="Arial"/>
          <w:b w:val="false"/>
          <w:bCs w:val="false"/>
          <w:color w:val="444444"/>
          <w:sz w:val="22"/>
          <w:szCs w:val="22"/>
        </w:rPr>
        <w:t xml:space="preserve">Modify order state — order.status is owned by Orchestration.</w:t>
      </w:r>
    </w:p>
    <w:p>
      <w:pPr>
        <w:pStyle w:val="ListParagraph"/>
        <w:numPr>
          <w:ilvl w:val="0"/>
          <w:numId w:val="2"/>
        </w:numPr>
        <w:spacing w:before="50" w:after="50"/>
      </w:pPr>
      <w:r>
        <w:rPr>
          <w:rFonts w:ascii="Arial" w:cs="Arial" w:eastAsia="Arial" w:hAnsi="Arial"/>
          <w:b w:val="false"/>
          <w:bCs w:val="false"/>
          <w:color w:val="444444"/>
          <w:sz w:val="22"/>
          <w:szCs w:val="22"/>
        </w:rPr>
        <w:t xml:space="preserve">Call the Execution Engine — settlement and delivery are parallel, never sequential.</w:t>
      </w:r>
    </w:p>
    <w:p>
      <w:pPr>
        <w:pStyle w:val="ListParagraph"/>
        <w:numPr>
          <w:ilvl w:val="0"/>
          <w:numId w:val="2"/>
        </w:numPr>
        <w:spacing w:before="50" w:after="50"/>
      </w:pPr>
      <w:r>
        <w:rPr>
          <w:rFonts w:ascii="Arial" w:cs="Arial" w:eastAsia="Arial" w:hAnsi="Arial"/>
          <w:b w:val="false"/>
          <w:bCs w:val="false"/>
          <w:color w:val="444444"/>
          <w:sz w:val="22"/>
          <w:szCs w:val="22"/>
        </w:rPr>
        <w:t xml:space="preserve">Recalculate fees — the fee is passed in pre-calculated and is immutable.</w:t>
      </w:r>
    </w:p>
    <w:p>
      <w:pPr>
        <w:pStyle w:val="ListParagraph"/>
        <w:numPr>
          <w:ilvl w:val="0"/>
          <w:numId w:val="2"/>
        </w:numPr>
        <w:spacing w:before="50" w:after="50"/>
      </w:pPr>
      <w:r>
        <w:rPr>
          <w:rFonts w:ascii="Arial" w:cs="Arial" w:eastAsia="Arial" w:hAnsi="Arial"/>
          <w:b w:val="false"/>
          <w:bCs w:val="false"/>
          <w:color w:val="444444"/>
          <w:sz w:val="22"/>
          <w:szCs w:val="22"/>
        </w:rPr>
        <w:t xml:space="preserve">Redirect LP settlement to a different chain without LP consent — contractual obligation.</w:t>
      </w:r>
    </w:p>
    <w:p>
      <w:pPr>
        <w:pStyle w:val="ListParagraph"/>
        <w:numPr>
          <w:ilvl w:val="0"/>
          <w:numId w:val="2"/>
        </w:numPr>
        <w:spacing w:before="50" w:after="50"/>
      </w:pPr>
      <w:r>
        <w:rPr>
          <w:rFonts w:ascii="Arial" w:cs="Arial" w:eastAsia="Arial" w:hAnsi="Arial"/>
          <w:b w:val="false"/>
          <w:bCs w:val="false"/>
          <w:color w:val="444444"/>
          <w:sz w:val="22"/>
          <w:szCs w:val="22"/>
        </w:rPr>
        <w:t xml:space="preserve">Discard funds on routing failure — funds stay in Tenet Settlement Vault and retry.</w:t>
      </w:r>
    </w:p>
    <w:p>
      <w:pPr>
        <w:pStyle w:val="ListParagraph"/>
        <w:numPr>
          <w:ilvl w:val="0"/>
          <w:numId w:val="2"/>
        </w:numPr>
        <w:spacing w:before="50" w:after="50"/>
      </w:pPr>
      <w:r>
        <w:rPr>
          <w:rFonts w:ascii="Arial" w:cs="Arial" w:eastAsia="Arial" w:hAnsi="Arial"/>
          <w:b w:val="false"/>
          <w:bCs w:val="false"/>
          <w:color w:val="444444"/>
          <w:sz w:val="22"/>
          <w:szCs w:val="22"/>
        </w:rPr>
        <w:t xml:space="preserve">Fail silently — every failure writes an event to the ledger via Orchestration callback.</w:t>
      </w:r>
    </w:p>
    <w:p>
      <w:pPr>
        <w:spacing w:before="160" w:after="0"/>
      </w:pPr>
    </w:p>
    <w:p>
      <w:pPr>
        <w:pStyle w:val="Heading1"/>
        <w:pBdr>
          <w:bottom w:val="single" w:color="2E6DA4" w:sz="4" w:space="4"/>
        </w:pBdr>
        <w:spacing w:before="400" w:after="160"/>
      </w:pPr>
      <w:r>
        <w:rPr>
          <w:rFonts w:ascii="Arial" w:cs="Arial" w:eastAsia="Arial" w:hAnsi="Arial"/>
          <w:b/>
          <w:bCs/>
          <w:color w:val="1B3A5C"/>
          <w:sz w:val="32"/>
          <w:szCs w:val="32"/>
        </w:rPr>
        <w:t xml:space="preserve">14.  Implementation Notes</w:t>
      </w:r>
    </w:p>
    <w:p>
      <w:pPr>
        <w:pStyle w:val="Heading2"/>
        <w:spacing w:before="280" w:after="120"/>
      </w:pPr>
      <w:r>
        <w:rPr>
          <w:rFonts w:ascii="Arial" w:cs="Arial" w:eastAsia="Arial" w:hAnsi="Arial"/>
          <w:b/>
          <w:bCs/>
          <w:color w:val="1B3A5C"/>
          <w:sz w:val="26"/>
          <w:szCs w:val="26"/>
        </w:rPr>
        <w:t xml:space="preserve">14.1  Language &amp; Structure</w:t>
      </w:r>
    </w:p>
    <w:p>
      <w:pPr>
        <w:spacing w:before="80" w:after="80"/>
      </w:pPr>
      <w:r>
        <w:rPr>
          <w:rFonts w:ascii="Arial" w:cs="Arial" w:eastAsia="Arial" w:hAnsi="Arial"/>
          <w:b w:val="false"/>
          <w:bCs w:val="false"/>
          <w:color w:val="444444"/>
          <w:sz w:val="22"/>
          <w:szCs w:val="22"/>
        </w:rPr>
        <w:t xml:space="preserve">TypeScript, strict mode. The Settlement Engine is a class with two public async methods (extractSettlement and routeLPPayout) and private helpers for method selection, netting, CCTP routing, and Everclear routing. VaultProvider injected via constructor — same pattern as the Execution Engine.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40"/>
              <w:bottom w:type="dxa" w:w="120"/>
              <w:right w:type="dxa" w:w="200"/>
            </w:tcMar>
          </w:tcPr>
          <w:p>
            <w:r>
              <w:rPr>
                <w:rFonts w:ascii="Courier New" w:cs="Courier New" w:eastAsia="Courier New" w:hAnsi="Courier New"/>
                <w:color w:val="1B3A5C"/>
                <w:sz w:val="19"/>
                <w:szCs w:val="19"/>
              </w:rPr>
              <w:t xml:space="preserve">class SettlementEngine {</w:t>
            </w:r>
            <w:r>
              <w:br/>
            </w:r>
            <w:r>
              <w:rPr>
                <w:rFonts w:ascii="Courier New" w:cs="Courier New" w:eastAsia="Courier New" w:hAnsi="Courier New"/>
                <w:color w:val="1B3A5C"/>
                <w:sz w:val="19"/>
                <w:szCs w:val="19"/>
              </w:rPr>
              <w:t xml:space="preserve">  constructor(private vault: VaultProvider) {}</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  async extractSettlement(params): Promise&lt;void&gt; { ... }</w:t>
            </w:r>
            <w:r>
              <w:br/>
            </w:r>
            <w:r>
              <w:rPr>
                <w:rFonts w:ascii="Courier New" w:cs="Courier New" w:eastAsia="Courier New" w:hAnsi="Courier New"/>
                <w:color w:val="1B3A5C"/>
                <w:sz w:val="19"/>
                <w:szCs w:val="19"/>
              </w:rPr>
              <w:t xml:space="preserve">  async routeLPPayout(params):    Promise&lt;void&gt; { ... }</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  private _selectMethod(chain: string, asset: string): RoutingMethod { ... }</w:t>
            </w:r>
            <w:r>
              <w:br/>
            </w:r>
            <w:r>
              <w:rPr>
                <w:rFonts w:ascii="Courier New" w:cs="Courier New" w:eastAsia="Courier New" w:hAnsi="Courier New"/>
                <w:color w:val="1B3A5C"/>
                <w:sz w:val="19"/>
                <w:szCs w:val="19"/>
              </w:rPr>
              <w:t xml:space="preserve">  private _netObligations(legs: PayoutLeg[]): NetObligation[] { ... }</w:t>
            </w:r>
            <w:r>
              <w:br/>
            </w:r>
            <w:r>
              <w:rPr>
                <w:rFonts w:ascii="Courier New" w:cs="Courier New" w:eastAsia="Courier New" w:hAnsi="Courier New"/>
                <w:color w:val="1B3A5C"/>
                <w:sz w:val="19"/>
                <w:szCs w:val="19"/>
              </w:rPr>
              <w:t xml:space="preserve">  private async _routeCCTP(leg: PayoutLeg): Promise&lt;string&gt; { ... }</w:t>
            </w:r>
            <w:r>
              <w:br/>
            </w:r>
            <w:r>
              <w:rPr>
                <w:rFonts w:ascii="Courier New" w:cs="Courier New" w:eastAsia="Courier New" w:hAnsi="Courier New"/>
                <w:color w:val="1B3A5C"/>
                <w:sz w:val="19"/>
                <w:szCs w:val="19"/>
              </w:rPr>
              <w:t xml:space="preserve">  private async _routeEverclear(leg: PayoutLeg): Promise&lt;string&gt; { ... }</w:t>
            </w:r>
            <w:r>
              <w:br/>
            </w:r>
            <w:r>
              <w:rPr>
                <w:rFonts w:ascii="Courier New" w:cs="Courier New" w:eastAsia="Courier New" w:hAnsi="Courier New"/>
                <w:color w:val="1B3A5C"/>
                <w:sz w:val="19"/>
                <w:szCs w:val="19"/>
              </w:rPr>
              <w:t xml:space="preserve">  private async _retryWithBackoff(fn, maxRetries): Promise&lt;T&gt; { ... }</w:t>
            </w:r>
            <w:r>
              <w:br/>
            </w:r>
            <w:r>
              <w:rPr>
                <w:rFonts w:ascii="Courier New" w:cs="Courier New" w:eastAsia="Courier New" w:hAnsi="Courier New"/>
                <w:color w:val="1B3A5C"/>
                <w:sz w:val="19"/>
                <w:szCs w:val="19"/>
              </w:rPr>
              <w:t xml:space="preserve">  private _log(orderId: string, msg: string, cls?: string): void { ... }</w:t>
            </w:r>
            <w:r>
              <w:br/>
            </w:r>
            <w:r>
              <w:rPr>
                <w:rFonts w:ascii="Courier New" w:cs="Courier New" w:eastAsia="Courier New" w:hAnsi="Courier New"/>
                <w:color w:val="1B3A5C"/>
                <w:sz w:val="19"/>
                <w:szCs w:val="19"/>
              </w:rPr>
              <w:t xml:space="preserve">}</w:t>
            </w:r>
          </w:p>
        </w:tc>
      </w:tr>
    </w:tbl>
    <w:p>
      <w:pPr>
        <w:spacing w:before="120" w:after="0"/>
      </w:pPr>
    </w:p>
    <w:p>
      <w:pPr>
        <w:pStyle w:val="Heading2"/>
        <w:spacing w:before="280" w:after="120"/>
      </w:pPr>
      <w:r>
        <w:rPr>
          <w:rFonts w:ascii="Arial" w:cs="Arial" w:eastAsia="Arial" w:hAnsi="Arial"/>
          <w:b/>
          <w:bCs/>
          <w:color w:val="1B3A5C"/>
          <w:sz w:val="26"/>
          <w:szCs w:val="26"/>
        </w:rPr>
        <w:t xml:space="preserve">14.2  Retry Logic</w:t>
      </w:r>
    </w:p>
    <w:p>
      <w:pPr>
        <w:spacing w:before="80" w:after="80"/>
      </w:pPr>
      <w:r>
        <w:rPr>
          <w:rFonts w:ascii="Arial" w:cs="Arial" w:eastAsia="Arial" w:hAnsi="Arial"/>
          <w:b w:val="false"/>
          <w:bCs w:val="false"/>
          <w:color w:val="444444"/>
          <w:sz w:val="22"/>
          <w:szCs w:val="22"/>
        </w:rPr>
        <w:t xml:space="preserve">All vault operations wrap in _retryWithBackoff(). Retry parameters: maxRetries = 3, initial delay = 500ms, backoff multiplier = 2 (500ms, 1000ms, 2000ms). After three failed retries, the method throws and the calling function handles the failure path per Section 12.</w:t>
      </w:r>
    </w:p>
    <w:p>
      <w:pPr>
        <w:pStyle w:val="Heading2"/>
        <w:spacing w:before="280" w:after="120"/>
      </w:pPr>
      <w:r>
        <w:rPr>
          <w:rFonts w:ascii="Arial" w:cs="Arial" w:eastAsia="Arial" w:hAnsi="Arial"/>
          <w:b/>
          <w:bCs/>
          <w:color w:val="1B3A5C"/>
          <w:sz w:val="26"/>
          <w:szCs w:val="26"/>
        </w:rPr>
        <w:t xml:space="preserve">14.3  CCTP Integration</w:t>
      </w:r>
    </w:p>
    <w:p>
      <w:pPr>
        <w:spacing w:before="80" w:after="80"/>
      </w:pPr>
      <w:r>
        <w:rPr>
          <w:rFonts w:ascii="Arial" w:cs="Arial" w:eastAsia="Arial" w:hAnsi="Arial"/>
          <w:b w:val="false"/>
          <w:bCs w:val="false"/>
          <w:color w:val="444444"/>
          <w:sz w:val="22"/>
          <w:szCs w:val="22"/>
        </w:rPr>
        <w:t xml:space="preserve">CCTP v1 is production-ready and available today. The _routeCCTP() method calls Circle's burn-and-mint API: POST /v1/messages/send on the source chain, then polls for attestation, then calls POST /v1/messages/receive on the destination chain. In the mock implementation, this is simulated with a fixed 2–5 minute delay. The real implementation replaces the mock with Circle's SDK.</w:t>
      </w:r>
    </w:p>
    <w:p>
      <w:pPr>
        <w:spacing w:before="80" w:after="80"/>
      </w:pPr>
      <w:r>
        <w:rPr>
          <w:rFonts w:ascii="Arial" w:cs="Arial" w:eastAsia="Arial" w:hAnsi="Arial"/>
          <w:b w:val="false"/>
          <w:bCs w:val="false"/>
          <w:color w:val="444444"/>
          <w:sz w:val="22"/>
          <w:szCs w:val="22"/>
        </w:rPr>
        <w:t xml:space="preserve">[INTEGRATION POINT] Circle API key and chain-specific contract addresses are registered via the Tenet admin portal. The Settlement Engine reads these from the protocol registry at runtime — they are not hardcoded.</w:t>
      </w:r>
    </w:p>
    <w:p>
      <w:pPr>
        <w:pStyle w:val="Heading2"/>
        <w:spacing w:before="280" w:after="120"/>
      </w:pPr>
      <w:r>
        <w:rPr>
          <w:rFonts w:ascii="Arial" w:cs="Arial" w:eastAsia="Arial" w:hAnsi="Arial"/>
          <w:b/>
          <w:bCs/>
          <w:color w:val="1B3A5C"/>
          <w:sz w:val="26"/>
          <w:szCs w:val="26"/>
        </w:rPr>
        <w:t xml:space="preserve">14.4  Everclear Integration</w:t>
      </w:r>
    </w:p>
    <w:p>
      <w:pPr>
        <w:spacing w:before="80" w:after="80"/>
      </w:pPr>
      <w:r>
        <w:rPr>
          <w:rFonts w:ascii="Arial" w:cs="Arial" w:eastAsia="Arial" w:hAnsi="Arial"/>
          <w:b w:val="false"/>
          <w:bCs w:val="false"/>
          <w:color w:val="444444"/>
          <w:sz w:val="22"/>
          <w:szCs w:val="22"/>
        </w:rPr>
        <w:t xml:space="preserve">Everclear's clearing layer accepts transfer intents and handles cross-chain delivery. The _routeEverclear() method posts a transfer intent to Everclear's API and polls for delivery confirmation. Settlement time varies by chain pair and is disclosed to the FI in the order quote via the price_total field.</w:t>
      </w:r>
    </w:p>
    <w:p>
      <w:pPr>
        <w:spacing w:before="80" w:after="80"/>
      </w:pPr>
      <w:r>
        <w:rPr>
          <w:rFonts w:ascii="Arial" w:cs="Arial" w:eastAsia="Arial" w:hAnsi="Arial"/>
          <w:b w:val="false"/>
          <w:bCs w:val="false"/>
          <w:color w:val="444444"/>
          <w:sz w:val="22"/>
          <w:szCs w:val="22"/>
        </w:rPr>
        <w:t xml:space="preserve">[INTEGRATION POINT] Everclear API endpoint and authentication registered via Tenet admin portal.</w:t>
      </w:r>
    </w:p>
    <w:p>
      <w:pPr>
        <w:pStyle w:val="Heading2"/>
        <w:spacing w:before="280" w:after="120"/>
      </w:pPr>
      <w:r>
        <w:rPr>
          <w:rFonts w:ascii="Arial" w:cs="Arial" w:eastAsia="Arial" w:hAnsi="Arial"/>
          <w:b/>
          <w:bCs/>
          <w:color w:val="1B3A5C"/>
          <w:sz w:val="26"/>
          <w:szCs w:val="26"/>
        </w:rPr>
        <w:t xml:space="preserve">14.5  Netting Batch Window</w:t>
      </w:r>
    </w:p>
    <w:p>
      <w:pPr>
        <w:spacing w:before="80" w:after="80"/>
      </w:pPr>
      <w:r>
        <w:rPr>
          <w:rFonts w:ascii="Arial" w:cs="Arial" w:eastAsia="Arial" w:hAnsi="Arial"/>
          <w:b w:val="false"/>
          <w:bCs w:val="false"/>
          <w:color w:val="444444"/>
          <w:sz w:val="22"/>
          <w:szCs w:val="22"/>
        </w:rPr>
        <w:t xml:space="preserve">Internal netting requires a batch window — a short accumulation period during which multiple orders' LP obligations are collected before netting and executing. In v1, the batch window is 30 seconds. Orders in AWAITING_SETTLEMENT accumulate during the window. At window close, obligations on the same chain are netted and executed as a group. This is configurable per chain.</w:t>
      </w:r>
    </w:p>
    <w:p>
      <w:pPr>
        <w:pStyle w:val="Heading2"/>
        <w:spacing w:before="280" w:after="120"/>
      </w:pPr>
      <w:r>
        <w:rPr>
          <w:rFonts w:ascii="Arial" w:cs="Arial" w:eastAsia="Arial" w:hAnsi="Arial"/>
          <w:b/>
          <w:bCs/>
          <w:color w:val="1B3A5C"/>
          <w:sz w:val="26"/>
          <w:szCs w:val="26"/>
        </w:rPr>
        <w:t xml:space="preserve">14.6  Logging</w:t>
      </w:r>
    </w:p>
    <w:p>
      <w:pPr>
        <w:spacing w:before="80" w:after="80"/>
      </w:pPr>
      <w:r>
        <w:rPr>
          <w:rFonts w:ascii="Arial" w:cs="Arial" w:eastAsia="Arial" w:hAnsi="Arial"/>
          <w:b w:val="false"/>
          <w:bCs w:val="false"/>
          <w:color w:val="444444"/>
          <w:sz w:val="22"/>
          <w:szCs w:val="22"/>
        </w:rPr>
        <w:t xml:space="preserve">Every material action in the Settlement Engine logs to the clearing ledger via Orchestration, with source tag "SETT". This includes: extraction amount and vault, fee deduction, each LP share calculation, routing method selected per LP, each transfer hash, retry attempts, and any failure conditions. The ledger is the complete audit trail.</w:t>
      </w:r>
    </w:p>
    <w:p>
      <w:pPr>
        <w:spacing w:before="200" w:after="0"/>
      </w:pPr>
    </w:p>
    <w:p>
      <w:pPr>
        <w:pStyle w:val="Heading1"/>
        <w:pBdr>
          <w:bottom w:val="single" w:color="2E6DA4" w:sz="4" w:space="4"/>
        </w:pBdr>
        <w:spacing w:before="400" w:after="160"/>
      </w:pPr>
      <w:r>
        <w:rPr>
          <w:rFonts w:ascii="Arial" w:cs="Arial" w:eastAsia="Arial" w:hAnsi="Arial"/>
          <w:b/>
          <w:bCs/>
          <w:color w:val="1B3A5C"/>
          <w:sz w:val="32"/>
          <w:szCs w:val="32"/>
        </w:rPr>
        <w:t xml:space="preserve">15.  Open Questions</w:t>
      </w:r>
    </w:p>
    <w:p>
      <w:pPr>
        <w:spacing w:before="80" w:after="80"/>
      </w:pPr>
      <w:r>
        <w:rPr>
          <w:rFonts w:ascii="Arial" w:cs="Arial" w:eastAsia="Arial" w:hAnsi="Arial"/>
          <w:b w:val="false"/>
          <w:bCs w:val="false"/>
          <w:color w:val="444444"/>
          <w:sz w:val="22"/>
          <w:szCs w:val="22"/>
        </w:rPr>
        <w:t xml:space="preserve">Deferred decisions that do not affect v1.0 implementation but must be resolved before production launch.</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Deferred Decision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CCTP v2 adoption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CCTP v2 targets sub-minute settlement. When Circle releases v2 in production, the _routeCCTP() method should upgrade to v2 automatically. The settlement guarantee window for CCTP should update accordingly in the LP agreement.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Netting batch window tuning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The 30-second netting batch window is a starting point. At higher order volume, a shorter window (e.g. 10 seconds) reduces LP settlement latency. At lower volume, a longer window (e.g. 60 seconds) increases netting efficiency. This should be configurable per chain with a monitoring-driven tuning policy.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Multi-currency LP payout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The current spec settles all LP payouts in USDC. Some LPs may prefer to receive settlement in the asset they delivered (e.g. receive ETH rather than USDC). This requires an additional swap step in the payout routing. Out of scope for v1.0.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Extraction reversal automation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The EXTRACTION_CONFIRMS_DELIVERY_FAILS path (§12) currently requires manual coordination. In v1.0 this is acceptable given expected order volume. Before launch, the reversal should be automated: Orchestration detects the failure condition and triggers the reversal flow without human intervention.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Regulatory reporting on settlement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Some jurisdictions may require real-time reporting of settlement events above certain thresholds. The Settlement Engine's event log via Orchestration provides the data. The reporting layer sits above the ledger and is out of scope for this spec.</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EF" w:val="clear"/>
            <w:tcMar>
              <w:top w:type="dxa" w:w="120"/>
              <w:left w:type="dxa" w:w="200"/>
              <w:bottom w:type="dxa" w:w="120"/>
              <w:right w:type="dxa" w:w="200"/>
            </w:tcMar>
          </w:tcPr>
          <w:p>
            <w:r>
              <w:rPr>
                <w:rFonts w:ascii="Arial" w:cs="Arial" w:eastAsia="Arial" w:hAnsi="Arial"/>
                <w:b/>
                <w:bCs/>
                <w:color w:val="1A5C35"/>
                <w:sz w:val="21"/>
                <w:szCs w:val="21"/>
              </w:rPr>
              <w:t xml:space="preserve">NEXT STEP  </w:t>
            </w:r>
            <w:r>
              <w:rPr>
                <w:rFonts w:ascii="Arial" w:cs="Arial" w:eastAsia="Arial" w:hAnsi="Arial"/>
                <w:b w:val="false"/>
                <w:bCs w:val="false"/>
                <w:color w:val="444444"/>
                <w:sz w:val="21"/>
                <w:szCs w:val="21"/>
              </w:rPr>
              <w:t xml:space="preserve">Settlement Engine implementation — build to this spec. Then: connect Execution Engine and Settlement Engine to the Orchestration Engine. The connection step replaces placeholder engine implementations in the Orchestration Engine with the real standalone modules.</w:t>
            </w:r>
          </w:p>
        </w:tc>
      </w:tr>
    </w:tbl>
    <w:p>
      <w:pPr>
        <w:spacing w:before="160" w:after="0"/>
      </w:pPr>
    </w:p>
    <w:p>
      <w:pPr>
        <w:jc w:val="center"/>
      </w:pPr>
      <w:r>
        <w:rPr>
          <w:rFonts w:ascii="Arial" w:cs="Arial" w:eastAsia="Arial" w:hAnsi="Arial"/>
          <w:b/>
          <w:bCs/>
          <w:color w:val="1B3A5C"/>
          <w:sz w:val="20"/>
          <w:szCs w:val="20"/>
        </w:rPr>
        <w:t xml:space="preserve">TENET SYSTEMS  ·  Settlement Engine Specification v1.0  ·  Confidential</w:t>
      </w:r>
    </w:p>
    <w:p>
      <w:pPr>
        <w:jc w:val="center"/>
      </w:pPr>
      <w:r>
        <w:rPr>
          <w:rFonts w:ascii="Arial" w:cs="Arial" w:eastAsia="Arial" w:hAnsi="Arial"/>
          <w:b w:val="false"/>
          <w:bCs w:val="false"/>
          <w:color w:val="2E6DA4"/>
          <w:sz w:val="20"/>
          <w:szCs w:val="20"/>
        </w:rPr>
        <w:t xml:space="preserve">tenet-systems.netlify.app</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color w:val="AAAAAA"/>
        <w:sz w:val="18"/>
        <w:szCs w:val="18"/>
      </w:rPr>
      <w:t xml:space="preserve">TENET SYSTEMS  ·  Settlement Engine Specification  ·  v1.0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B3A5C"/>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E6DA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2026-03-16T18:49:37.774Z</dcterms:created>
  <dcterms:modified xsi:type="dcterms:W3CDTF">2026-03-16T18:49:37.775Z</dcterms:modified>
</cp:coreProperties>
</file>

<file path=docProps/custom.xml><?xml version="1.0" encoding="utf-8"?>
<Properties xmlns="http://schemas.openxmlformats.org/officeDocument/2006/custom-properties" xmlns:vt="http://schemas.openxmlformats.org/officeDocument/2006/docPropsVTypes"/>
</file>