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SAP Configuration Guide</w:t>
      </w:r>
    </w:p>
    <w:p>
      <w:pPr>
        <w:jc w:val="center"/>
      </w:pPr>
      <w:r>
        <w:rPr>
          <w:color w:val="404040"/>
          <w:sz w:val="28"/>
        </w:rPr>
        <w:t>L4 Process: Save Return Credit Memo Invoice</w:t>
      </w:r>
    </w:p>
    <w:p>
      <w:pPr>
        <w:jc w:val="center"/>
      </w:pPr>
      <w:r>
        <w:rPr>
          <w:i/>
          <w:sz w:val="20"/>
        </w:rPr>
        <w:t>Process Code: OM-050-020-040 | L2: OM-050 | Scenario: Customer Returns Management | Date: September 4, 2026</w:t>
      </w:r>
    </w:p>
    <w:p/>
    <w:p>
      <w:pPr>
        <w:pStyle w:val="Heading1"/>
      </w:pPr>
      <w:r>
        <w:t>1. Executive Summary</w:t>
      </w:r>
    </w:p>
    <w:p>
      <w:r>
        <w:t>This process saves the return credit memo invoice in the system after validations, creating the accounting entry and reducing customer AR balance. The saved credit memo becomes binding and cannot be modified.</w:t>
      </w:r>
    </w:p>
    <w:p>
      <w:pPr>
        <w:pStyle w:val="Heading1"/>
      </w:pPr>
      <w:r>
        <w:t>2. Prerequisites &amp; Master Data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Master Data</w:t>
            </w:r>
          </w:p>
        </w:tc>
        <w:tc>
          <w:tcPr>
            <w:tcW w:type="dxa" w:w="3120"/>
          </w:tcPr>
          <w:p>
            <w:r>
              <w:t>Description</w:t>
            </w:r>
          </w:p>
        </w:tc>
        <w:tc>
          <w:tcPr>
            <w:tcW w:type="dxa" w:w="3120"/>
          </w:tcPr>
          <w:p>
            <w:r>
              <w:t>Transaction/Table</w:t>
            </w:r>
          </w:p>
        </w:tc>
      </w:tr>
      <w:tr>
        <w:tc>
          <w:tcPr>
            <w:tcW w:type="dxa" w:w="3120"/>
          </w:tcPr>
          <w:p>
            <w:r>
              <w:t>Number Ranges</w:t>
            </w:r>
          </w:p>
        </w:tc>
        <w:tc>
          <w:tcPr>
            <w:tcW w:type="dxa" w:w="3120"/>
          </w:tcPr>
          <w:p>
            <w:r>
              <w:t>Configure number ranges for credit memo invoices</w:t>
            </w:r>
          </w:p>
        </w:tc>
        <w:tc>
          <w:tcPr>
            <w:tcW w:type="dxa" w:w="3120"/>
          </w:tcPr>
          <w:p>
            <w:r>
              <w:t>VN01</w:t>
            </w:r>
          </w:p>
        </w:tc>
      </w:tr>
      <w:tr>
        <w:tc>
          <w:tcPr>
            <w:tcW w:type="dxa" w:w="3120"/>
          </w:tcPr>
          <w:p>
            <w:r>
              <w:t>Document Flow</w:t>
            </w:r>
          </w:p>
        </w:tc>
        <w:tc>
          <w:tcPr>
            <w:tcW w:type="dxa" w:w="3120"/>
          </w:tcPr>
          <w:p>
            <w:r>
              <w:t>Define follow-on documents from return invoices</w:t>
            </w:r>
          </w:p>
        </w:tc>
        <w:tc>
          <w:tcPr>
            <w:tcW w:type="dxa" w:w="3120"/>
          </w:tcPr>
          <w:p>
            <w:r>
              <w:t>OV08</w:t>
            </w:r>
          </w:p>
        </w:tc>
      </w:tr>
      <w:tr>
        <w:tc>
          <w:tcPr>
            <w:tcW w:type="dxa" w:w="3120"/>
          </w:tcPr>
          <w:p>
            <w:r>
              <w:t>Posting Period Control</w:t>
            </w:r>
          </w:p>
        </w:tc>
        <w:tc>
          <w:tcPr>
            <w:tcW w:type="dxa" w:w="3120"/>
          </w:tcPr>
          <w:p>
            <w:r>
              <w:t>Set permissible posting periods for credit memos</w:t>
            </w:r>
          </w:p>
        </w:tc>
        <w:tc>
          <w:tcPr>
            <w:tcW w:type="dxa" w:w="3120"/>
          </w:tcPr>
          <w:p>
            <w:r>
              <w:t>IMG -&gt; FI -&gt; Posting Period</w:t>
            </w:r>
          </w:p>
        </w:tc>
      </w:tr>
    </w:tbl>
    <w:p>
      <w:pPr>
        <w:pStyle w:val="Heading1"/>
      </w:pPr>
      <w:r>
        <w:t>3. Step-by-Step Configuration</w:t>
      </w:r>
    </w:p>
    <w:p>
      <w:pPr>
        <w:pStyle w:val="Heading2"/>
      </w:pPr>
      <w:r>
        <w:t>3.1 Credit Memo Number Range</w:t>
      </w:r>
    </w:p>
    <w:p>
      <w:r>
        <w:t>Navigate to: VN01 (Number Range Maintenance)</w:t>
        <w:br/>
        <w:t>1. Define number range for credit memos:</w:t>
        <w:br/>
        <w:t xml:space="preserve">   - External: Customer provides number</w:t>
        <w:br/>
        <w:t xml:space="preserve">   - Internal: SAP auto-generates</w:t>
        <w:br/>
        <w:t>2. Set range (e.g., 7000000-7999999)</w:t>
        <w:br/>
        <w:t>3. Save</w:t>
      </w:r>
    </w:p>
    <w:p>
      <w:pPr>
        <w:pStyle w:val="Heading2"/>
      </w:pPr>
      <w:r>
        <w:t>3.2 Document Flow for Returns</w:t>
      </w:r>
    </w:p>
    <w:p>
      <w:r>
        <w:t>Navigate to: OV08 (Document Flow)</w:t>
        <w:br/>
        <w:t>1. Define flow:</w:t>
        <w:br/>
        <w:t xml:space="preserve">   - Source: Return order (VBAK type RE)</w:t>
        <w:br/>
        <w:t xml:space="preserve">   - Follow-on: Credit memo (VBRK type G2)</w:t>
        <w:br/>
        <w:t xml:space="preserve">   - Mandatory: Yes</w:t>
        <w:br/>
        <w:t>2. Set predecessor requirement</w:t>
        <w:br/>
        <w:t>3. Save</w:t>
      </w:r>
    </w:p>
    <w:p>
      <w:pPr>
        <w:pStyle w:val="Heading2"/>
      </w:pPr>
      <w:r>
        <w:t>3.3 Posting Period Control</w:t>
      </w:r>
    </w:p>
    <w:p>
      <w:r>
        <w:t>Navigate to: IMG -&gt; FI -&gt; GL -&gt; Document -&gt; Posting Periods</w:t>
        <w:br/>
        <w:t>1. Define posting periods:</w:t>
        <w:br/>
        <w:t xml:space="preserve">   - Monthly periods</w:t>
        <w:br/>
        <w:t xml:space="preserve">   - Company code scope</w:t>
        <w:br/>
        <w:t xml:space="preserve">   - Posting allowed for current + 1 prior month</w:t>
        <w:br/>
        <w:t>2. Save</w:t>
      </w:r>
    </w:p>
    <w:p>
      <w:pPr>
        <w:pStyle w:val="Heading1"/>
      </w:pPr>
      <w:r>
        <w:t>4. Key SAP Transactions &amp;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Transaction Code</w:t>
            </w:r>
          </w:p>
        </w:tc>
        <w:tc>
          <w:tcPr>
            <w:tcW w:type="dxa" w:w="3120"/>
          </w:tcPr>
          <w:p>
            <w:r>
              <w:t>Description</w:t>
            </w:r>
          </w:p>
        </w:tc>
        <w:tc>
          <w:tcPr>
            <w:tcW w:type="dxa" w:w="3120"/>
          </w:tcPr>
          <w:p>
            <w:r>
              <w:t>Tables Used</w:t>
            </w:r>
          </w:p>
        </w:tc>
      </w:tr>
      <w:tr>
        <w:tc>
          <w:tcPr>
            <w:tcW w:type="dxa" w:w="3120"/>
          </w:tcPr>
          <w:p>
            <w:r>
              <w:t>VF01</w:t>
            </w:r>
          </w:p>
        </w:tc>
        <w:tc>
          <w:tcPr>
            <w:tcW w:type="dxa" w:w="3120"/>
          </w:tcPr>
          <w:p>
            <w:r>
              <w:t>Create Credit Memo</w:t>
            </w:r>
          </w:p>
        </w:tc>
        <w:tc>
          <w:tcPr>
            <w:tcW w:type="dxa" w:w="3120"/>
          </w:tcPr>
          <w:p>
            <w:r>
              <w:t>VBRK, VBRP</w:t>
            </w:r>
          </w:p>
        </w:tc>
      </w:tr>
      <w:tr>
        <w:tc>
          <w:tcPr>
            <w:tcW w:type="dxa" w:w="3120"/>
          </w:tcPr>
          <w:p>
            <w:r>
              <w:t>VF02</w:t>
            </w:r>
          </w:p>
        </w:tc>
        <w:tc>
          <w:tcPr>
            <w:tcW w:type="dxa" w:w="3120"/>
          </w:tcPr>
          <w:p>
            <w:r>
              <w:t>Modify Credit Memo</w:t>
            </w:r>
          </w:p>
        </w:tc>
        <w:tc>
          <w:tcPr>
            <w:tcW w:type="dxa" w:w="3120"/>
          </w:tcPr>
          <w:p>
            <w:r>
              <w:t>VBRK, VBRP</w:t>
            </w:r>
          </w:p>
        </w:tc>
      </w:tr>
      <w:tr>
        <w:tc>
          <w:tcPr>
            <w:tcW w:type="dxa" w:w="3120"/>
          </w:tcPr>
          <w:p>
            <w:r>
              <w:t>VF03</w:t>
            </w:r>
          </w:p>
        </w:tc>
        <w:tc>
          <w:tcPr>
            <w:tcW w:type="dxa" w:w="3120"/>
          </w:tcPr>
          <w:p>
            <w:r>
              <w:t>Display Credit Memo</w:t>
            </w:r>
          </w:p>
        </w:tc>
        <w:tc>
          <w:tcPr>
            <w:tcW w:type="dxa" w:w="3120"/>
          </w:tcPr>
          <w:p>
            <w:r>
              <w:t>VBRK, VBRP</w:t>
            </w:r>
          </w:p>
        </w:tc>
      </w:tr>
      <w:tr>
        <w:tc>
          <w:tcPr>
            <w:tcW w:type="dxa" w:w="3120"/>
          </w:tcPr>
          <w:p>
            <w:r>
              <w:t>VN01</w:t>
            </w:r>
          </w:p>
        </w:tc>
        <w:tc>
          <w:tcPr>
            <w:tcW w:type="dxa" w:w="3120"/>
          </w:tcPr>
          <w:p>
            <w:r>
              <w:t>Number Range Maintenance</w:t>
            </w:r>
          </w:p>
        </w:tc>
        <w:tc>
          <w:tcPr>
            <w:tcW w:type="dxa" w:w="3120"/>
          </w:tcPr>
          <w:p>
            <w:r>
              <w:t>NRIV</w:t>
            </w:r>
          </w:p>
        </w:tc>
      </w:tr>
      <w:tr>
        <w:tc>
          <w:tcPr>
            <w:tcW w:type="dxa" w:w="3120"/>
          </w:tcPr>
          <w:p>
            <w:r>
              <w:t>OV08</w:t>
            </w:r>
          </w:p>
        </w:tc>
        <w:tc>
          <w:tcPr>
            <w:tcW w:type="dxa" w:w="3120"/>
          </w:tcPr>
          <w:p>
            <w:r>
              <w:t>Document Flow Config</w:t>
            </w:r>
          </w:p>
        </w:tc>
        <w:tc>
          <w:tcPr>
            <w:tcW w:type="dxa" w:w="3120"/>
          </w:tcPr>
          <w:p>
            <w:r>
              <w:t>TVAOT</w:t>
            </w:r>
          </w:p>
        </w:tc>
      </w:tr>
    </w:tbl>
    <w:p>
      <w:pPr>
        <w:pStyle w:val="Heading1"/>
      </w:pPr>
      <w:r>
        <w:t>5. Key Customization Points</w:t>
      </w:r>
    </w:p>
    <w:p>
      <w:pPr>
        <w:pStyle w:val="ListNumber"/>
      </w:pPr>
      <w:r>
        <w:t>Draft ModeAllow saving credit memo in draft status before finalization</w:t>
      </w:r>
    </w:p>
    <w:p>
      <w:pPr>
        <w:pStyle w:val="ListNumber"/>
      </w:pPr>
      <w:r>
        <w:t>Save ValidationEnforce required fields (reason, approval, amount)</w:t>
      </w:r>
    </w:p>
    <w:p>
      <w:pPr>
        <w:pStyle w:val="ListNumber"/>
      </w:pPr>
      <w:r>
        <w:t>Notification on SaveAlert customer/finance when credit memo created</w:t>
      </w:r>
    </w:p>
    <w:p>
      <w:pPr>
        <w:pStyle w:val="ListNumber"/>
      </w:pPr>
      <w:r>
        <w:t>Auto-GL PostingAutomatically post GL on credit memo save</w:t>
      </w:r>
    </w:p>
    <w:p>
      <w:pPr>
        <w:pStyle w:val="Heading1"/>
      </w:pPr>
      <w:r>
        <w:t>6. Testing &amp; Validation Checklist</w:t>
      </w:r>
    </w:p>
    <w:p>
      <w:pPr>
        <w:pStyle w:val="ListBullet"/>
      </w:pPr>
      <w:r>
        <w:t>Test creation of save return credit memo invoice</w:t>
      </w:r>
    </w:p>
    <w:p>
      <w:pPr>
        <w:pStyle w:val="ListBullet"/>
      </w:pPr>
      <w:r>
        <w:t>Verify all mandatory fields enforced</w:t>
      </w:r>
    </w:p>
    <w:p>
      <w:pPr>
        <w:pStyle w:val="ListBullet"/>
      </w:pPr>
      <w:r>
        <w:t>Validate GL posting (if applicable)</w:t>
      </w:r>
    </w:p>
    <w:p>
      <w:pPr>
        <w:pStyle w:val="ListBullet"/>
      </w:pPr>
      <w:r>
        <w:t>Test document flow and follow-on documents</w:t>
      </w:r>
    </w:p>
    <w:p>
      <w:pPr>
        <w:pStyle w:val="ListBullet"/>
      </w:pPr>
      <w:r>
        <w:t>Verify number range assignment</w:t>
      </w:r>
    </w:p>
    <w:p>
      <w:pPr>
        <w:pStyle w:val="ListBullet"/>
      </w:pPr>
      <w:r>
        <w:t>Test workflow/approval (if configured)</w:t>
      </w:r>
    </w:p>
    <w:p/>
    <w:p>
      <w:pPr>
        <w:jc w:val="center"/>
      </w:pPr>
      <w:r>
        <w:rPr>
          <w:i/>
          <w:color w:val="808080"/>
          <w:sz w:val="16"/>
        </w:rPr>
        <w:t>Document prepared by Claude (Deloitte) | For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