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8"/>
        </w:rPr>
        <w:t>SAP Configuration Guide</w:t>
      </w:r>
    </w:p>
    <w:p>
      <w:pPr>
        <w:jc w:val="center"/>
      </w:pPr>
      <w:r>
        <w:rPr>
          <w:color w:val="404040"/>
          <w:sz w:val="28"/>
        </w:rPr>
        <w:t>L4 Process: Save Sales Order</w:t>
      </w:r>
    </w:p>
    <w:p>
      <w:pPr>
        <w:jc w:val="center"/>
      </w:pPr>
      <w:r>
        <w:rPr>
          <w:i/>
          <w:sz w:val="20"/>
        </w:rPr>
        <w:t>Process Code: OM-130-010-110 | L2: OM-130 | Scenario: Intercompany Sales (Dropshipment) | Date: September 4, 2026</w:t>
      </w:r>
    </w:p>
    <w:p/>
    <w:p>
      <w:pPr>
        <w:pStyle w:val="Heading1"/>
      </w:pPr>
      <w:r>
        <w:t>1. Executive Summary</w:t>
      </w:r>
    </w:p>
    <w:p>
      <w:r>
        <w:t>This process creates a credit memo invoice for approved returns, documenting the customer credit and reducing accounts receivable. The return invoice reflects the return reason and approved credit amount.</w:t>
      </w:r>
    </w:p>
    <w:p>
      <w:pPr>
        <w:pStyle w:val="Heading1"/>
      </w:pPr>
      <w:r>
        <w:t>2. Prerequisites &amp; Master Data Requirements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Master Data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Transaction/Table</w:t>
            </w:r>
          </w:p>
        </w:tc>
      </w:tr>
      <w:tr>
        <w:tc>
          <w:tcPr>
            <w:tcW w:type="dxa" w:w="3120"/>
          </w:tcPr>
          <w:p>
            <w:r>
              <w:t>Credit Memo Billing Type</w:t>
            </w:r>
          </w:p>
        </w:tc>
        <w:tc>
          <w:tcPr>
            <w:tcW w:type="dxa" w:w="3120"/>
          </w:tcPr>
          <w:p>
            <w:r>
              <w:t>Define billing type for return invoices</w:t>
            </w:r>
          </w:p>
        </w:tc>
        <w:tc>
          <w:tcPr>
            <w:tcW w:type="dxa" w:w="3120"/>
          </w:tcPr>
          <w:p>
            <w:r>
              <w:t>OV01F (Table: TVFZ)</w:t>
            </w:r>
          </w:p>
        </w:tc>
      </w:tr>
      <w:tr>
        <w:tc>
          <w:tcPr>
            <w:tcW w:type="dxa" w:w="3120"/>
          </w:tcPr>
          <w:p>
            <w:r>
              <w:t>Return GL Accounts</w:t>
            </w:r>
          </w:p>
        </w:tc>
        <w:tc>
          <w:tcPr>
            <w:tcW w:type="dxa" w:w="3120"/>
          </w:tcPr>
          <w:p>
            <w:r>
              <w:t>Set GL accounts for return crediting and adjustments</w:t>
            </w:r>
          </w:p>
        </w:tc>
        <w:tc>
          <w:tcPr>
            <w:tcW w:type="dxa" w:w="3120"/>
          </w:tcPr>
          <w:p>
            <w:r>
              <w:t>FS00</w:t>
            </w:r>
          </w:p>
        </w:tc>
      </w:tr>
      <w:tr>
        <w:tc>
          <w:tcPr>
            <w:tcW w:type="dxa" w:w="3120"/>
          </w:tcPr>
          <w:p>
            <w:r>
              <w:t>Return Pricing Rules</w:t>
            </w:r>
          </w:p>
        </w:tc>
        <w:tc>
          <w:tcPr>
            <w:tcW w:type="dxa" w:w="3120"/>
          </w:tcPr>
          <w:p>
            <w:r>
              <w:t>Define pricing for return invoices (full credit, partial, restocking fee)</w:t>
            </w:r>
          </w:p>
        </w:tc>
        <w:tc>
          <w:tcPr>
            <w:tcW w:type="dxa" w:w="3120"/>
          </w:tcPr>
          <w:p>
            <w:r>
              <w:t>VK12</w:t>
            </w:r>
          </w:p>
        </w:tc>
      </w:tr>
    </w:tbl>
    <w:p>
      <w:pPr>
        <w:pStyle w:val="Heading1"/>
      </w:pPr>
      <w:r>
        <w:t>3. Step-by-Step Configuration</w:t>
      </w:r>
    </w:p>
    <w:p>
      <w:pPr>
        <w:pStyle w:val="Heading2"/>
      </w:pPr>
      <w:r>
        <w:t>3.1 Credit Memo Billing Type</w:t>
      </w:r>
    </w:p>
    <w:p>
      <w:r>
        <w:t>Navigate to: OV01F (Billing Type)</w:t>
        <w:br/>
        <w:t>1. Create/Edit billing type for returns (e.g., G2)</w:t>
        <w:br/>
        <w:t>2. Configure:</w:t>
        <w:br/>
        <w:t xml:space="preserve">   - Number range for credit memos</w:t>
        <w:br/>
        <w:t xml:space="preserve">   - GL posting rules:</w:t>
        <w:br/>
        <w:t xml:space="preserve">     * Debit: AR account</w:t>
        <w:br/>
        <w:t xml:space="preserve">     * Credit: Sales returns account</w:t>
        <w:br/>
        <w:t xml:space="preserve">   - Tax determination</w:t>
        <w:br/>
        <w:t>3. Save</w:t>
      </w:r>
    </w:p>
    <w:p>
      <w:pPr>
        <w:pStyle w:val="Heading2"/>
      </w:pPr>
      <w:r>
        <w:t>3.2 Return GL Account Setup</w:t>
      </w:r>
    </w:p>
    <w:p>
      <w:r>
        <w:t>Navigate to: FS00 (GL Master)</w:t>
        <w:br/>
        <w:t>1. Create GL accounts:</w:t>
        <w:br/>
        <w:t xml:space="preserve">   - Sales returns debit (41xxxx)</w:t>
        <w:br/>
        <w:t xml:space="preserve">   - Return allowance (42xxxx)</w:t>
        <w:br/>
        <w:t xml:space="preserve">   - Restocking charge revenue (43xxxx)</w:t>
        <w:br/>
        <w:t>2. Link to return reasons</w:t>
        <w:br/>
        <w:t>3. Save</w:t>
      </w:r>
    </w:p>
    <w:p>
      <w:pPr>
        <w:pStyle w:val="Heading2"/>
      </w:pPr>
      <w:r>
        <w:t>3.3 Return Pricing Configuration</w:t>
      </w:r>
    </w:p>
    <w:p>
      <w:r>
        <w:t>Navigate to: VK12 (Pricing)</w:t>
        <w:br/>
        <w:t>1. Create pricing conditions:</w:t>
        <w:br/>
        <w:t xml:space="preserve">   - Return base price (PR00 = negative)</w:t>
        <w:br/>
        <w:t xml:space="preserve">   - Restocking charge (RSTO)</w:t>
        <w:br/>
        <w:t xml:space="preserve">   - Return discount (if applicable)</w:t>
        <w:br/>
        <w:t>2. Set access sequences</w:t>
        <w:br/>
        <w:t>3. Save</w:t>
      </w:r>
    </w:p>
    <w:p>
      <w:pPr>
        <w:pStyle w:val="Heading1"/>
      </w:pPr>
      <w:r>
        <w:t>4. Key SAP Transactions &amp; Tables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t>Transaction Code</w:t>
            </w:r>
          </w:p>
        </w:tc>
        <w:tc>
          <w:tcPr>
            <w:tcW w:type="dxa" w:w="3120"/>
          </w:tcPr>
          <w:p>
            <w:r>
              <w:t>Description</w:t>
            </w:r>
          </w:p>
        </w:tc>
        <w:tc>
          <w:tcPr>
            <w:tcW w:type="dxa" w:w="3120"/>
          </w:tcPr>
          <w:p>
            <w:r>
              <w:t>Tables Used</w:t>
            </w:r>
          </w:p>
        </w:tc>
      </w:tr>
      <w:tr>
        <w:tc>
          <w:tcPr>
            <w:tcW w:type="dxa" w:w="3120"/>
          </w:tcPr>
          <w:p>
            <w:r>
              <w:t>VF01</w:t>
            </w:r>
          </w:p>
        </w:tc>
        <w:tc>
          <w:tcPr>
            <w:tcW w:type="dxa" w:w="3120"/>
          </w:tcPr>
          <w:p>
            <w:r>
              <w:t>Create Credit Memo (Return Invoice)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VF02</w:t>
            </w:r>
          </w:p>
        </w:tc>
        <w:tc>
          <w:tcPr>
            <w:tcW w:type="dxa" w:w="3120"/>
          </w:tcPr>
          <w:p>
            <w:r>
              <w:t>Modify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VF03</w:t>
            </w:r>
          </w:p>
        </w:tc>
        <w:tc>
          <w:tcPr>
            <w:tcW w:type="dxa" w:w="3120"/>
          </w:tcPr>
          <w:p>
            <w:r>
              <w:t>Display Credit Memo</w:t>
            </w:r>
          </w:p>
        </w:tc>
        <w:tc>
          <w:tcPr>
            <w:tcW w:type="dxa" w:w="3120"/>
          </w:tcPr>
          <w:p>
            <w:r>
              <w:t>VBRK, VBRP</w:t>
            </w:r>
          </w:p>
        </w:tc>
      </w:tr>
      <w:tr>
        <w:tc>
          <w:tcPr>
            <w:tcW w:type="dxa" w:w="3120"/>
          </w:tcPr>
          <w:p>
            <w:r>
              <w:t>FB01</w:t>
            </w:r>
          </w:p>
        </w:tc>
        <w:tc>
          <w:tcPr>
            <w:tcW w:type="dxa" w:w="3120"/>
          </w:tcPr>
          <w:p>
            <w:r>
              <w:t>GL Posting from Credit Memo</w:t>
            </w:r>
          </w:p>
        </w:tc>
        <w:tc>
          <w:tcPr>
            <w:tcW w:type="dxa" w:w="3120"/>
          </w:tcPr>
          <w:p>
            <w:r>
              <w:t>BKPF, BSEG</w:t>
            </w:r>
          </w:p>
        </w:tc>
      </w:tr>
      <w:tr>
        <w:tc>
          <w:tcPr>
            <w:tcW w:type="dxa" w:w="3120"/>
          </w:tcPr>
          <w:p>
            <w:r>
              <w:t>FBL1N</w:t>
            </w:r>
          </w:p>
        </w:tc>
        <w:tc>
          <w:tcPr>
            <w:tcW w:type="dxa" w:w="3120"/>
          </w:tcPr>
          <w:p>
            <w:r>
              <w:t>Open Items (AR check)</w:t>
            </w:r>
          </w:p>
        </w:tc>
        <w:tc>
          <w:tcPr>
            <w:tcW w:type="dxa" w:w="3120"/>
          </w:tcPr>
          <w:p>
            <w:r>
              <w:t>BSEG</w:t>
            </w:r>
          </w:p>
        </w:tc>
      </w:tr>
    </w:tbl>
    <w:p>
      <w:pPr>
        <w:pStyle w:val="Heading1"/>
      </w:pPr>
      <w:r>
        <w:t>5. Key Customization Points</w:t>
      </w:r>
    </w:p>
    <w:p>
      <w:pPr>
        <w:pStyle w:val="ListNumber"/>
      </w:pPr>
      <w:r>
        <w:t>Auto Credit CalculationAutomatically calculate credit based on return reason, item condition, and restocking fee</w:t>
      </w:r>
    </w:p>
    <w:p>
      <w:pPr>
        <w:pStyle w:val="ListNumber"/>
      </w:pPr>
      <w:r>
        <w:t>Credit Hold for VerificationHold credit release pending manual verification</w:t>
      </w:r>
    </w:p>
    <w:p>
      <w:pPr>
        <w:pStyle w:val="ListNumber"/>
      </w:pPr>
      <w:r>
        <w:t>Dunning IntegrationLink return crediting to dunning management</w:t>
      </w:r>
    </w:p>
    <w:p>
      <w:pPr>
        <w:pStyle w:val="ListNumber"/>
      </w:pPr>
      <w:r>
        <w:t>Credit Memo PortalAllow customers to view return status and credit memo online</w:t>
      </w:r>
    </w:p>
    <w:p>
      <w:pPr>
        <w:pStyle w:val="Heading1"/>
      </w:pPr>
      <w:r>
        <w:t>6. Testing &amp; Validation Checklist</w:t>
      </w:r>
    </w:p>
    <w:p>
      <w:pPr>
        <w:pStyle w:val="ListBullet"/>
      </w:pPr>
      <w:r>
        <w:t>Test creation of save sales order</w:t>
      </w:r>
    </w:p>
    <w:p>
      <w:pPr>
        <w:pStyle w:val="ListBullet"/>
      </w:pPr>
      <w:r>
        <w:t>Verify all mandatory fields enforced</w:t>
      </w:r>
    </w:p>
    <w:p>
      <w:pPr>
        <w:pStyle w:val="ListBullet"/>
      </w:pPr>
      <w:r>
        <w:t>Validate GL posting (if applicable)</w:t>
      </w:r>
    </w:p>
    <w:p>
      <w:pPr>
        <w:pStyle w:val="ListBullet"/>
      </w:pPr>
      <w:r>
        <w:t>Test document flow and follow-on documents</w:t>
      </w:r>
    </w:p>
    <w:p>
      <w:pPr>
        <w:pStyle w:val="ListBullet"/>
      </w:pPr>
      <w:r>
        <w:t>Verify number range assignment</w:t>
      </w:r>
    </w:p>
    <w:p>
      <w:pPr>
        <w:pStyle w:val="ListBullet"/>
      </w:pPr>
      <w:r>
        <w:t>Test workflow/approval (if configured)</w:t>
      </w:r>
    </w:p>
    <w:p/>
    <w:p>
      <w:pPr>
        <w:jc w:val="center"/>
      </w:pPr>
      <w:r>
        <w:rPr>
          <w:i/>
          <w:color w:val="808080"/>
          <w:sz w:val="16"/>
        </w:rPr>
        <w:t>Document prepared by Claude (Deloitte) | For internal use only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