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8"/>
        </w:rPr>
        <w:t>SAP Configuration Guide</w:t>
      </w:r>
    </w:p>
    <w:p>
      <w:pPr>
        <w:jc w:val="center"/>
      </w:pPr>
      <w:r>
        <w:rPr>
          <w:color w:val="404040"/>
          <w:sz w:val="28"/>
        </w:rPr>
        <w:t>L4 Process: Save Sales Order</w:t>
      </w:r>
    </w:p>
    <w:p>
      <w:pPr>
        <w:jc w:val="center"/>
      </w:pPr>
      <w:r>
        <w:rPr>
          <w:i/>
          <w:sz w:val="20"/>
        </w:rPr>
        <w:t>Process Code: OM-020-010-100 | Module: Sales &amp; Distribution (SD) | Date: September 4, 2026</w:t>
      </w:r>
    </w:p>
    <w:p/>
    <w:p>
      <w:pPr>
        <w:pStyle w:val="Heading1"/>
      </w:pPr>
      <w:r>
        <w:t>1. Executive Summary</w:t>
      </w:r>
    </w:p>
    <w:p>
      <w:r>
        <w:t>This process saves the sales order in SAP after all validations (credit check, availability check, pricing) are complete. The saved order generates follow-on documents such as delivery notes and invoices.</w:t>
      </w:r>
    </w:p>
    <w:p>
      <w:pPr>
        <w:pStyle w:val="Heading1"/>
      </w:pPr>
      <w:r>
        <w:t>2. Prerequisites &amp; Master Data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Master Data</w:t>
            </w:r>
          </w:p>
        </w:tc>
        <w:tc>
          <w:tcPr>
            <w:tcW w:type="dxa" w:w="3120"/>
          </w:tcPr>
          <w:p>
            <w:r>
              <w:t>Description</w:t>
            </w:r>
          </w:p>
        </w:tc>
        <w:tc>
          <w:tcPr>
            <w:tcW w:type="dxa" w:w="3120"/>
          </w:tcPr>
          <w:p>
            <w:r>
              <w:t>Transaction/Table</w:t>
            </w:r>
          </w:p>
        </w:tc>
      </w:tr>
      <w:tr>
        <w:tc>
          <w:tcPr>
            <w:tcW w:type="dxa" w:w="3120"/>
          </w:tcPr>
          <w:p>
            <w:r>
              <w:t>Sales Order Number Range</w:t>
            </w:r>
          </w:p>
        </w:tc>
        <w:tc>
          <w:tcPr>
            <w:tcW w:type="dxa" w:w="3120"/>
          </w:tcPr>
          <w:p>
            <w:r>
              <w:t>Configure external/internal number assignment</w:t>
            </w:r>
          </w:p>
        </w:tc>
        <w:tc>
          <w:tcPr>
            <w:tcW w:type="dxa" w:w="3120"/>
          </w:tcPr>
          <w:p>
            <w:r>
              <w:t>VN01 (Table: NRIV)</w:t>
            </w:r>
          </w:p>
        </w:tc>
      </w:tr>
      <w:tr>
        <w:tc>
          <w:tcPr>
            <w:tcW w:type="dxa" w:w="3120"/>
          </w:tcPr>
          <w:p>
            <w:r>
              <w:t>Order Type Configuration</w:t>
            </w:r>
          </w:p>
        </w:tc>
        <w:tc>
          <w:tcPr>
            <w:tcW w:type="dxa" w:w="3120"/>
          </w:tcPr>
          <w:p>
            <w:r>
              <w:t>Define order type settings for numbering and follow-on docs</w:t>
            </w:r>
          </w:p>
        </w:tc>
        <w:tc>
          <w:tcPr>
            <w:tcW w:type="dxa" w:w="3120"/>
          </w:tcPr>
          <w:p>
            <w:r>
              <w:t>OV01 (Table: TVOR)</w:t>
            </w:r>
          </w:p>
        </w:tc>
      </w:tr>
      <w:tr>
        <w:tc>
          <w:tcPr>
            <w:tcW w:type="dxa" w:w="3120"/>
          </w:tcPr>
          <w:p>
            <w:r>
              <w:t>Document Flow</w:t>
            </w:r>
          </w:p>
        </w:tc>
        <w:tc>
          <w:tcPr>
            <w:tcW w:type="dxa" w:w="3120"/>
          </w:tcPr>
          <w:p>
            <w:r>
              <w:t>Configure follow-on document creation rules</w:t>
            </w:r>
          </w:p>
        </w:tc>
        <w:tc>
          <w:tcPr>
            <w:tcW w:type="dxa" w:w="3120"/>
          </w:tcPr>
          <w:p>
            <w:r>
              <w:t>OV08 (Table: TVAOT)</w:t>
            </w:r>
          </w:p>
        </w:tc>
      </w:tr>
    </w:tbl>
    <w:p>
      <w:pPr>
        <w:pStyle w:val="Heading1"/>
      </w:pPr>
      <w:r>
        <w:t>3. Step-by-Step Configuration</w:t>
      </w:r>
    </w:p>
    <w:p>
      <w:pPr>
        <w:pStyle w:val="Heading2"/>
      </w:pPr>
      <w:r>
        <w:t>3.1 Configure Number Range</w:t>
      </w:r>
    </w:p>
    <w:p>
      <w:r>
        <w:t>Navigate to: VN01 (Number Range Maintenance)</w:t>
        <w:br/>
        <w:t>1. Select SAP SD (Sales &amp; Distribution) application</w:t>
        <w:br/>
        <w:t>2. Define/Edit number range for sales orders:</w:t>
        <w:br/>
        <w:t xml:space="preserve">   - External: Customer provides order number</w:t>
        <w:br/>
        <w:t xml:space="preserve">   - Internal: SAP auto-generates</w:t>
        <w:br/>
        <w:t>3. Set range (e.g., 10000000 - 19999999)</w:t>
        <w:br/>
        <w:t>4. Enable current number increment</w:t>
        <w:br/>
        <w:t>5. Save</w:t>
      </w:r>
    </w:p>
    <w:p>
      <w:pPr>
        <w:pStyle w:val="Heading2"/>
      </w:pPr>
      <w:r>
        <w:t>3.2 Order Type Numbering</w:t>
      </w:r>
    </w:p>
    <w:p>
      <w:r>
        <w:t>Navigate to: OV01 (Sales Order Type)</w:t>
        <w:br/>
        <w:t>1. Edit sales order type (TA)</w:t>
        <w:br/>
        <w:t>2. Assign number range:</w:t>
        <w:br/>
        <w:t xml:space="preserve">   - Internal number range key (if internal numbering)</w:t>
        <w:br/>
        <w:t xml:space="preserve">   - External range key (if external numbering)</w:t>
        <w:br/>
        <w:t>3. Define number range per sales org if needed</w:t>
        <w:br/>
        <w:t>4. Save</w:t>
      </w:r>
    </w:p>
    <w:p>
      <w:pPr>
        <w:pStyle w:val="Heading2"/>
      </w:pPr>
      <w:r>
        <w:t>3.3 Document Flow Configuration</w:t>
      </w:r>
    </w:p>
    <w:p>
      <w:r>
        <w:t>Navigate to: IMG -&gt; Sales and Distribution -&gt; Basic Functions -&gt; Document Flow -&gt; Define Document Flow</w:t>
        <w:br/>
        <w:t>1. Execute OV08</w:t>
        <w:br/>
        <w:t>2. Define document flow:</w:t>
        <w:br/>
        <w:t xml:space="preserve">   - Source doc: Sales Order (VBAK)</w:t>
        <w:br/>
        <w:t xml:space="preserve">   - Follow-on doc: Delivery (LIKP) or Invoice (VBRK)</w:t>
        <w:br/>
        <w:t>3. Set mandatory/optional flow</w:t>
        <w:br/>
        <w:t>4. Define predecessor document</w:t>
        <w:br/>
        <w:t>5. Save</w:t>
      </w:r>
    </w:p>
    <w:p>
      <w:pPr>
        <w:pStyle w:val="Heading1"/>
      </w:pPr>
      <w:r>
        <w:t>4. Key SAP Transactions &amp; Tables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Transaction Code</w:t>
            </w:r>
          </w:p>
        </w:tc>
        <w:tc>
          <w:tcPr>
            <w:tcW w:type="dxa" w:w="3120"/>
          </w:tcPr>
          <w:p>
            <w:r>
              <w:t>Description</w:t>
            </w:r>
          </w:p>
        </w:tc>
        <w:tc>
          <w:tcPr>
            <w:tcW w:type="dxa" w:w="3120"/>
          </w:tcPr>
          <w:p>
            <w:r>
              <w:t>Tables Used</w:t>
            </w:r>
          </w:p>
        </w:tc>
      </w:tr>
      <w:tr>
        <w:tc>
          <w:tcPr>
            <w:tcW w:type="dxa" w:w="3120"/>
          </w:tcPr>
          <w:p>
            <w:r>
              <w:t>VA01/VA02/VA03</w:t>
            </w:r>
          </w:p>
        </w:tc>
        <w:tc>
          <w:tcPr>
            <w:tcW w:type="dxa" w:w="3120"/>
          </w:tcPr>
          <w:p>
            <w:r>
              <w:t>Create/Modify/Display Sales Order</w:t>
            </w:r>
          </w:p>
        </w:tc>
        <w:tc>
          <w:tcPr>
            <w:tcW w:type="dxa" w:w="3120"/>
          </w:tcPr>
          <w:p>
            <w:r>
              <w:t>VBAK, VBAP, VBKD</w:t>
            </w:r>
          </w:p>
        </w:tc>
      </w:tr>
      <w:tr>
        <w:tc>
          <w:tcPr>
            <w:tcW w:type="dxa" w:w="3120"/>
          </w:tcPr>
          <w:p>
            <w:r>
              <w:t>VN01</w:t>
            </w:r>
          </w:p>
        </w:tc>
        <w:tc>
          <w:tcPr>
            <w:tcW w:type="dxa" w:w="3120"/>
          </w:tcPr>
          <w:p>
            <w:r>
              <w:t>Number Range Maintenance</w:t>
            </w:r>
          </w:p>
        </w:tc>
        <w:tc>
          <w:tcPr>
            <w:tcW w:type="dxa" w:w="3120"/>
          </w:tcPr>
          <w:p>
            <w:r>
              <w:t>NRIV</w:t>
            </w:r>
          </w:p>
        </w:tc>
      </w:tr>
      <w:tr>
        <w:tc>
          <w:tcPr>
            <w:tcW w:type="dxa" w:w="3120"/>
          </w:tcPr>
          <w:p>
            <w:r>
              <w:t>OV01</w:t>
            </w:r>
          </w:p>
        </w:tc>
        <w:tc>
          <w:tcPr>
            <w:tcW w:type="dxa" w:w="3120"/>
          </w:tcPr>
          <w:p>
            <w:r>
              <w:t>Sales Order Type Config</w:t>
            </w:r>
          </w:p>
        </w:tc>
        <w:tc>
          <w:tcPr>
            <w:tcW w:type="dxa" w:w="3120"/>
          </w:tcPr>
          <w:p>
            <w:r>
              <w:t>TVOR</w:t>
            </w:r>
          </w:p>
        </w:tc>
      </w:tr>
      <w:tr>
        <w:tc>
          <w:tcPr>
            <w:tcW w:type="dxa" w:w="3120"/>
          </w:tcPr>
          <w:p>
            <w:r>
              <w:t>OV08</w:t>
            </w:r>
          </w:p>
        </w:tc>
        <w:tc>
          <w:tcPr>
            <w:tcW w:type="dxa" w:w="3120"/>
          </w:tcPr>
          <w:p>
            <w:r>
              <w:t>Document Flow Definition</w:t>
            </w:r>
          </w:p>
        </w:tc>
        <w:tc>
          <w:tcPr>
            <w:tcW w:type="dxa" w:w="3120"/>
          </w:tcPr>
          <w:p>
            <w:r>
              <w:t>TVAOT</w:t>
            </w:r>
          </w:p>
        </w:tc>
      </w:tr>
      <w:tr>
        <w:tc>
          <w:tcPr>
            <w:tcW w:type="dxa" w:w="3120"/>
          </w:tcPr>
          <w:p>
            <w:r>
              <w:t>VA05</w:t>
            </w:r>
          </w:p>
        </w:tc>
        <w:tc>
          <w:tcPr>
            <w:tcW w:type="dxa" w:w="3120"/>
          </w:tcPr>
          <w:p>
            <w:r>
              <w:t>List Sales Orders</w:t>
            </w:r>
          </w:p>
        </w:tc>
        <w:tc>
          <w:tcPr>
            <w:tcW w:type="dxa" w:w="3120"/>
          </w:tcPr>
          <w:p>
            <w:r>
              <w:t>VBAK, VBAP</w:t>
            </w:r>
          </w:p>
        </w:tc>
      </w:tr>
    </w:tbl>
    <w:p>
      <w:pPr>
        <w:pStyle w:val="Heading1"/>
      </w:pPr>
      <w:r>
        <w:t>5. Key Customization Points</w:t>
      </w:r>
    </w:p>
    <w:p>
      <w:pPr>
        <w:pStyle w:val="ListNumber"/>
      </w:pPr>
      <w:r>
        <w:rPr>
          <w:b/>
        </w:rPr>
        <w:t xml:space="preserve">Custom Number Scheme: </w:t>
      </w:r>
      <w:r>
        <w:t>Implement Z-function to generate custom order numbers with business logic</w:t>
      </w:r>
    </w:p>
    <w:p>
      <w:pPr>
        <w:pStyle w:val="ListNumber"/>
      </w:pPr>
      <w:r>
        <w:rPr>
          <w:b/>
        </w:rPr>
        <w:t xml:space="preserve">Order Save Validation: </w:t>
      </w:r>
      <w:r>
        <w:t>Implement BAdI to enforce additional save validations (e.g., document total limits)</w:t>
      </w:r>
    </w:p>
    <w:p>
      <w:pPr>
        <w:pStyle w:val="ListNumber"/>
      </w:pPr>
      <w:r>
        <w:rPr>
          <w:b/>
        </w:rPr>
        <w:t xml:space="preserve">Post-Save Actions: </w:t>
      </w:r>
      <w:r>
        <w:t>Trigger automatic workflows (notification, reporting) after order save</w:t>
      </w:r>
    </w:p>
    <w:p>
      <w:pPr>
        <w:pStyle w:val="ListNumber"/>
      </w:pPr>
      <w:r>
        <w:rPr>
          <w:b/>
        </w:rPr>
        <w:t xml:space="preserve">Order Confirmation Email: </w:t>
      </w:r>
      <w:r>
        <w:t>Generate and send order confirmation to customer via ALE/EDI</w:t>
      </w:r>
    </w:p>
    <w:p>
      <w:pPr>
        <w:pStyle w:val="ListNumber"/>
      </w:pPr>
      <w:r>
        <w:rPr>
          <w:b/>
        </w:rPr>
        <w:t xml:space="preserve">Auto-Draft Mode: </w:t>
      </w:r>
      <w:r>
        <w:t>Save orders in draft status for later confirmation</w:t>
      </w:r>
    </w:p>
    <w:p>
      <w:pPr>
        <w:pStyle w:val="Heading1"/>
      </w:pPr>
      <w:r>
        <w:t>6. Testing &amp; Validation Checklist</w:t>
      </w:r>
    </w:p>
    <w:p>
      <w:pPr>
        <w:pStyle w:val="ListBullet"/>
      </w:pPr>
      <w:r>
        <w:t>Create and save order with internal numbering - verify order number assigned</w:t>
      </w:r>
    </w:p>
    <w:p>
      <w:pPr>
        <w:pStyle w:val="ListBullet"/>
      </w:pPr>
      <w:r>
        <w:t>Create and save order with external numbering - verify customer number accepted</w:t>
      </w:r>
    </w:p>
    <w:p>
      <w:pPr>
        <w:pStyle w:val="ListBullet"/>
      </w:pPr>
      <w:r>
        <w:t>Verify follow-on delivery document created on order save</w:t>
      </w:r>
    </w:p>
    <w:p>
      <w:pPr>
        <w:pStyle w:val="ListBullet"/>
      </w:pPr>
      <w:r>
        <w:t>Test order number uniqueness and no gaps in sequence</w:t>
      </w:r>
    </w:p>
    <w:p>
      <w:pPr>
        <w:pStyle w:val="ListBullet"/>
      </w:pPr>
      <w:r>
        <w:t>Verify order status changed to Confirmed after save</w:t>
      </w:r>
    </w:p>
    <w:p>
      <w:pPr>
        <w:pStyle w:val="ListBullet"/>
      </w:pPr>
      <w:r>
        <w:t>Test order can be retrieved for modification after save</w:t>
      </w:r>
    </w:p>
    <w:p>
      <w:pPr>
        <w:pStyle w:val="ListBullet"/>
      </w:pPr>
      <w:r>
        <w:t>Validate all order headers and items persisted correctly</w:t>
      </w:r>
    </w:p>
    <w:p>
      <w:pPr>
        <w:pStyle w:val="Heading1"/>
      </w:pPr>
      <w:r>
        <w:t>7. Common Errors &amp; Troubleshooting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Error Message</w:t>
            </w:r>
          </w:p>
        </w:tc>
        <w:tc>
          <w:tcPr>
            <w:tcW w:type="dxa" w:w="3120"/>
          </w:tcPr>
          <w:p>
            <w:r>
              <w:t>Root Cause</w:t>
            </w:r>
          </w:p>
        </w:tc>
        <w:tc>
          <w:tcPr>
            <w:tcW w:type="dxa" w:w="3120"/>
          </w:tcPr>
          <w:p>
            <w:r>
              <w:t>Resolution</w:t>
            </w:r>
          </w:p>
        </w:tc>
      </w:tr>
      <w:tr>
        <w:tc>
          <w:tcPr>
            <w:tcW w:type="dxa" w:w="3120"/>
          </w:tcPr>
          <w:p>
            <w:r>
              <w:t>Number range exhausted</w:t>
            </w:r>
          </w:p>
        </w:tc>
        <w:tc>
          <w:tcPr>
            <w:tcW w:type="dxa" w:w="3120"/>
          </w:tcPr>
          <w:p>
            <w:r>
              <w:t>Number range interval too small or incorrectly defined</w:t>
            </w:r>
          </w:p>
        </w:tc>
        <w:tc>
          <w:tcPr>
            <w:tcW w:type="dxa" w:w="3120"/>
          </w:tcPr>
          <w:p>
            <w:r>
              <w:t>Execute VN01, adjust upper limit of number range or create new range</w:t>
            </w:r>
          </w:p>
        </w:tc>
      </w:tr>
      <w:tr>
        <w:tc>
          <w:tcPr>
            <w:tcW w:type="dxa" w:w="3120"/>
          </w:tcPr>
          <w:p>
            <w:r>
              <w:t>Order not saved</w:t>
            </w:r>
          </w:p>
        </w:tc>
        <w:tc>
          <w:tcPr>
            <w:tcW w:type="dxa" w:w="3120"/>
          </w:tcPr>
          <w:p>
            <w:r>
              <w:t>Incompleteness procedures not satisfied</w:t>
            </w:r>
          </w:p>
        </w:tc>
        <w:tc>
          <w:tcPr>
            <w:tcW w:type="dxa" w:w="3120"/>
          </w:tcPr>
          <w:p>
            <w:r>
              <w:t>Review OVA1 configuration, complete all mandatory fields per procedure</w:t>
            </w:r>
          </w:p>
        </w:tc>
      </w:tr>
      <w:tr>
        <w:tc>
          <w:tcPr>
            <w:tcW w:type="dxa" w:w="3120"/>
          </w:tcPr>
          <w:p>
            <w:r>
              <w:t>Duplicate order number</w:t>
            </w:r>
          </w:p>
        </w:tc>
        <w:tc>
          <w:tcPr>
            <w:tcW w:type="dxa" w:w="3120"/>
          </w:tcPr>
          <w:p>
            <w:r>
              <w:t>External number already exists</w:t>
            </w:r>
          </w:p>
        </w:tc>
        <w:tc>
          <w:tcPr>
            <w:tcW w:type="dxa" w:w="3120"/>
          </w:tcPr>
          <w:p>
            <w:r>
              <w:t>Enable external number validation in OV01; verify number uniqueness in VBAK</w:t>
            </w:r>
          </w:p>
        </w:tc>
      </w:tr>
    </w:tbl>
    <w:p>
      <w:pPr>
        <w:pStyle w:val="Heading1"/>
      </w:pPr>
      <w:r>
        <w:t>8. Post-Configuration Activities</w:t>
      </w:r>
    </w:p>
    <w:p>
      <w:pPr>
        <w:pStyle w:val="ListBullet"/>
      </w:pPr>
      <w:r>
        <w:t>User Training: Train sales team on order creation and status tracking</w:t>
      </w:r>
    </w:p>
    <w:p>
      <w:pPr>
        <w:pStyle w:val="ListBullet"/>
      </w:pPr>
      <w:r>
        <w:t>Monitoring: Set up number range depletion alerts</w:t>
      </w:r>
    </w:p>
    <w:p>
      <w:pPr>
        <w:pStyle w:val="ListBullet"/>
      </w:pPr>
      <w:r>
        <w:t>Reporting: Create order status dashboards and SLA tracking</w:t>
      </w:r>
    </w:p>
    <w:p>
      <w:pPr>
        <w:pStyle w:val="ListBullet"/>
      </w:pPr>
      <w:r>
        <w:t>Archival: Configure old order archival strategy (yearly purge)</w:t>
      </w:r>
    </w:p>
    <w:p>
      <w:pPr>
        <w:pStyle w:val="ListBullet"/>
      </w:pPr>
      <w:r>
        <w:t>Integration: Link to ERP analytics for sales performance reporting</w:t>
      </w:r>
    </w:p>
    <w:p/>
    <w:p>
      <w:pPr>
        <w:jc w:val="center"/>
      </w:pPr>
      <w:r>
        <w:rPr>
          <w:i/>
          <w:color w:val="808080"/>
          <w:sz w:val="16"/>
        </w:rPr>
        <w:t>Document prepared by Claude (Deloitte) | For internal use only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