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8"/>
        </w:rPr>
        <w:t>SAP Configuration Guide</w:t>
      </w:r>
    </w:p>
    <w:p>
      <w:pPr>
        <w:jc w:val="center"/>
      </w:pPr>
      <w:r>
        <w:rPr>
          <w:color w:val="404040"/>
          <w:sz w:val="28"/>
        </w:rPr>
        <w:t>L4 Process: Generate accounting document</w:t>
      </w:r>
    </w:p>
    <w:p>
      <w:pPr>
        <w:jc w:val="center"/>
      </w:pPr>
      <w:r>
        <w:rPr>
          <w:i/>
          <w:sz w:val="20"/>
        </w:rPr>
        <w:t>Process Code: BL-010-010-080 | Module: Billing &amp; Finance (BL/FI) | Date: September 4, 2026</w:t>
      </w:r>
    </w:p>
    <w:p/>
    <w:p>
      <w:pPr>
        <w:pStyle w:val="Heading1"/>
      </w:pPr>
      <w:r>
        <w:t>1. Executive Summary</w:t>
      </w:r>
    </w:p>
    <w:p>
      <w:r>
        <w:t>This process generates the accounting document (GL posting) from the billing document, transferring revenue and accounts receivable balances to the general ledger for financial reporting.</w:t>
      </w:r>
    </w:p>
    <w:p>
      <w:pPr>
        <w:pStyle w:val="Heading1"/>
      </w:pPr>
      <w:r>
        <w:t>2. Prerequisites &amp; Master Data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Master Data</w:t>
            </w:r>
          </w:p>
        </w:tc>
        <w:tc>
          <w:tcPr>
            <w:tcW w:type="dxa" w:w="3120"/>
          </w:tcPr>
          <w:p>
            <w:r>
              <w:t>Description</w:t>
            </w:r>
          </w:p>
        </w:tc>
        <w:tc>
          <w:tcPr>
            <w:tcW w:type="dxa" w:w="3120"/>
          </w:tcPr>
          <w:p>
            <w:r>
              <w:t>Transaction/Table</w:t>
            </w:r>
          </w:p>
        </w:tc>
      </w:tr>
      <w:tr>
        <w:tc>
          <w:tcPr>
            <w:tcW w:type="dxa" w:w="3120"/>
          </w:tcPr>
          <w:p>
            <w:r>
              <w:t>GL Chart of Accounts</w:t>
            </w:r>
          </w:p>
        </w:tc>
        <w:tc>
          <w:tcPr>
            <w:tcW w:type="dxa" w:w="3120"/>
          </w:tcPr>
          <w:p>
            <w:r>
              <w:t>Define revenue, AR, and receivables clearing accounts</w:t>
            </w:r>
          </w:p>
        </w:tc>
        <w:tc>
          <w:tcPr>
            <w:tcW w:type="dxa" w:w="3120"/>
          </w:tcPr>
          <w:p>
            <w:r>
              <w:t>FS00 (SKA1, SKAT)</w:t>
            </w:r>
          </w:p>
        </w:tc>
      </w:tr>
      <w:tr>
        <w:tc>
          <w:tcPr>
            <w:tcW w:type="dxa" w:w="3120"/>
          </w:tcPr>
          <w:p>
            <w:r>
              <w:t>Billing Document Type GL Posting</w:t>
            </w:r>
          </w:p>
        </w:tc>
        <w:tc>
          <w:tcPr>
            <w:tcW w:type="dxa" w:w="3120"/>
          </w:tcPr>
          <w:p>
            <w:r>
              <w:t>Configure GL accounts for each billing document type</w:t>
            </w:r>
          </w:p>
        </w:tc>
        <w:tc>
          <w:tcPr>
            <w:tcW w:type="dxa" w:w="3120"/>
          </w:tcPr>
          <w:p>
            <w:r>
              <w:t>OV01F (Table: TVFZ, TVFGL)</w:t>
            </w:r>
          </w:p>
        </w:tc>
      </w:tr>
      <w:tr>
        <w:tc>
          <w:tcPr>
            <w:tcW w:type="dxa" w:w="3120"/>
          </w:tcPr>
          <w:p>
            <w:r>
              <w:t>Posting Period Control</w:t>
            </w:r>
          </w:p>
        </w:tc>
        <w:tc>
          <w:tcPr>
            <w:tcW w:type="dxa" w:w="3120"/>
          </w:tcPr>
          <w:p>
            <w:r>
              <w:t>Set permissible posting periods per company code</w:t>
            </w:r>
          </w:p>
        </w:tc>
        <w:tc>
          <w:tcPr>
            <w:tcW w:type="dxa" w:w="3120"/>
          </w:tcPr>
          <w:p>
            <w:r>
              <w:t>IMG -&gt; FI -&gt; GL -&gt; Document -&gt; Posting Periods</w:t>
            </w:r>
          </w:p>
        </w:tc>
      </w:tr>
    </w:tbl>
    <w:p>
      <w:pPr>
        <w:pStyle w:val="Heading1"/>
      </w:pPr>
      <w:r>
        <w:t>3. Step-by-Step Configuration</w:t>
      </w:r>
    </w:p>
    <w:p>
      <w:pPr>
        <w:pStyle w:val="Heading2"/>
      </w:pPr>
      <w:r>
        <w:t>3.1 GL Account Configuration</w:t>
      </w:r>
    </w:p>
    <w:p>
      <w:r>
        <w:t>Navigate to: FS00 (GL Master Record)</w:t>
        <w:br/>
        <w:t>1. Create/Edit GL accounts:</w:t>
        <w:br/>
        <w:t xml:space="preserve">   - Revenue account (4xxxxx range)</w:t>
        <w:br/>
        <w:t xml:space="preserve">   - AR account (1200 range)</w:t>
        <w:br/>
        <w:t xml:space="preserve">   - Receivables clearing account (temporary)</w:t>
        <w:br/>
        <w:t>2. Set:</w:t>
        <w:br/>
        <w:t xml:space="preserve">   - Account type (profit &amp; loss, balance sheet)</w:t>
        <w:br/>
        <w:t xml:space="preserve">   - Reconciliation flag for AR</w:t>
        <w:br/>
        <w:t xml:space="preserve">   - Open item management</w:t>
        <w:br/>
        <w:t>3. Save</w:t>
      </w:r>
    </w:p>
    <w:p>
      <w:pPr>
        <w:pStyle w:val="Heading2"/>
      </w:pPr>
      <w:r>
        <w:t>3.2 Billing GL Posting Rules</w:t>
      </w:r>
    </w:p>
    <w:p>
      <w:r>
        <w:t>Navigate to: OV01F (Billing Type)</w:t>
        <w:br/>
        <w:t>1. Assign GL accounts per billing type:</w:t>
        <w:br/>
        <w:t xml:space="preserve">   - Revenue account</w:t>
        <w:br/>
        <w:t xml:space="preserve">   - AR clearing account</w:t>
        <w:br/>
        <w:t xml:space="preserve">   - Discount/rebate accounts</w:t>
        <w:br/>
        <w:t>2. Test posting logic</w:t>
        <w:br/>
        <w:t>3. Save</w:t>
      </w:r>
    </w:p>
    <w:p>
      <w:pPr>
        <w:pStyle w:val="Heading2"/>
      </w:pPr>
      <w:r>
        <w:t>3.3 Posting Period Maintenance</w:t>
      </w:r>
    </w:p>
    <w:p>
      <w:r>
        <w:t>Navigate to: IMG -&gt; FI -&gt; GL -&gt; Document -&gt; Posting Periods</w:t>
        <w:br/>
        <w:t>1. Define posting periods (monthly/quarterly)</w:t>
        <w:br/>
        <w:t>2. Set:</w:t>
        <w:br/>
        <w:t xml:space="preserve">   - Start/end date</w:t>
        <w:br/>
        <w:t xml:space="preserve">   - Company code</w:t>
        <w:br/>
        <w:t xml:space="preserve">   - Posting allowed (Y/N)</w:t>
        <w:br/>
        <w:t>3. Configure year-end closing procedures</w:t>
        <w:br/>
        <w:t>4. Save</w:t>
      </w:r>
    </w:p>
    <w:p>
      <w:pPr>
        <w:pStyle w:val="Heading1"/>
      </w:pPr>
      <w:r>
        <w:t>4. Key SAP Transactions &amp; Tables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Transaction Code</w:t>
            </w:r>
          </w:p>
        </w:tc>
        <w:tc>
          <w:tcPr>
            <w:tcW w:type="dxa" w:w="3120"/>
          </w:tcPr>
          <w:p>
            <w:r>
              <w:t>Description</w:t>
            </w:r>
          </w:p>
        </w:tc>
        <w:tc>
          <w:tcPr>
            <w:tcW w:type="dxa" w:w="3120"/>
          </w:tcPr>
          <w:p>
            <w:r>
              <w:t>Tables Used</w:t>
            </w:r>
          </w:p>
        </w:tc>
      </w:tr>
      <w:tr>
        <w:tc>
          <w:tcPr>
            <w:tcW w:type="dxa" w:w="3120"/>
          </w:tcPr>
          <w:p>
            <w:r>
              <w:t>FB01/FB02</w:t>
            </w:r>
          </w:p>
        </w:tc>
        <w:tc>
          <w:tcPr>
            <w:tcW w:type="dxa" w:w="3120"/>
          </w:tcPr>
          <w:p>
            <w:r>
              <w:t>Create/Change GL Document</w:t>
            </w:r>
          </w:p>
        </w:tc>
        <w:tc>
          <w:tcPr>
            <w:tcW w:type="dxa" w:w="3120"/>
          </w:tcPr>
          <w:p>
            <w:r>
              <w:t>BKPF, BSEG</w:t>
            </w:r>
          </w:p>
        </w:tc>
      </w:tr>
      <w:tr>
        <w:tc>
          <w:tcPr>
            <w:tcW w:type="dxa" w:w="3120"/>
          </w:tcPr>
          <w:p>
            <w:r>
              <w:t>FB03</w:t>
            </w:r>
          </w:p>
        </w:tc>
        <w:tc>
          <w:tcPr>
            <w:tcW w:type="dxa" w:w="3120"/>
          </w:tcPr>
          <w:p>
            <w:r>
              <w:t>Display GL Document</w:t>
            </w:r>
          </w:p>
        </w:tc>
        <w:tc>
          <w:tcPr>
            <w:tcW w:type="dxa" w:w="3120"/>
          </w:tcPr>
          <w:p>
            <w:r>
              <w:t>BKPF, BSEG</w:t>
            </w:r>
          </w:p>
        </w:tc>
      </w:tr>
      <w:tr>
        <w:tc>
          <w:tcPr>
            <w:tcW w:type="dxa" w:w="3120"/>
          </w:tcPr>
          <w:p>
            <w:r>
              <w:t>FB50</w:t>
            </w:r>
          </w:p>
        </w:tc>
        <w:tc>
          <w:tcPr>
            <w:tcW w:type="dxa" w:w="3120"/>
          </w:tcPr>
          <w:p>
            <w:r>
              <w:t>Batch Posting</w:t>
            </w:r>
          </w:p>
        </w:tc>
        <w:tc>
          <w:tcPr>
            <w:tcW w:type="dxa" w:w="3120"/>
          </w:tcPr>
          <w:p>
            <w:r>
              <w:t>BKPF, BSEG</w:t>
            </w:r>
          </w:p>
        </w:tc>
      </w:tr>
      <w:tr>
        <w:tc>
          <w:tcPr>
            <w:tcW w:type="dxa" w:w="3120"/>
          </w:tcPr>
          <w:p>
            <w:r>
              <w:t>VF01</w:t>
            </w:r>
          </w:p>
        </w:tc>
        <w:tc>
          <w:tcPr>
            <w:tcW w:type="dxa" w:w="3120"/>
          </w:tcPr>
          <w:p>
            <w:r>
              <w:t>Create Billing Document (triggers GL post)</w:t>
            </w:r>
          </w:p>
        </w:tc>
        <w:tc>
          <w:tcPr>
            <w:tcW w:type="dxa" w:w="3120"/>
          </w:tcPr>
          <w:p>
            <w:r>
              <w:t>VBRK, VBRP</w:t>
            </w:r>
          </w:p>
        </w:tc>
      </w:tr>
      <w:tr>
        <w:tc>
          <w:tcPr>
            <w:tcW w:type="dxa" w:w="3120"/>
          </w:tcPr>
          <w:p>
            <w:r>
              <w:t>S_ALR_87012099</w:t>
            </w:r>
          </w:p>
        </w:tc>
        <w:tc>
          <w:tcPr>
            <w:tcW w:type="dxa" w:w="3120"/>
          </w:tcPr>
          <w:p>
            <w:r>
              <w:t>GL Trial Balance Report</w:t>
            </w:r>
          </w:p>
        </w:tc>
        <w:tc>
          <w:tcPr>
            <w:tcW w:type="dxa" w:w="3120"/>
          </w:tcPr>
          <w:p>
            <w:r>
              <w:t>BSEG</w:t>
            </w:r>
          </w:p>
        </w:tc>
      </w:tr>
    </w:tbl>
    <w:p>
      <w:pPr>
        <w:pStyle w:val="Heading1"/>
      </w:pPr>
      <w:r>
        <w:t>5. Key Customization Points</w:t>
      </w:r>
    </w:p>
    <w:p>
      <w:pPr>
        <w:pStyle w:val="ListNumber"/>
      </w:pPr>
      <w:r>
        <w:rPr>
          <w:b/>
        </w:rPr>
        <w:t xml:space="preserve">Revenue by Customer Segment: </w:t>
      </w:r>
      <w:r>
        <w:t>Assign cost center or profit center to revenue GL posting for segment reporting</w:t>
      </w:r>
    </w:p>
    <w:p>
      <w:pPr>
        <w:pStyle w:val="ListNumber"/>
      </w:pPr>
      <w:r>
        <w:rPr>
          <w:b/>
        </w:rPr>
        <w:t xml:space="preserve">Accrual Entries: </w:t>
      </w:r>
      <w:r>
        <w:t>Implement Z-function for revenue accrual at period-end</w:t>
      </w:r>
    </w:p>
    <w:p>
      <w:pPr>
        <w:pStyle w:val="ListNumber"/>
      </w:pPr>
      <w:r>
        <w:rPr>
          <w:b/>
        </w:rPr>
        <w:t xml:space="preserve">Multi-Entity Consolidation: </w:t>
      </w:r>
      <w:r>
        <w:t>Configure consolidation entries for intercompany sales</w:t>
      </w:r>
    </w:p>
    <w:p>
      <w:pPr>
        <w:pStyle w:val="ListNumber"/>
      </w:pPr>
      <w:r>
        <w:rPr>
          <w:b/>
        </w:rPr>
        <w:t xml:space="preserve">Tax GL Segregation: </w:t>
      </w:r>
      <w:r>
        <w:t>Separate tax posting into dedicated GL accounts for tax reconciliation</w:t>
      </w:r>
    </w:p>
    <w:p>
      <w:pPr>
        <w:pStyle w:val="ListNumber"/>
      </w:pPr>
      <w:r>
        <w:rPr>
          <w:b/>
        </w:rPr>
        <w:t xml:space="preserve">Real-time GL Dashboard: </w:t>
      </w:r>
      <w:r>
        <w:t>Enable real-time GL balance queries during posting</w:t>
      </w:r>
    </w:p>
    <w:p>
      <w:pPr>
        <w:pStyle w:val="Heading1"/>
      </w:pPr>
      <w:r>
        <w:t>6. Testing &amp; Validation Checklist</w:t>
      </w:r>
    </w:p>
    <w:p>
      <w:pPr>
        <w:pStyle w:val="ListBullet"/>
      </w:pPr>
      <w:r>
        <w:t>Create invoice and verify GL posting automatically generated</w:t>
      </w:r>
    </w:p>
    <w:p>
      <w:pPr>
        <w:pStyle w:val="ListBullet"/>
      </w:pPr>
      <w:r>
        <w:t>Validate GL posting amounts: Revenue credit, AR debit</w:t>
      </w:r>
    </w:p>
    <w:p>
      <w:pPr>
        <w:pStyle w:val="ListBullet"/>
      </w:pPr>
      <w:r>
        <w:t>Verify GL document visible in FB03 and matches invoice amounts</w:t>
      </w:r>
    </w:p>
    <w:p>
      <w:pPr>
        <w:pStyle w:val="ListBullet"/>
      </w:pPr>
      <w:r>
        <w:t>Test GL posting with taxes - verify tax GL accounts also posted</w:t>
      </w:r>
    </w:p>
    <w:p>
      <w:pPr>
        <w:pStyle w:val="ListBullet"/>
      </w:pPr>
      <w:r>
        <w:t>Validate AR/Revenue reconciliation (invoice amount = GL posting)</w:t>
      </w:r>
    </w:p>
    <w:p>
      <w:pPr>
        <w:pStyle w:val="ListBullet"/>
      </w:pPr>
      <w:r>
        <w:t>Test GL posting reversal (FB08) and re-posting</w:t>
      </w:r>
    </w:p>
    <w:p>
      <w:pPr>
        <w:pStyle w:val="ListBullet"/>
      </w:pPr>
      <w:r>
        <w:t>Verify trial balance updated correctly after posting</w:t>
      </w:r>
    </w:p>
    <w:p>
      <w:pPr>
        <w:pStyle w:val="Heading1"/>
      </w:pPr>
      <w:r>
        <w:t>7. Common Errors &amp; Troubleshooting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Error Message</w:t>
            </w:r>
          </w:p>
        </w:tc>
        <w:tc>
          <w:tcPr>
            <w:tcW w:type="dxa" w:w="3120"/>
          </w:tcPr>
          <w:p>
            <w:r>
              <w:t>Root Cause</w:t>
            </w:r>
          </w:p>
        </w:tc>
        <w:tc>
          <w:tcPr>
            <w:tcW w:type="dxa" w:w="3120"/>
          </w:tcPr>
          <w:p>
            <w:r>
              <w:t>Resolution</w:t>
            </w:r>
          </w:p>
        </w:tc>
      </w:tr>
      <w:tr>
        <w:tc>
          <w:tcPr>
            <w:tcW w:type="dxa" w:w="3120"/>
          </w:tcPr>
          <w:p>
            <w:r>
              <w:t>GL Account not assigned</w:t>
            </w:r>
          </w:p>
        </w:tc>
        <w:tc>
          <w:tcPr>
            <w:tcW w:type="dxa" w:w="3120"/>
          </w:tcPr>
          <w:p>
            <w:r>
              <w:t>Billing type missing GL account configuration</w:t>
            </w:r>
          </w:p>
        </w:tc>
        <w:tc>
          <w:tcPr>
            <w:tcW w:type="dxa" w:w="3120"/>
          </w:tcPr>
          <w:p>
            <w:r>
              <w:t>Execute OV01F, ensure GL accounts assigned to billing document type F2</w:t>
            </w:r>
          </w:p>
        </w:tc>
      </w:tr>
      <w:tr>
        <w:tc>
          <w:tcPr>
            <w:tcW w:type="dxa" w:w="3120"/>
          </w:tcPr>
          <w:p>
            <w:r>
              <w:t>Posting period closed</w:t>
            </w:r>
          </w:p>
        </w:tc>
        <w:tc>
          <w:tcPr>
            <w:tcW w:type="dxa" w:w="3120"/>
          </w:tcPr>
          <w:p>
            <w:r>
              <w:t>Attempting to post to closed fiscal period</w:t>
            </w:r>
          </w:p>
        </w:tc>
        <w:tc>
          <w:tcPr>
            <w:tcW w:type="dxa" w:w="3120"/>
          </w:tcPr>
          <w:p>
            <w:r>
              <w:t>Check posting period status in IMG; post to open period or request period reopening</w:t>
            </w:r>
          </w:p>
        </w:tc>
      </w:tr>
      <w:tr>
        <w:tc>
          <w:tcPr>
            <w:tcW w:type="dxa" w:w="3120"/>
          </w:tcPr>
          <w:p>
            <w:r>
              <w:t>GL Document not found</w:t>
            </w:r>
          </w:p>
        </w:tc>
        <w:tc>
          <w:tcPr>
            <w:tcW w:type="dxa" w:w="3120"/>
          </w:tcPr>
          <w:p>
            <w:r>
              <w:t>GL posting not triggered automatically from invoice</w:t>
            </w:r>
          </w:p>
        </w:tc>
        <w:tc>
          <w:tcPr>
            <w:tcW w:type="dxa" w:w="3120"/>
          </w:tcPr>
          <w:p>
            <w:r>
              <w:t>Execute VF02, manually trigger GL posting or check auto-posting configuration in OV01F</w:t>
            </w:r>
          </w:p>
        </w:tc>
      </w:tr>
    </w:tbl>
    <w:p>
      <w:pPr>
        <w:pStyle w:val="Heading1"/>
      </w:pPr>
      <w:r>
        <w:t>8. Post-Configuration Activities</w:t>
      </w:r>
    </w:p>
    <w:p>
      <w:pPr>
        <w:pStyle w:val="ListBullet"/>
      </w:pPr>
      <w:r>
        <w:t>GL Reconciliation: Monthly reconcile AR GL to accounts receivable subledger</w:t>
      </w:r>
    </w:p>
    <w:p>
      <w:pPr>
        <w:pStyle w:val="ListBullet"/>
      </w:pPr>
      <w:r>
        <w:t>Financial Reporting: Extract GL data for P&amp;L and balance sheet reporting</w:t>
      </w:r>
    </w:p>
    <w:p>
      <w:pPr>
        <w:pStyle w:val="ListBullet"/>
      </w:pPr>
      <w:r>
        <w:t>Audit Trail: Enable GL document change logs for audit compliance</w:t>
      </w:r>
    </w:p>
    <w:p>
      <w:pPr>
        <w:pStyle w:val="ListBullet"/>
      </w:pPr>
      <w:r>
        <w:t>Analytics: Track revenue GL posting trends and anomalies</w:t>
      </w:r>
    </w:p>
    <w:p>
      <w:pPr>
        <w:pStyle w:val="ListBullet"/>
      </w:pPr>
      <w:r>
        <w:t>Compliance: Validate GL posting conforms to revenue recognition standards (ASC 606/IFRS 15)</w:t>
      </w:r>
    </w:p>
    <w:p/>
    <w:p>
      <w:pPr>
        <w:jc w:val="center"/>
      </w:pPr>
      <w:r>
        <w:rPr>
          <w:i/>
          <w:color w:val="808080"/>
          <w:sz w:val="16"/>
        </w:rPr>
        <w:t>Document prepared by Claude (Deloitte) | For internal use only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