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366"/>
          <w:sz w:val="48"/>
        </w:rPr>
        <w:t>SAP Configuration Guide</w:t>
      </w:r>
    </w:p>
    <w:p>
      <w:pPr>
        <w:jc w:val="center"/>
      </w:pPr>
      <w:r>
        <w:rPr>
          <w:color w:val="404040"/>
          <w:sz w:val="28"/>
        </w:rPr>
        <w:t>L4 Process: Select Return Reason</w:t>
      </w:r>
    </w:p>
    <w:p>
      <w:pPr>
        <w:jc w:val="center"/>
      </w:pPr>
      <w:r>
        <w:rPr>
          <w:i/>
          <w:sz w:val="20"/>
        </w:rPr>
        <w:t>Process Code: OM-050-010-040 | L2: OM-050 | Scenario: Customer Returns Management | Date: September 4, 2026</w:t>
      </w:r>
    </w:p>
    <w:p/>
    <w:p>
      <w:pPr>
        <w:pStyle w:val="Heading1"/>
      </w:pPr>
      <w:r>
        <w:t>1. Executive Summary</w:t>
      </w:r>
    </w:p>
    <w:p>
      <w:r>
        <w:t>This process allows users to select the reason for product return, which determines return handling, credit policy, and potential restocking charges. Proper reason selection ensures accurate return processing and financial treatment.</w:t>
      </w:r>
    </w:p>
    <w:p>
      <w:pPr>
        <w:pStyle w:val="Heading1"/>
      </w:pPr>
      <w:r>
        <w:t>2. Prerequisites &amp; Master Data Requirements</w:t>
      </w:r>
    </w:p>
    <w:tbl>
      <w:tblPr>
        <w:tblStyle w:val="LightGrid-Accent1"/>
        <w:tblW w:type="auto" w:w="0"/>
        <w:tblLook w:firstColumn="1" w:firstRow="1" w:lastColumn="0" w:lastRow="0" w:noHBand="0" w:noVBand="1" w:val="04A0"/>
      </w:tblPr>
      <w:tblGrid>
        <w:gridCol w:w="3120"/>
        <w:gridCol w:w="3120"/>
        <w:gridCol w:w="3120"/>
      </w:tblGrid>
      <w:tr>
        <w:tc>
          <w:tcPr>
            <w:tcW w:type="dxa" w:w="3120"/>
          </w:tcPr>
          <w:p>
            <w:r>
              <w:t>Master Data</w:t>
            </w:r>
          </w:p>
        </w:tc>
        <w:tc>
          <w:tcPr>
            <w:tcW w:type="dxa" w:w="3120"/>
          </w:tcPr>
          <w:p>
            <w:r>
              <w:t>Description</w:t>
            </w:r>
          </w:p>
        </w:tc>
        <w:tc>
          <w:tcPr>
            <w:tcW w:type="dxa" w:w="3120"/>
          </w:tcPr>
          <w:p>
            <w:r>
              <w:t>Transaction/Table</w:t>
            </w:r>
          </w:p>
        </w:tc>
      </w:tr>
      <w:tr>
        <w:tc>
          <w:tcPr>
            <w:tcW w:type="dxa" w:w="3120"/>
          </w:tcPr>
          <w:p>
            <w:r>
              <w:t>Return Reason Master Data</w:t>
            </w:r>
          </w:p>
        </w:tc>
        <w:tc>
          <w:tcPr>
            <w:tcW w:type="dxa" w:w="3120"/>
          </w:tcPr>
          <w:p>
            <w:r>
              <w:t>Define all valid reasons for product returns</w:t>
            </w:r>
          </w:p>
        </w:tc>
        <w:tc>
          <w:tcPr>
            <w:tcW w:type="dxa" w:w="3120"/>
          </w:tcPr>
          <w:p>
            <w:r>
              <w:t>TVRV (Return Reasons table)</w:t>
            </w:r>
          </w:p>
        </w:tc>
      </w:tr>
      <w:tr>
        <w:tc>
          <w:tcPr>
            <w:tcW w:type="dxa" w:w="3120"/>
          </w:tcPr>
          <w:p>
            <w:r>
              <w:t>GL Account Mapping</w:t>
            </w:r>
          </w:p>
        </w:tc>
        <w:tc>
          <w:tcPr>
            <w:tcW w:type="dxa" w:w="3120"/>
          </w:tcPr>
          <w:p>
            <w:r>
              <w:t>Map return reasons to GL accounts for financial posting</w:t>
            </w:r>
          </w:p>
        </w:tc>
        <w:tc>
          <w:tcPr>
            <w:tcW w:type="dxa" w:w="3120"/>
          </w:tcPr>
          <w:p>
            <w:r>
              <w:t>IMG -&gt; FI -&gt; GL</w:t>
            </w:r>
          </w:p>
        </w:tc>
      </w:tr>
      <w:tr>
        <w:tc>
          <w:tcPr>
            <w:tcW w:type="dxa" w:w="3120"/>
          </w:tcPr>
          <w:p>
            <w:r>
              <w:t>Return Policy Rules</w:t>
            </w:r>
          </w:p>
        </w:tc>
        <w:tc>
          <w:tcPr>
            <w:tcW w:type="dxa" w:w="3120"/>
          </w:tcPr>
          <w:p>
            <w:r>
              <w:t>Define handling and credit rules per return reason</w:t>
            </w:r>
          </w:p>
        </w:tc>
        <w:tc>
          <w:tcPr>
            <w:tcW w:type="dxa" w:w="3120"/>
          </w:tcPr>
          <w:p>
            <w:r>
              <w:t>IMG -&gt; SD -&gt; Returns</w:t>
            </w:r>
          </w:p>
        </w:tc>
      </w:tr>
    </w:tbl>
    <w:p>
      <w:pPr>
        <w:pStyle w:val="Heading1"/>
      </w:pPr>
      <w:r>
        <w:t>3. Step-by-Step Configuration</w:t>
      </w:r>
    </w:p>
    <w:p>
      <w:pPr>
        <w:pStyle w:val="Heading2"/>
      </w:pPr>
      <w:r>
        <w:t>3.1 Return Reason Creation</w:t>
      </w:r>
    </w:p>
    <w:p>
      <w:r>
        <w:t>Navigate to: IMG -&gt; Sales and Distribution -&gt; Sales -&gt; Returns -&gt; Define Return Reasons</w:t>
        <w:br/>
        <w:t>1. Create/Edit return reason codes:</w:t>
        <w:br/>
        <w:t xml:space="preserve">   - Key: Unique 3-char code (D01, W01, etc.)</w:t>
        <w:br/>
        <w:t xml:space="preserve">   - Text: Description (Damage, Wrong Item)</w:t>
        <w:br/>
        <w:t>2. Assign:</w:t>
        <w:br/>
        <w:t xml:space="preserve">   - GL account for return crediting</w:t>
        <w:br/>
        <w:t xml:space="preserve">   - Handling code (SCRAP, RESTOCK, REPAIR)</w:t>
        <w:br/>
        <w:t>3. Save</w:t>
      </w:r>
    </w:p>
    <w:p>
      <w:pPr>
        <w:pStyle w:val="Heading2"/>
      </w:pPr>
      <w:r>
        <w:t>3.2 Return Policy Configuration</w:t>
      </w:r>
    </w:p>
    <w:p>
      <w:r>
        <w:t>Navigate to: IMG -&gt; Sales and Distribution -&gt; Returns</w:t>
        <w:br/>
        <w:t>1. Define return policy per reason:</w:t>
        <w:br/>
        <w:t xml:space="preserve">   - Credit percentage (100%, 75%, 50%)</w:t>
        <w:br/>
        <w:t xml:space="preserve">   - Restocking charge (if applicable)</w:t>
        <w:br/>
        <w:t xml:space="preserve">   - Return validity period (days)</w:t>
        <w:br/>
        <w:t>2. Link to billing process</w:t>
        <w:br/>
        <w:t>3. Save</w:t>
      </w:r>
    </w:p>
    <w:p>
      <w:pPr>
        <w:pStyle w:val="Heading2"/>
      </w:pPr>
      <w:r>
        <w:t>3.3 GL Account Mapping</w:t>
      </w:r>
    </w:p>
    <w:p>
      <w:r>
        <w:t>Navigate to: FS00 (GL Master)</w:t>
        <w:br/>
        <w:t>1. Create GL accounts for returns:</w:t>
        <w:br/>
        <w:t xml:space="preserve">   - Sales returns debit account (4100xx)</w:t>
        <w:br/>
        <w:t xml:space="preserve">   - Return allowance account (1500xx)</w:t>
        <w:br/>
        <w:t>2. Assign to return reasons</w:t>
        <w:br/>
        <w:t>3. Save</w:t>
      </w:r>
    </w:p>
    <w:p>
      <w:pPr>
        <w:pStyle w:val="Heading1"/>
      </w:pPr>
      <w:r>
        <w:t>4. Key SAP Transactions &amp; Tables</w:t>
      </w:r>
    </w:p>
    <w:tbl>
      <w:tblPr>
        <w:tblStyle w:val="LightGrid-Accent1"/>
        <w:tblW w:type="auto" w:w="0"/>
        <w:tblLook w:firstColumn="1" w:firstRow="1" w:lastColumn="0" w:lastRow="0" w:noHBand="0" w:noVBand="1" w:val="04A0"/>
      </w:tblPr>
      <w:tblGrid>
        <w:gridCol w:w="3120"/>
        <w:gridCol w:w="3120"/>
        <w:gridCol w:w="3120"/>
      </w:tblGrid>
      <w:tr>
        <w:tc>
          <w:tcPr>
            <w:tcW w:type="dxa" w:w="3120"/>
          </w:tcPr>
          <w:p>
            <w:r>
              <w:t>Transaction Code</w:t>
            </w:r>
          </w:p>
        </w:tc>
        <w:tc>
          <w:tcPr>
            <w:tcW w:type="dxa" w:w="3120"/>
          </w:tcPr>
          <w:p>
            <w:r>
              <w:t>Description</w:t>
            </w:r>
          </w:p>
        </w:tc>
        <w:tc>
          <w:tcPr>
            <w:tcW w:type="dxa" w:w="3120"/>
          </w:tcPr>
          <w:p>
            <w:r>
              <w:t>Tables Used</w:t>
            </w:r>
          </w:p>
        </w:tc>
      </w:tr>
      <w:tr>
        <w:tc>
          <w:tcPr>
            <w:tcW w:type="dxa" w:w="3120"/>
          </w:tcPr>
          <w:p>
            <w:r>
              <w:t>VA02</w:t>
            </w:r>
          </w:p>
        </w:tc>
        <w:tc>
          <w:tcPr>
            <w:tcW w:type="dxa" w:w="3120"/>
          </w:tcPr>
          <w:p>
            <w:r>
              <w:t>Modify Return Order (Select Reason)</w:t>
            </w:r>
          </w:p>
        </w:tc>
        <w:tc>
          <w:tcPr>
            <w:tcW w:type="dxa" w:w="3120"/>
          </w:tcPr>
          <w:p>
            <w:r>
              <w:t>VBAK, VBAP</w:t>
            </w:r>
          </w:p>
        </w:tc>
      </w:tr>
      <w:tr>
        <w:tc>
          <w:tcPr>
            <w:tcW w:type="dxa" w:w="3120"/>
          </w:tcPr>
          <w:p>
            <w:r>
              <w:t>IMG</w:t>
            </w:r>
          </w:p>
        </w:tc>
        <w:tc>
          <w:tcPr>
            <w:tcW w:type="dxa" w:w="3120"/>
          </w:tcPr>
          <w:p>
            <w:r>
              <w:t>Return Reason Configuration</w:t>
            </w:r>
          </w:p>
        </w:tc>
        <w:tc>
          <w:tcPr>
            <w:tcW w:type="dxa" w:w="3120"/>
          </w:tcPr>
          <w:p>
            <w:r>
              <w:t>TVRV</w:t>
            </w:r>
          </w:p>
        </w:tc>
      </w:tr>
      <w:tr>
        <w:tc>
          <w:tcPr>
            <w:tcW w:type="dxa" w:w="3120"/>
          </w:tcPr>
          <w:p>
            <w:r>
              <w:t>FS00</w:t>
            </w:r>
          </w:p>
        </w:tc>
        <w:tc>
          <w:tcPr>
            <w:tcW w:type="dxa" w:w="3120"/>
          </w:tcPr>
          <w:p>
            <w:r>
              <w:t>GL Account Master</w:t>
            </w:r>
          </w:p>
        </w:tc>
        <w:tc>
          <w:tcPr>
            <w:tcW w:type="dxa" w:w="3120"/>
          </w:tcPr>
          <w:p>
            <w:r>
              <w:t>SKA1</w:t>
            </w:r>
          </w:p>
        </w:tc>
      </w:tr>
      <w:tr>
        <w:tc>
          <w:tcPr>
            <w:tcW w:type="dxa" w:w="3120"/>
          </w:tcPr>
          <w:p>
            <w:r>
              <w:t>VD02</w:t>
            </w:r>
          </w:p>
        </w:tc>
        <w:tc>
          <w:tcPr>
            <w:tcW w:type="dxa" w:w="3120"/>
          </w:tcPr>
          <w:p>
            <w:r>
              <w:t>Customer Returns Policy</w:t>
            </w:r>
          </w:p>
        </w:tc>
        <w:tc>
          <w:tcPr>
            <w:tcW w:type="dxa" w:w="3120"/>
          </w:tcPr>
          <w:p>
            <w:r>
              <w:t>KNA1</w:t>
            </w:r>
          </w:p>
        </w:tc>
      </w:tr>
    </w:tbl>
    <w:p>
      <w:pPr>
        <w:pStyle w:val="Heading1"/>
      </w:pPr>
      <w:r>
        <w:t>5. Key Customization Points</w:t>
      </w:r>
    </w:p>
    <w:p>
      <w:pPr>
        <w:pStyle w:val="ListNumber"/>
      </w:pPr>
      <w:r>
        <w:t>Dynamic Return PolicyImplement Z-function to calculate credit based on item condition and age</w:t>
      </w:r>
    </w:p>
    <w:p>
      <w:pPr>
        <w:pStyle w:val="ListNumber"/>
      </w:pPr>
      <w:r>
        <w:t>Photo UploadEnable photo attachment for damage assessment</w:t>
      </w:r>
    </w:p>
    <w:p>
      <w:pPr>
        <w:pStyle w:val="ListNumber"/>
      </w:pPr>
      <w:r>
        <w:t>Return TrackingTrack return status (Received, Inspected, Approved, Credited)</w:t>
      </w:r>
    </w:p>
    <w:p>
      <w:pPr>
        <w:pStyle w:val="ListNumber"/>
      </w:pPr>
      <w:r>
        <w:t>Return AnalyticsCreate dashboards for return reasons and trends</w:t>
      </w:r>
    </w:p>
    <w:p>
      <w:pPr>
        <w:pStyle w:val="Heading1"/>
      </w:pPr>
      <w:r>
        <w:t>6. Testing &amp; Validation Checklist</w:t>
      </w:r>
    </w:p>
    <w:p>
      <w:pPr>
        <w:pStyle w:val="ListBullet"/>
      </w:pPr>
      <w:r>
        <w:t>Test creation of select return reason</w:t>
      </w:r>
    </w:p>
    <w:p>
      <w:pPr>
        <w:pStyle w:val="ListBullet"/>
      </w:pPr>
      <w:r>
        <w:t>Verify all mandatory fields enforced</w:t>
      </w:r>
    </w:p>
    <w:p>
      <w:pPr>
        <w:pStyle w:val="ListBullet"/>
      </w:pPr>
      <w:r>
        <w:t>Validate GL posting (if applicable)</w:t>
      </w:r>
    </w:p>
    <w:p>
      <w:pPr>
        <w:pStyle w:val="ListBullet"/>
      </w:pPr>
      <w:r>
        <w:t>Test document flow and follow-on documents</w:t>
      </w:r>
    </w:p>
    <w:p>
      <w:pPr>
        <w:pStyle w:val="ListBullet"/>
      </w:pPr>
      <w:r>
        <w:t>Verify number range assignment</w:t>
      </w:r>
    </w:p>
    <w:p>
      <w:pPr>
        <w:pStyle w:val="ListBullet"/>
      </w:pPr>
      <w:r>
        <w:t>Test workflow/approval (if configured)</w:t>
      </w:r>
    </w:p>
    <w:p/>
    <w:p>
      <w:pPr>
        <w:jc w:val="center"/>
      </w:pPr>
      <w:r>
        <w:rPr>
          <w:i/>
          <w:color w:val="808080"/>
          <w:sz w:val="16"/>
        </w:rPr>
        <w:t>Document prepared by Claude (Deloitte) | For internal use only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