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A37"/>
        </w:rPr>
        <w:t>ECO5040W Business and Technical Specification</w:t>
      </w:r>
    </w:p>
    <w:p>
      <w:r>
        <w:rPr>
          <w:rFonts w:ascii="Calibri" w:hAnsi="Calibri"/>
          <w:b w:val="0"/>
          <w:sz w:val="22"/>
        </w:rPr>
        <w:t>Group 3 — Annita Ngoma, Karabo Tigedi, Kerry-Lynn Whyte, Liltha Mzamo, Nikola Milosavljevic.</w:t>
      </w:r>
    </w:p>
    <w:p>
      <w:r>
        <w:rPr>
          <w:rFonts w:ascii="Calibri" w:hAnsi="Calibri"/>
          <w:b w:val="0"/>
          <w:sz w:val="22"/>
        </w:rPr>
        <w:t>This specification describes the prototype as it is implemented now: a FastAPI service and a React web application that quote a rand send, simulate cash-in, settle UCTUSD on the XRP Ledger Testnet, and simulate fiat cash-out. It is an academic system. It does not take real customer funds and it does not use Mainnet.</w:t>
      </w:r>
    </w:p>
    <w:p>
      <w:pPr>
        <w:pStyle w:val="Heading1"/>
      </w:pPr>
      <w:r>
        <w:rPr>
          <w:color w:val="1F2A37"/>
        </w:rPr>
        <w:t>1. Business problem</w:t>
      </w:r>
    </w:p>
    <w:p>
      <w:r>
        <w:rPr>
          <w:rFonts w:ascii="Calibri" w:hAnsi="Calibri"/>
          <w:b w:val="0"/>
          <w:sz w:val="22"/>
        </w:rPr>
        <w:t>Cross-border remittances are sold as cash in on one side and cash out on the other, with a fee and a rate in between. The course brief asks for a prototype of that shape: a simulated rand cash-in, settlement of a dollar-pegged issued token on the XRP Ledger Testnet, a custodial wallet for the recipient, and a simulated conversion back to fiat. A token hop does not remove South African identification, exchange-control, or licensing duties. Those duties are discussed in section 14. They are not implemented as a compliance product.</w:t>
      </w:r>
    </w:p>
    <w:p>
      <w:r>
        <w:rPr>
          <w:rFonts w:ascii="Calibri" w:hAnsi="Calibri"/>
          <w:b w:val="0"/>
          <w:sz w:val="22"/>
        </w:rPr>
        <w:t>What this build actually does is narrower. A sender locks a quote that states the rand amount, the transaction fee, the exchange rate after a margin, the UCTUSD the recipient will be credited, and an estimate of the later cash-out fee. The quote expires. After an administrator confirms a simulated cash-in, a worker submits a real Testnet Payment from a platform treasury to a custodial recipient account and stores the transaction hash. The recipient can hold that balance and, once their own KYC is approved, ask for a simulated USD or ZAR cash-out. Completing that cash-out sends the reserved UCTUSD to the token issuer. The fiat figure on the cash-out is calculated and stored. It is not paid by a bank.</w:t>
      </w:r>
    </w:p>
    <w:p>
      <w:pPr>
        <w:pStyle w:val="Heading1"/>
      </w:pPr>
      <w:r>
        <w:rPr>
          <w:color w:val="1F2A37"/>
        </w:rPr>
        <w:t>2. User journey</w:t>
      </w:r>
    </w:p>
    <w:p>
      <w:r>
        <w:rPr>
          <w:rFonts w:ascii="Calibri" w:hAnsi="Calibri"/>
          <w:b w:val="0"/>
          <w:sz w:val="22"/>
        </w:rPr>
        <w:t>The same customer account can send and receive. The stored roles are customer and administrator, not separate sender and recipient account types. An administrator is created outside public registration. Customers land on Home after login. Administrators land on the KYC queue.</w:t>
      </w:r>
    </w:p>
    <w:p>
      <w:pPr>
        <w:pStyle w:val="ListBullet"/>
      </w:pPr>
      <w:r>
        <w:rPr>
          <w:rFonts w:ascii="Calibri" w:hAnsi="Calibri"/>
          <w:sz w:val="22"/>
        </w:rPr>
        <w:t>A visitor registers with full name, email, mobile number and password, then signs in. Login returns a bearer token kept in the browser session store. Logout revokes that server session.</w:t>
      </w:r>
    </w:p>
    <w:p>
      <w:pPr>
        <w:pStyle w:val="ListBullet"/>
      </w:pPr>
      <w:r>
        <w:rPr>
          <w:rFonts w:ascii="Calibri" w:hAnsi="Calibri"/>
          <w:sz w:val="22"/>
        </w:rPr>
        <w:t>The customer submits KYC (identity fields and source of funds). An administrator approves or rejects it. A rejected application can be overwritten and resubmitted. While an application is pending or approved, the customer form is locked. Sending is blocked until KYC is approved.</w:t>
      </w:r>
    </w:p>
    <w:p>
      <w:pPr>
        <w:pStyle w:val="ListBullet"/>
      </w:pPr>
      <w:r>
        <w:rPr>
          <w:rFonts w:ascii="Calibri" w:hAnsi="Calibri"/>
          <w:sz w:val="22"/>
        </w:rPr>
        <w:t>An approved sender adds a beneficiary: name, relationship, country, a payout currency of USD or ZAR, and at least a mobile number or an email. If that contact already matches a registered user, the record links immediately. If the recipient registers later with the same mobile or email, linking happens then. There is no invitation email.</w:t>
      </w:r>
    </w:p>
    <w:p>
      <w:pPr>
        <w:pStyle w:val="ListBullet"/>
      </w:pPr>
      <w:r>
        <w:rPr>
          <w:rFonts w:ascii="Calibri" w:hAnsi="Calibri"/>
          <w:sz w:val="22"/>
        </w:rPr>
        <w:t>The sender chooses a linked or unlinked beneficiary and a rand amount, confirms in a dialog, and the API locks a quote for 15 minutes (900 seconds). The quote screen shows the fee breakdown, a tracking reference of the form MG plus ten digits, and a QR code that opens the signed-in track page.</w:t>
      </w:r>
    </w:p>
    <w:p>
      <w:pPr>
        <w:pStyle w:val="ListBullet"/>
      </w:pPr>
      <w:r>
        <w:rPr>
          <w:rFonts w:ascii="Calibri" w:hAnsi="Calibri"/>
          <w:sz w:val="22"/>
        </w:rPr>
        <w:t>While the quote is still valid the sender may cancel it, which releases the limit, or start a simulated cash-in by agent cash, bank transfer, or card. An administrator confirms that the rand was received. Confirmation is what places the settlement on the queue. No Payment is submitted before that.</w:t>
      </w:r>
    </w:p>
    <w:p>
      <w:pPr>
        <w:pStyle w:val="ListBullet"/>
      </w:pPr>
      <w:r>
        <w:rPr>
          <w:rFonts w:ascii="Calibri" w:hAnsi="Calibri"/>
          <w:sz w:val="22"/>
        </w:rPr>
        <w:t>An administrator runs the settlement worker (or a separate worker process is already running). On success the recipient’s wallet shows spendable UCTUSD and the transaction hash. On failure the wallet is not credited and the reason is stored.</w:t>
      </w:r>
    </w:p>
    <w:p>
      <w:pPr>
        <w:pStyle w:val="ListBullet"/>
      </w:pPr>
      <w:r>
        <w:rPr>
          <w:rFonts w:ascii="Calibri" w:hAnsi="Calibri"/>
          <w:sz w:val="22"/>
        </w:rPr>
        <w:t>History lists only remittances the signed-in user sent. Incoming value appears on the wallet. Track is available to the sender, the linked recipient, or an administrator. It is not a public lookup.</w:t>
      </w:r>
    </w:p>
    <w:p>
      <w:pPr>
        <w:pStyle w:val="ListBullet"/>
      </w:pPr>
      <w:r>
        <w:rPr>
          <w:rFonts w:ascii="Calibri" w:hAnsi="Calibri"/>
          <w:sz w:val="22"/>
        </w:rPr>
        <w:t>A recipient may hold UCTUSD before their own KYC is approved. Cash-out requires approved KYC. The recipient requests an amount in USD or ZAR. Spendable balance is reserved immediately. An administrator approves, then completes (on-chain payment to the issuer) or fails (the reserved amount is refunded to spendable).</w:t>
      </w:r>
    </w:p>
    <w:p>
      <w:r>
        <w:rPr>
          <w:rFonts w:ascii="Calibri" w:hAnsi="Calibri"/>
          <w:b w:val="0"/>
          <w:sz w:val="22"/>
        </w:rPr>
        <w:t>An unlinked beneficiary can still be quoted and cashed in. Settlement then fails with a recorded reason until a matching account exists and an administrator retries. Changing a profile email or mobile does not re-run linking.</w:t>
      </w:r>
    </w:p>
    <w:p>
      <w:pPr>
        <w:pStyle w:val="Heading1"/>
      </w:pPr>
      <w:r>
        <w:rPr>
          <w:color w:val="1F2A37"/>
        </w:rPr>
        <w:t>3. Functional requirements</w:t>
      </w:r>
    </w:p>
    <w:p>
      <w:r>
        <w:rPr>
          <w:rFonts w:ascii="Calibri" w:hAnsi="Calibri"/>
          <w:b w:val="0"/>
          <w:sz w:val="22"/>
        </w:rPr>
        <w:t>The API implements the brief’s journey from registration through cash-out. The notes below are the places where the code is narrower or differently shaped than the requirement wording. Everything else in FR-01 to FR-35 is present on the routes named in section 12.</w:t>
      </w:r>
    </w:p>
    <w:p>
      <w:pPr>
        <w:pStyle w:val="ListBullet"/>
      </w:pPr>
      <w:r>
        <w:rPr>
          <w:rFonts w:ascii="Calibri" w:hAnsi="Calibri"/>
          <w:sz w:val="22"/>
        </w:rPr>
        <w:t>FR-04. Roles stored on the user are customer and admin. Sender and recipient are situations, not signup roles.</w:t>
      </w:r>
    </w:p>
    <w:p>
      <w:pPr>
        <w:pStyle w:val="ListBullet"/>
      </w:pPr>
      <w:r>
        <w:rPr>
          <w:rFonts w:ascii="Calibri" w:hAnsi="Calibri"/>
          <w:sz w:val="22"/>
        </w:rPr>
        <w:t>FR-09 and FR-09a. Approved KYC is required to add a beneficiary, create a quote, and request a cash-out. A user can register, hold a balance, and see a wallet without approved KYC.</w:t>
      </w:r>
    </w:p>
    <w:p>
      <w:pPr>
        <w:pStyle w:val="ListBullet"/>
      </w:pPr>
      <w:r>
        <w:rPr>
          <w:rFonts w:ascii="Calibri" w:hAnsi="Calibri"/>
          <w:sz w:val="22"/>
        </w:rPr>
        <w:t>FR-12. Linking is automatic on mobile or email, including when the recipient registers afterwards. There is no invite-to-register flow.</w:t>
      </w:r>
    </w:p>
    <w:p>
      <w:pPr>
        <w:pStyle w:val="ListBullet"/>
      </w:pPr>
      <w:r>
        <w:rPr>
          <w:rFonts w:ascii="Calibri" w:hAnsi="Calibri"/>
          <w:sz w:val="22"/>
        </w:rPr>
        <w:t>FR-12b. Linking creates an internal wallet row. Any logged-in user who opens the wallet also gets a row. The Testnet account and TrustLine are created on first settlement, not at registration.</w:t>
      </w:r>
    </w:p>
    <w:p>
      <w:pPr>
        <w:pStyle w:val="ListBullet"/>
      </w:pPr>
      <w:r>
        <w:rPr>
          <w:rFonts w:ascii="Calibri" w:hAnsi="Calibri"/>
          <w:sz w:val="22"/>
        </w:rPr>
        <w:t>FR-12c. An unmatched beneficiary stays unlinked. The worker refuses to pay them. The quote and the simulated cash-in are still allowed.</w:t>
      </w:r>
    </w:p>
    <w:p>
      <w:pPr>
        <w:pStyle w:val="ListBullet"/>
      </w:pPr>
      <w:r>
        <w:rPr>
          <w:rFonts w:ascii="Calibri" w:hAnsi="Calibri"/>
          <w:sz w:val="22"/>
        </w:rPr>
        <w:t>FR-19. Only an administrator can confirm cash-in. There is no separate mock payment-service callback.</w:t>
      </w:r>
    </w:p>
    <w:p>
      <w:pPr>
        <w:pStyle w:val="ListBullet"/>
      </w:pPr>
      <w:r>
        <w:rPr>
          <w:rFonts w:ascii="Calibri" w:hAnsi="Calibri"/>
          <w:sz w:val="22"/>
        </w:rPr>
        <w:t>FR-22. Settlement is consumed by a worker process or by an administrator running one pass. The API does not by itself keep a consumer running.</w:t>
      </w:r>
    </w:p>
    <w:p>
      <w:pPr>
        <w:pStyle w:val="ListBullet"/>
      </w:pPr>
      <w:r>
        <w:rPr>
          <w:rFonts w:ascii="Calibri" w:hAnsi="Calibri"/>
          <w:sz w:val="22"/>
        </w:rPr>
        <w:t>FR-29. TrustLines are created for the treasury (an admin action) and for the recipient (during settlement). The issued currency on the ledger is UCTUSD. Several JSON fields are still named rlusd because the brief used that name.</w:t>
      </w:r>
    </w:p>
    <w:p>
      <w:pPr>
        <w:pStyle w:val="Heading1"/>
      </w:pPr>
      <w:r>
        <w:rPr>
          <w:color w:val="1F2A37"/>
        </w:rPr>
        <w:t>4. Fee model</w:t>
      </w:r>
    </w:p>
    <w:p>
      <w:r>
        <w:rPr>
          <w:rFonts w:ascii="Calibri" w:hAnsi="Calibri"/>
          <w:b w:val="0"/>
          <w:sz w:val="22"/>
        </w:rPr>
        <w:t>Fees live on a single editable configuration row. Percentages are stored as fractions: 0.0100 means 1 percent. Seeded defaults are a R25.00 fixed fee, 1 percent of the gross send, a 2 percent FX margin, and a 1.5 percent cash-out fee. An administrator can change the live row. A quote copies the figures onto the remittance, so a later edit does not rewrite quotes already locked.</w:t>
      </w:r>
    </w:p>
    <w:p>
      <w:r>
        <w:rPr>
          <w:rFonts w:ascii="Calibri" w:hAnsi="Calibri"/>
          <w:b w:val="0"/>
          <w:sz w:val="22"/>
        </w:rPr>
        <w:t>Let zar be the gross send, fixed and percentage the transaction-fee parameters, mid the USD/ZAR rate (rand per one US dollar), and margin the FX-margin fraction. Amounts in rand are rounded half-up to two decimal places. Token amounts are rounded half-up to six decimal places.</w:t>
      </w:r>
    </w:p>
    <w:p>
      <w:pPr>
        <w:pStyle w:val="ListBullet"/>
      </w:pPr>
      <w:r>
        <w:rPr>
          <w:rFonts w:ascii="Calibri" w:hAnsi="Calibri"/>
          <w:sz w:val="22"/>
        </w:rPr>
        <w:t>Transaction fee = fixed + zar × percentage.</w:t>
      </w:r>
    </w:p>
    <w:p>
      <w:pPr>
        <w:pStyle w:val="ListBullet"/>
      </w:pPr>
      <w:r>
        <w:rPr>
          <w:rFonts w:ascii="Calibri" w:hAnsi="Calibri"/>
          <w:sz w:val="22"/>
        </w:rPr>
        <w:t>Effective rate = mid × (1 + margin). The margin makes the rate worse for the sender: more rand per dollar, so fewer tokens.</w:t>
      </w:r>
    </w:p>
    <w:p>
      <w:pPr>
        <w:pStyle w:val="ListBullet"/>
      </w:pPr>
      <w:r>
        <w:rPr>
          <w:rFonts w:ascii="Calibri" w:hAnsi="Calibri"/>
          <w:sz w:val="22"/>
        </w:rPr>
        <w:t>Tokens credited = (zar − transaction fee) / effective rate. The token is treated as one-to-one with the US dollar.</w:t>
      </w:r>
    </w:p>
    <w:p>
      <w:pPr>
        <w:pStyle w:val="ListBullet"/>
      </w:pPr>
      <w:r>
        <w:rPr>
          <w:rFonts w:ascii="Calibri" w:hAnsi="Calibri"/>
          <w:sz w:val="22"/>
        </w:rPr>
        <w:t>Estimated cash-out fee on the quote = tokens × cash-out percentage. Estimated recipient payout = tokens − that fee. Both are estimates in token units, not rand.</w:t>
      </w:r>
    </w:p>
    <w:p>
      <w:pPr>
        <w:pStyle w:val="ListBullet"/>
      </w:pPr>
      <w:r>
        <w:rPr>
          <w:rFonts w:ascii="Calibri" w:hAnsi="Calibri"/>
          <w:sz w:val="22"/>
        </w:rPr>
        <w:t>If the transaction fee leaves no positive net rand, or no positive token amount, the quote is rejected with HTTP 422.</w:t>
      </w:r>
    </w:p>
    <w:p>
      <w:r>
        <w:rPr>
          <w:rFonts w:ascii="Calibri" w:hAnsi="Calibri"/>
          <w:b w:val="0"/>
          <w:sz w:val="22"/>
        </w:rPr>
        <w:t>Worked example using the seeded defaults and the fallback mid-market rate of 18.50, for a R1,000.00 send. The transaction fee is 25.00 + 1,000.00 × 0.0100 = R35.00. Net rand is 965.00. The effective rate is 18.50 × 1.02 = 18.87. Tokens are 965.00 / 18.87 = 51.139375. The estimated cash-out fee is 51.139375 × 0.0150 = 0.767091 tokens. The estimated payout is 50.372284 tokens.</w:t>
      </w:r>
    </w:p>
    <w:p>
      <w:r>
        <w:rPr>
          <w:rFonts w:ascii="Calibri" w:hAnsi="Calibri"/>
          <w:b w:val="0"/>
          <w:sz w:val="22"/>
        </w:rPr>
        <w:t>At cash-out the 1.5 percent is applied again to the requested token amount, not to the earlier estimate. A USD cash-out then uses a rate of 1. A ZAR cash-out uses the live or fallback USD/ZAR rate with no FX margin. On this example, cashing out all 51.139375 tokens to rand at 18.50 pays 50.372284 × 18.50 = R931.89 after the cash-out fee. Completing the cash-out burns the full requested token amount, including the portion that was the fee.</w:t>
      </w:r>
    </w:p>
    <w:p>
      <w:pPr>
        <w:pStyle w:val="Heading1"/>
      </w:pPr>
      <w:r>
        <w:rPr>
          <w:color w:val="1F2A37"/>
        </w:rPr>
        <w:t>5. Exchange rates</w:t>
      </w:r>
    </w:p>
    <w:p>
      <w:r>
        <w:rPr>
          <w:rFonts w:ascii="Calibri" w:hAnsi="Calibri"/>
          <w:b w:val="0"/>
          <w:sz w:val="22"/>
        </w:rPr>
        <w:t>The mid-market rate is read from the public endpoint https://open.er-api.com/v6/latest/USD, field rates.ZAR. A successful read is cached in the process for 300 seconds, with a five-second HTTP timeout. If the call fails, the service uses 18.50 from configuration, and that fallback is cached for the same 300 seconds. There is no administrator screen for the fallback rate.</w:t>
      </w:r>
    </w:p>
    <w:p>
      <w:r>
        <w:rPr>
          <w:rFonts w:ascii="Calibri" w:hAnsi="Calibri"/>
          <w:b w:val="0"/>
          <w:sz w:val="22"/>
        </w:rPr>
        <w:t>The rate stored on a remittance is the margin-adjusted effective rate, and the margin fraction is stored beside it. Cash-out to rand does not apply that margin. The cash-out figure calculated when the recipient requests a payout can therefore differ from the estimate printed on the original quote, both because the rate may have moved and because the margin is not charged twice.</w:t>
      </w:r>
    </w:p>
    <w:p>
      <w:pPr>
        <w:pStyle w:val="Heading1"/>
      </w:pPr>
      <w:r>
        <w:rPr>
          <w:color w:val="1F2A37"/>
        </w:rPr>
        <w:t>6. Remittance limits</w:t>
      </w:r>
    </w:p>
    <w:p>
      <w:r>
        <w:rPr>
          <w:rFonts w:ascii="Calibri" w:hAnsi="Calibri"/>
          <w:b w:val="0"/>
          <w:sz w:val="22"/>
        </w:rPr>
        <w:t>The tier is derived from KYC. Approved means verified. Otherwise the tier is unverified. Seeded caps are R0 per day and R0 per month for unverified, and R3,000 per day and R25,000 per month for verified. Administrators can edit both tiers. Unapproved users never reach the limit check on a quote: creating a quote already requires approved KYC and returns 403 first. The unverified caps are still visible on the limits screen and in configuration.</w:t>
      </w:r>
    </w:p>
    <w:p>
      <w:r>
        <w:rPr>
          <w:rFonts w:ascii="Calibri" w:hAnsi="Calibri"/>
          <w:b w:val="0"/>
          <w:sz w:val="22"/>
        </w:rPr>
        <w:t>Usage is the sum of gross rand (the amount the sender typed, not the amount after fees) since the start of the UTC calendar day or UTC calendar month. A new quote is rejected with 422 only when usage plus the new amount is strictly greater than the cap, so a send that exactly uses the remaining allowance is allowed.</w:t>
      </w:r>
    </w:p>
    <w:p>
      <w:pPr>
        <w:pStyle w:val="ListBullet"/>
      </w:pPr>
      <w:r>
        <w:rPr>
          <w:rFonts w:ascii="Calibri" w:hAnsi="Calibri"/>
          <w:sz w:val="22"/>
        </w:rPr>
        <w:t>A quote counts toward the limit while it is unexpired.</w:t>
      </w:r>
    </w:p>
    <w:p>
      <w:pPr>
        <w:pStyle w:val="ListBullet"/>
      </w:pPr>
      <w:r>
        <w:rPr>
          <w:rFonts w:ascii="Calibri" w:hAnsi="Calibri"/>
          <w:sz w:val="22"/>
        </w:rPr>
        <w:t>Cancelled quotes never count. An expired quote that was never cashed in stops counting. An expired quote cannot be cancelled; expiry has already released it.</w:t>
      </w:r>
    </w:p>
    <w:p>
      <w:pPr>
        <w:pStyle w:val="ListBullet"/>
      </w:pPr>
      <w:r>
        <w:rPr>
          <w:rFonts w:ascii="Calibri" w:hAnsi="Calibri"/>
          <w:sz w:val="22"/>
        </w:rPr>
        <w:t>Once cash-in has started, the amount keeps counting through confirmed, queued, settled, and failed settlement.</w:t>
      </w:r>
    </w:p>
    <w:p>
      <w:r>
        <w:rPr>
          <w:rFonts w:ascii="Calibri" w:hAnsi="Calibri"/>
          <w:b w:val="0"/>
          <w:sz w:val="22"/>
        </w:rPr>
        <w:t>The limit read and the quote insert are separate steps. Two quotes submitted at the same moment by the same sender can both observe usage under the cap and together exceed it. That is acceptable for this single-process prototype and is not a production control.</w:t>
      </w:r>
    </w:p>
    <w:p>
      <w:pPr>
        <w:pStyle w:val="Heading1"/>
      </w:pPr>
      <w:r>
        <w:rPr>
          <w:color w:val="1F2A37"/>
        </w:rPr>
        <w:t>7. Architecture</w:t>
      </w:r>
    </w:p>
    <w:p>
      <w:r>
        <w:rPr>
          <w:rFonts w:ascii="Calibri" w:hAnsi="Calibri"/>
          <w:b w:val="0"/>
          <w:sz w:val="22"/>
        </w:rPr>
        <w:t>The marked interface is a Vite React application. It calls a FastAPI JSON API. Durable state is a relational database, SQLite by default, migrated with Alembic revisions 0001_initial, 0002_quote_session, and 0003_cash_out_burn. Redis Streams carry settlement instructions. The database row is the source of truth. The stream is transport.</w:t>
      </w:r>
    </w:p>
    <w:p>
      <w:r>
        <w:rPr>
          <w:rFonts w:ascii="Calibri" w:hAnsi="Calibri"/>
          <w:b w:val="0"/>
          <w:sz w:val="22"/>
        </w:rPr>
        <w:t>A settlement worker, started as its own process or by an administrator action, signs transactions with xrpl-py against the Testnet JSON-RPC endpoint. The issued currency is UCTUSD: currency code 5543545553440000000000000000000000000000, issuer rELez4x4Zqv3KYqboYVfrYPF8521Ycbxa5. The platform treasury is one Testnet account. Each recipient receives their own custodial Testnet account, created lazily on first settlement, after a TrustSet to that issuer. Spendable balance is an internal ledger on the wallet row. It is updated when settlement succeeds and when cash-out is requested, completed, or failed. It is not a live query of the recipient’s on-ledger lines.</w:t>
      </w:r>
    </w:p>
    <w:p>
      <w:pPr>
        <w:pStyle w:val="Heading1"/>
      </w:pPr>
      <w:r>
        <w:rPr>
          <w:color w:val="1F2A37"/>
        </w:rPr>
        <w:t>8. Cash-in</w:t>
      </w:r>
    </w:p>
    <w:p>
      <w:r>
        <w:rPr>
          <w:rFonts w:ascii="Calibri" w:hAnsi="Calibri"/>
          <w:b w:val="0"/>
          <w:sz w:val="22"/>
        </w:rPr>
        <w:t>Cash-in does not move rand. After a live quote, the sender posts one method: agent cash, bank transfer, or card. The remittance becomes cash-in pending. Cancelled and expired quotes cannot be cashed in. An administrator confirms receipt. That confirmation records who confirmed it and is the only step that enqueues settlement. Confirming any other status is rejected.</w:t>
      </w:r>
    </w:p>
    <w:p>
      <w:pPr>
        <w:pStyle w:val="Heading1"/>
      </w:pPr>
      <w:r>
        <w:rPr>
          <w:color w:val="1F2A37"/>
        </w:rPr>
        <w:t>9. Settlement</w:t>
      </w:r>
    </w:p>
    <w:p>
      <w:r>
        <w:rPr>
          <w:rFonts w:ascii="Calibri" w:hAnsi="Calibri"/>
          <w:b w:val="0"/>
          <w:sz w:val="22"/>
        </w:rPr>
        <w:t>Enqueue inserts at most one settlement message per remittance. The message is published to the Redis stream settlement_messages, consumer group settlement_workers. The Redis entry id is stored on the message. If the database row exists but the stream entry was never recorded, a later enqueue republishes the same row.</w:t>
      </w:r>
    </w:p>
    <w:p>
      <w:r>
        <w:rPr>
          <w:rFonts w:ascii="Calibri" w:hAnsi="Calibri"/>
          <w:b w:val="0"/>
          <w:sz w:val="22"/>
        </w:rPr>
        <w:t>The worker reclaims its own unacknowledged entries, then idle entries from the pending list, then reads new entries. An entry is acknowledged only after the message is completed or failed. A crash before that leaves the entry to be reclaimed.</w:t>
      </w:r>
    </w:p>
    <w:p>
      <w:r>
        <w:rPr>
          <w:rFonts w:ascii="Calibri" w:hAnsi="Calibri"/>
          <w:b w:val="0"/>
          <w:sz w:val="22"/>
        </w:rPr>
        <w:t>Before paying, the worker requires a linked beneficiary, a platform wallet whose TrustLine flag is set, and enough UCTUSD on that treasury. It faucet-funds the recipient Testnet account if needed, stores the address and encrypted secret before the TrustSet, and reuses that account if the trust line is not yet up. It then submits a Payment of the quoted token amount from the treasury to the recipient. The remittance id is the Payment memo. The ledger result must be tesSUCCESS.</w:t>
      </w:r>
    </w:p>
    <w:p>
      <w:r>
        <w:rPr>
          <w:rFonts w:ascii="Calibri" w:hAnsi="Calibri"/>
          <w:b w:val="0"/>
          <w:sz w:val="22"/>
        </w:rPr>
        <w:t>On success the internal spendable balance is increased, the remittance is settled, and the transaction hash is stored, in one database commit. On failure the spendable balance is not increased and the reason is stored on the message and the remittance. A message already completed, or a remittance that already has a settlement hash, is not paid or credited again. An administrator can retry a pending, processing, or failed message by publishing a new stream entry. A completed settlement cannot be retried.</w:t>
      </w:r>
    </w:p>
    <w:p>
      <w:r>
        <w:rPr>
          <w:rFonts w:ascii="Calibri" w:hAnsi="Calibri"/>
          <w:b w:val="0"/>
          <w:sz w:val="22"/>
        </w:rPr>
        <w:t>There is a remaining crash window. The hash is stored in the same commit as the credit, after the Payment has already been submitted. If the process dies after the ledger accepts the Payment and before that commit, a retry will not see a hash and can submit a second Payment. The short-circuit works once the hash has been saved.</w:t>
      </w:r>
    </w:p>
    <w:p>
      <w:pPr>
        <w:pStyle w:val="Heading1"/>
      </w:pPr>
      <w:r>
        <w:rPr>
          <w:color w:val="1F2A37"/>
        </w:rPr>
        <w:t>10. Cash-out and wallet balances</w:t>
      </w:r>
    </w:p>
    <w:p>
      <w:r>
        <w:rPr>
          <w:rFonts w:ascii="Calibri" w:hAnsi="Calibri"/>
          <w:b w:val="0"/>
          <w:sz w:val="22"/>
        </w:rPr>
        <w:t>The wallet screen reports two figures. Spendable is the internal balance. On-chain, as shown to the user, is spendable plus token amounts on cash-outs that are still requested or approved. Completed burns and failed refunds are not included in that reserved sum. The recipient figure is computed from the database. It is not a live account-lines call. The treasury balance shown to administrators is a live issued-currency balance.</w:t>
      </w:r>
    </w:p>
    <w:p>
      <w:r>
        <w:rPr>
          <w:rFonts w:ascii="Calibri" w:hAnsi="Calibri"/>
          <w:b w:val="0"/>
          <w:sz w:val="22"/>
        </w:rPr>
        <w:t>A cash-out request debits spendable in one conditional update, so two requests cannot overdraw the same balance. The fiat payout is calculated at request time and stored. An administrator may approve a requested cash-out without touching the ledger. Completing an approved cash-out submits a Payment of the full requested token amount from the recipient’s custodial account to the UCTUSD issuer and stores the burn hash. If that hash is already stored, the Payment is not sent again. Failing a requested or approved cash-out credits spendable. Fiat is never sent. A burn that fails on the ledger leaves the cash-out approved and the spendable amount still reserved, until an administrator fails it or complete is tried again.</w:t>
      </w:r>
    </w:p>
    <w:p>
      <w:pPr>
        <w:pStyle w:val="Heading1"/>
      </w:pPr>
      <w:r>
        <w:rPr>
          <w:color w:val="1F2A37"/>
        </w:rPr>
        <w:t>11. Database</w:t>
      </w:r>
    </w:p>
    <w:p>
      <w:r>
        <w:rPr>
          <w:rFonts w:ascii="Calibri" w:hAnsi="Calibri"/>
          <w:b w:val="0"/>
          <w:sz w:val="22"/>
        </w:rPr>
        <w:t>Identifiers are UUID strings. Users hold a unique email and mobile number, a bcrypt password hash, and a role. Sessions store the SHA-256 hash of the bearer token, an expiry, and a revocation time. KYC is one row per user. Beneficiaries belong to a sender and may point at a linked user. Remittances hold the full lifecycle on one row, including the locked amounts, the tracking reference, the expiry, cash-in fields, and the settlement hash. Settlement messages are one per remittance. Recipient wallets hold the custodial address, the encrypted secret, a trust-line flag, and the spendable balance. The platform wallet is a single treasury row. Cash-out requests are not tied to one remittance: they draw the aggregated spendable balance. Fee configuration and limit tiers are editable lookup rows, not histories.</w:t>
      </w:r>
    </w:p>
    <w:p>
      <w:r>
        <w:rPr>
          <w:rFonts w:ascii="Calibri" w:hAnsi="Calibri"/>
          <w:b w:val="0"/>
          <w:sz w:val="22"/>
        </w:rPr>
        <w:t>Two columns are encrypted at rest: the KYC identification number, and the XRPL secrets on the recipient wallet and the platform wallet. Names, addresses, mobile numbers, and source of funds are ordinary columns.</w:t>
      </w:r>
    </w:p>
    <w:p>
      <w:pPr>
        <w:pStyle w:val="Heading1"/>
      </w:pPr>
      <w:r>
        <w:rPr>
          <w:color w:val="1F2A37"/>
        </w:rPr>
        <w:t>12. API overview</w:t>
      </w:r>
    </w:p>
    <w:p>
      <w:r>
        <w:rPr>
          <w:rFonts w:ascii="Calibri" w:hAnsi="Calibri"/>
          <w:b w:val="0"/>
          <w:sz w:val="22"/>
        </w:rPr>
        <w:t>The API is JSON over HTTP. Interactive documentation is served at /docs. Clients send Authorization: Bearer. Customers act on their own profile, KYC, beneficiaries, quotes, history, tracking, wallet, and cash-outs. Administrators review KYC, confirm cash-in, run and retry settlement, action cash-outs, edit fees and limit tiers, and inspect the platform wallet. Tracking by reference is allowed for the sender, the linked recipient, or an administrator.</w:t>
      </w:r>
    </w:p>
    <w:p>
      <w:r>
        <w:rPr>
          <w:rFonts w:ascii="Calibri" w:hAnsi="Calibri"/>
          <w:b w:val="0"/>
          <w:sz w:val="22"/>
        </w:rPr>
        <w:t>Principal routes are POST /auth/register, POST /auth/login, POST /auth/logout, GET and PATCH /users/me, POST /kyc, GET /kyc/me and GET /kyc/me/status, GET and POST /beneficiaries, POST /remittances, POST /remittances/{id}/cancel, POST /remittances/{id}/cash-in, GET /remittances/me, GET /remittances/track/{ref}, GET /limits/me, GET /wallet/me, POST /cash-outs and GET /cash-outs/me. Administrator routes include the KYC queue and approve or reject, GET /remittances and confirm-cash-in, GET and POST /admin/settlement, cash-out approve, complete and fail, GET and PUT /admin/fee-config, GET and PUT /admin/limit-tiers/{tier}, and the platform-wallet read and TrustLine helper.</w:t>
      </w:r>
    </w:p>
    <w:p>
      <w:pPr>
        <w:pStyle w:val="Heading1"/>
      </w:pPr>
      <w:r>
        <w:rPr>
          <w:color w:val="1F2A37"/>
        </w:rPr>
        <w:t>13. Security</w:t>
      </w:r>
    </w:p>
    <w:p>
      <w:r>
        <w:rPr>
          <w:rFonts w:ascii="Calibri" w:hAnsi="Calibri"/>
          <w:b w:val="0"/>
          <w:sz w:val="22"/>
        </w:rPr>
        <w:t>Passwords are bcrypt hashes and are never returned. Login creates an opaque token with secrets.token_urlsafe. Only the SHA-256 hex digest is stored. The raw token is returned once. Logout sets revoked_at on that session, so the bearer stops working. The default session life is 12 hours. Other sessions for the same user stay valid until they expire or are logged out.</w:t>
      </w:r>
    </w:p>
    <w:p>
      <w:r>
        <w:rPr>
          <w:rFonts w:ascii="Calibri" w:hAnsi="Calibri"/>
          <w:b w:val="0"/>
          <w:sz w:val="22"/>
        </w:rPr>
        <w:t>Identification numbers and XRPL seeds are Fernet-encrypted with two different keys supplied in the environment, KYC_ENCRYPTION_KEY and XRPL_KEY_ENCRYPTION_KEY. The keys are not stored in the database. A leak of one key does not decrypt the other category of ciphertext. Wallet and platform-wallet responses have no secret field. The platform-wallet setup script prints the address and not the seed. Identification numbers are decrypted for the applicant and for an administrator reviewing KYC. Signing secrets are decrypted only on the path that signs a TrustSet or a Payment.</w:t>
      </w:r>
    </w:p>
    <w:p>
      <w:r>
        <w:rPr>
          <w:rFonts w:ascii="Calibri" w:hAnsi="Calibri"/>
          <w:b w:val="0"/>
          <w:sz w:val="22"/>
        </w:rPr>
        <w:t>There is no login lockout, multi-factor check, or rate limit in the application. There is no separate audit log of field changes. CORS allows the local web origins used in development. The trust boundary of a demo is the database file and the environment file on disk.</w:t>
      </w:r>
    </w:p>
    <w:p>
      <w:pPr>
        <w:pStyle w:val="Heading1"/>
      </w:pPr>
      <w:r>
        <w:rPr>
          <w:color w:val="1F2A37"/>
        </w:rPr>
        <w:t>14. Regulatory considerations</w:t>
      </w:r>
    </w:p>
    <w:p>
      <w:r>
        <w:rPr>
          <w:rFonts w:ascii="Calibri" w:hAnsi="Calibri"/>
          <w:b w:val="0"/>
          <w:sz w:val="22"/>
        </w:rPr>
        <w:t>This section records what a real service would still owe. It is not a legal opinion, and it is not a claim that the prototype performs these controls.</w:t>
      </w:r>
    </w:p>
    <w:p>
      <w:r>
        <w:rPr>
          <w:rFonts w:ascii="Calibri" w:hAnsi="Calibri"/>
          <w:b w:val="0"/>
          <w:sz w:val="22"/>
        </w:rPr>
        <w:t>A South African remittance business is expected to identify customers and understand source of funds before moving value. The prototype collects the brief’s KYC fields, encrypts the identification number, and blocks quoting and cash-out until an administrator approves the application. It does not check documents, sanctions lists, or politically exposed persons, and it does not file reports. Daily and monthly rand caps and the stored remittance and settlement history are the only transaction controls. There is no monitoring rules engine and no alert queue.</w:t>
      </w:r>
    </w:p>
    <w:p>
      <w:r>
        <w:rPr>
          <w:rFonts w:ascii="Calibri" w:hAnsi="Calibri"/>
          <w:b w:val="0"/>
          <w:sz w:val="22"/>
        </w:rPr>
        <w:t>Recipient keys are generated and held by the platform. That is custody. A commercial service holding customer crypto-asset keys would have to meet the applicable authorisation, safeguarding, and operational expectations. This prototype does not. It also does not give the customer the seed.</w:t>
      </w:r>
    </w:p>
    <w:p>
      <w:r>
        <w:rPr>
          <w:rFonts w:ascii="Calibri" w:hAnsi="Calibri"/>
          <w:b w:val="0"/>
          <w:sz w:val="22"/>
        </w:rPr>
        <w:t>A stablecoin payment does not create an authorised rand corridor. Cash-in and fiat cash-out are simulated, so the system never takes rand or pays out dollars. A live service would still need an authorised channel for those legs and would still have reporting duties. UCTUSD on Testnet is a course IOU. It is not a mechanism for discharging an exchange-control obligation, and it is not production RLUSD.</w:t>
      </w:r>
    </w:p>
    <w:p>
      <w:r>
        <w:rPr>
          <w:rFonts w:ascii="Calibri" w:hAnsi="Calibri"/>
          <w:b w:val="0"/>
          <w:sz w:val="22"/>
        </w:rPr>
        <w:t>Consumer protection in this build is limited to what the quote actually locks: the fee breakdown and the tracking reference are shown before cash-in, and simulated balances are not bank deposits. There is no complaints process and no client-money trust account, because no client fiat is collected.</w:t>
      </w:r>
    </w:p>
    <w:p>
      <w:pPr>
        <w:pStyle w:val="Heading1"/>
      </w:pPr>
      <w:r>
        <w:rPr>
          <w:color w:val="1F2A37"/>
        </w:rPr>
        <w:t>15. Assumptions and limitations</w:t>
      </w:r>
    </w:p>
    <w:p>
      <w:pPr>
        <w:pStyle w:val="ListBullet"/>
      </w:pPr>
      <w:r>
        <w:rPr>
          <w:rFonts w:ascii="Calibri" w:hAnsi="Calibri"/>
          <w:sz w:val="22"/>
        </w:rPr>
        <w:t>One customer identity is used for sending and receiving. Administrators are not created through public registration.</w:t>
      </w:r>
    </w:p>
    <w:p>
      <w:pPr>
        <w:pStyle w:val="ListBullet"/>
      </w:pPr>
      <w:r>
        <w:rPr>
          <w:rFonts w:ascii="Calibri" w:hAnsi="Calibri"/>
          <w:sz w:val="22"/>
        </w:rPr>
        <w:t>KYC is a single row. Rejected and pending applications can be overwritten. An approved application cannot be resubmitted.</w:t>
      </w:r>
    </w:p>
    <w:p>
      <w:pPr>
        <w:pStyle w:val="ListBullet"/>
      </w:pPr>
      <w:r>
        <w:rPr>
          <w:rFonts w:ascii="Calibri" w:hAnsi="Calibri"/>
          <w:sz w:val="22"/>
        </w:rPr>
        <w:t>Beneficiaries link by matching mobile or email. They are not invited.</w:t>
      </w:r>
    </w:p>
    <w:p>
      <w:pPr>
        <w:pStyle w:val="ListBullet"/>
      </w:pPr>
      <w:r>
        <w:rPr>
          <w:rFonts w:ascii="Calibri" w:hAnsi="Calibri"/>
          <w:sz w:val="22"/>
        </w:rPr>
        <w:t>The settlement asset is UCTUSD unless the issuer address and currency code in configuration are changed. Token math treats one token as one US dollar.</w:t>
      </w:r>
    </w:p>
    <w:p>
      <w:pPr>
        <w:pStyle w:val="ListBullet"/>
      </w:pPr>
      <w:r>
        <w:rPr>
          <w:rFonts w:ascii="Calibri" w:hAnsi="Calibri"/>
          <w:sz w:val="22"/>
        </w:rPr>
        <w:t>Quote lifetime is 900 seconds. Cash-in methods are labels only. Cash-out fiat is USD or ZAR only.</w:t>
      </w:r>
    </w:p>
    <w:p>
      <w:pPr>
        <w:pStyle w:val="ListBullet"/>
      </w:pPr>
      <w:r>
        <w:rPr>
          <w:rFonts w:ascii="Calibri" w:hAnsi="Calibri"/>
          <w:sz w:val="22"/>
        </w:rPr>
        <w:t>Mobile numbers are checked as 8 to 15 digits, and identification numbers as 6 to 20 characters. That is format checking, not an OTP and not a Home Affairs or passport check.</w:t>
      </w:r>
    </w:p>
    <w:p>
      <w:pPr>
        <w:pStyle w:val="ListBullet"/>
      </w:pPr>
      <w:r>
        <w:rPr>
          <w:rFonts w:ascii="Calibri" w:hAnsi="Calibri"/>
          <w:sz w:val="22"/>
        </w:rPr>
        <w:t>SQLite is the default database. It is not a production remittance ledger. Redis must be running for settlement to leave the database.</w:t>
      </w:r>
    </w:p>
    <w:p>
      <w:pPr>
        <w:pStyle w:val="ListBullet"/>
      </w:pPr>
      <w:r>
        <w:rPr>
          <w:rFonts w:ascii="Calibri" w:hAnsi="Calibri"/>
          <w:sz w:val="22"/>
        </w:rPr>
        <w:t>Automated tests exercise the API with the ledger calls mocked. They do not prove a live Testnet payment.</w:t>
      </w:r>
    </w:p>
    <w:p>
      <w:pPr>
        <w:pStyle w:val="ListBullet"/>
      </w:pPr>
      <w:r>
        <w:rPr>
          <w:rFonts w:ascii="Calibri" w:hAnsi="Calibri"/>
          <w:sz w:val="22"/>
        </w:rPr>
        <w:t>The landing-page fee and limit text is fixed copy matching the seeded defaults. An administrator change of fees or caps does not rewrite that page.</w:t>
      </w:r>
    </w:p>
    <w:p>
      <w:pPr>
        <w:pStyle w:val="ListBullet"/>
      </w:pPr>
      <w:r>
        <w:rPr>
          <w:rFonts w:ascii="Calibri" w:hAnsi="Calibri"/>
          <w:sz w:val="22"/>
        </w:rPr>
        <w:t>No performance figure is claimed here. Throughput and ledger latency depend on the host and on Testnet close time, and they are outside this specification.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