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51E" w:rsidRDefault="004A10A6" w:rsidP="0021751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86588">
        <w:rPr>
          <w:rFonts w:asciiTheme="majorEastAsia" w:eastAsiaTheme="majorEastAsia" w:hAnsiTheme="majorEastAsia" w:hint="eastAsia"/>
          <w:b/>
          <w:sz w:val="44"/>
          <w:szCs w:val="44"/>
        </w:rPr>
        <w:t>我国住宅价格对居民消费</w:t>
      </w:r>
    </w:p>
    <w:p w:rsidR="00F562DD" w:rsidRDefault="0021751E" w:rsidP="0021751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及房地产相关行业销售</w:t>
      </w:r>
      <w:r w:rsidR="004A10A6" w:rsidRPr="00C86588">
        <w:rPr>
          <w:rFonts w:asciiTheme="majorEastAsia" w:eastAsiaTheme="majorEastAsia" w:hAnsiTheme="majorEastAsia" w:hint="eastAsia"/>
          <w:b/>
          <w:sz w:val="44"/>
          <w:szCs w:val="44"/>
        </w:rPr>
        <w:t>影响的实证分析</w:t>
      </w:r>
    </w:p>
    <w:p w:rsidR="004A10A6" w:rsidRDefault="00261B5A" w:rsidP="00FB3E0C">
      <w:pPr>
        <w:spacing w:beforeLines="100" w:before="312" w:afterLines="50" w:after="156"/>
        <w:ind w:firstLineChars="200" w:firstLine="643"/>
        <w:outlineLvl w:val="0"/>
        <w:rPr>
          <w:rFonts w:ascii="黑体" w:eastAsia="黑体" w:hAnsi="黑体"/>
          <w:b/>
          <w:sz w:val="32"/>
          <w:szCs w:val="32"/>
        </w:rPr>
      </w:pPr>
      <w:r w:rsidRPr="00FA65A7">
        <w:rPr>
          <w:rFonts w:ascii="黑体" w:eastAsia="黑体" w:hAnsi="黑体" w:hint="eastAsia"/>
          <w:b/>
          <w:sz w:val="32"/>
          <w:szCs w:val="32"/>
        </w:rPr>
        <w:t>一、</w:t>
      </w:r>
      <w:r w:rsidR="00365B08">
        <w:rPr>
          <w:rFonts w:ascii="黑体" w:eastAsia="黑体" w:hAnsi="黑体" w:hint="eastAsia"/>
          <w:b/>
          <w:sz w:val="32"/>
          <w:szCs w:val="32"/>
        </w:rPr>
        <w:t>住宅价格</w:t>
      </w:r>
      <w:r w:rsidR="00365B08">
        <w:rPr>
          <w:rFonts w:ascii="黑体" w:eastAsia="黑体" w:hAnsi="黑体"/>
          <w:b/>
          <w:sz w:val="32"/>
          <w:szCs w:val="32"/>
        </w:rPr>
        <w:t>波动</w:t>
      </w:r>
      <w:r w:rsidR="00365B08">
        <w:rPr>
          <w:rFonts w:ascii="黑体" w:eastAsia="黑体" w:hAnsi="黑体" w:hint="eastAsia"/>
          <w:b/>
          <w:sz w:val="32"/>
          <w:szCs w:val="32"/>
        </w:rPr>
        <w:t>对</w:t>
      </w:r>
      <w:r w:rsidR="00365B08">
        <w:rPr>
          <w:rFonts w:ascii="黑体" w:eastAsia="黑体" w:hAnsi="黑体"/>
          <w:b/>
          <w:sz w:val="32"/>
          <w:szCs w:val="32"/>
        </w:rPr>
        <w:t>消费的总体影响</w:t>
      </w:r>
    </w:p>
    <w:p w:rsidR="00C163F6" w:rsidRPr="00E2170D" w:rsidRDefault="00E2170D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持久收入假说、生命周期假说等消费函数理论，居民消费主要取决于收入水平，既包括当期收入，也包括过去形成的可变现财富，还包括预期未来会获得的收入。理论上消费与收入呈线性关系，可以建立回归模型。</w:t>
      </w:r>
    </w:p>
    <w:p w:rsidR="006C2060" w:rsidRPr="00005200" w:rsidRDefault="0078268A" w:rsidP="00147DCE">
      <w:pPr>
        <w:spacing w:beforeLines="50" w:before="156" w:afterLines="30" w:after="93" w:line="360" w:lineRule="auto"/>
        <w:ind w:firstLineChars="200" w:firstLine="643"/>
        <w:outlineLvl w:val="1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（一）</w:t>
      </w:r>
      <w:r w:rsidRPr="00005200">
        <w:rPr>
          <w:rFonts w:ascii="楷体" w:eastAsia="楷体" w:hAnsi="楷体" w:hint="eastAsia"/>
          <w:b/>
          <w:sz w:val="32"/>
          <w:szCs w:val="32"/>
        </w:rPr>
        <w:t>对</w:t>
      </w:r>
      <w:r w:rsidR="00E2170D" w:rsidRPr="00005200">
        <w:rPr>
          <w:rFonts w:ascii="楷体" w:eastAsia="楷体" w:hAnsi="楷体" w:hint="eastAsia"/>
          <w:b/>
          <w:sz w:val="32"/>
          <w:szCs w:val="32"/>
        </w:rPr>
        <w:t>城镇居民消费支出</w:t>
      </w:r>
      <w:r w:rsidRPr="00005200">
        <w:rPr>
          <w:rFonts w:ascii="楷体" w:eastAsia="楷体" w:hAnsi="楷体" w:hint="eastAsia"/>
          <w:b/>
          <w:sz w:val="32"/>
          <w:szCs w:val="32"/>
        </w:rPr>
        <w:t>的影响</w:t>
      </w:r>
    </w:p>
    <w:p w:rsidR="00E2170D" w:rsidRPr="00005200" w:rsidRDefault="006C2060" w:rsidP="00FA57D2">
      <w:pPr>
        <w:spacing w:beforeLines="30" w:before="93" w:afterLines="50" w:after="156"/>
        <w:ind w:firstLineChars="200" w:firstLine="643"/>
        <w:jc w:val="left"/>
        <w:outlineLvl w:val="2"/>
        <w:rPr>
          <w:rFonts w:ascii="仿宋_GB2312" w:eastAsia="仿宋_GB2312"/>
        </w:rPr>
      </w:pPr>
      <w:r w:rsidRPr="00005200">
        <w:rPr>
          <w:rFonts w:ascii="仿宋_GB2312" w:eastAsia="仿宋_GB2312"/>
          <w:b/>
          <w:sz w:val="32"/>
          <w:szCs w:val="32"/>
        </w:rPr>
        <w:t>1.</w:t>
      </w:r>
      <w:r w:rsidR="00E2170D" w:rsidRPr="00005200">
        <w:rPr>
          <w:rFonts w:ascii="仿宋_GB2312" w:eastAsia="仿宋_GB2312" w:hint="eastAsia"/>
          <w:b/>
          <w:sz w:val="32"/>
          <w:szCs w:val="32"/>
        </w:rPr>
        <w:t>变量选择</w:t>
      </w:r>
    </w:p>
    <w:p w:rsidR="0058434A" w:rsidRPr="0058434A" w:rsidRDefault="0058434A" w:rsidP="0058434A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58434A">
        <w:rPr>
          <w:rFonts w:ascii="仿宋_GB2312" w:eastAsia="仿宋_GB2312" w:hint="eastAsia"/>
          <w:b/>
          <w:sz w:val="32"/>
          <w:szCs w:val="32"/>
        </w:rPr>
        <w:t>因变量方面</w:t>
      </w:r>
      <w:r w:rsidRPr="0058434A">
        <w:rPr>
          <w:rFonts w:ascii="仿宋_GB2312" w:eastAsia="仿宋_GB2312"/>
          <w:b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由于2013年以后才有全国居民人均消费支出统计数据，之前只有城镇居民人均消费支出统计数据，以</w:t>
      </w:r>
      <w:r w:rsidRPr="00706B72">
        <w:rPr>
          <w:rFonts w:ascii="仿宋_GB2312" w:eastAsia="仿宋_GB2312" w:hint="eastAsia"/>
          <w:sz w:val="32"/>
          <w:szCs w:val="32"/>
        </w:rPr>
        <w:t>人均消费支出为因变量</w:t>
      </w:r>
      <w:r>
        <w:rPr>
          <w:rFonts w:ascii="仿宋_GB2312" w:eastAsia="仿宋_GB2312" w:hint="eastAsia"/>
          <w:sz w:val="32"/>
          <w:szCs w:val="32"/>
        </w:rPr>
        <w:t>，指标选用</w:t>
      </w:r>
      <w:r w:rsidRPr="001C2262">
        <w:rPr>
          <w:rFonts w:ascii="仿宋_GB2312" w:eastAsia="仿宋_GB2312" w:hint="eastAsia"/>
          <w:b/>
          <w:sz w:val="32"/>
          <w:szCs w:val="32"/>
        </w:rPr>
        <w:t>城镇居民人均消费支出</w:t>
      </w:r>
      <w:r w:rsidR="004D75E4" w:rsidRPr="004D75E4">
        <w:rPr>
          <w:rFonts w:ascii="仿宋_GB2312" w:eastAsia="仿宋_GB2312" w:hint="eastAsia"/>
          <w:sz w:val="32"/>
          <w:szCs w:val="32"/>
        </w:rPr>
        <w:t>(</w:t>
      </w:r>
      <w:proofErr w:type="spellStart"/>
      <w:r w:rsidR="004D75E4" w:rsidRPr="004D75E4">
        <w:rPr>
          <w:rFonts w:ascii="仿宋_GB2312" w:eastAsia="仿宋_GB2312"/>
          <w:sz w:val="32"/>
          <w:szCs w:val="32"/>
        </w:rPr>
        <w:t>CityExpenditure</w:t>
      </w:r>
      <w:proofErr w:type="spellEnd"/>
      <w:r w:rsidR="004D75E4" w:rsidRPr="004D75E4">
        <w:rPr>
          <w:rFonts w:ascii="仿宋_GB2312" w:eastAsia="仿宋_GB2312"/>
          <w:sz w:val="32"/>
          <w:szCs w:val="32"/>
        </w:rPr>
        <w:t>)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C163F6" w:rsidRDefault="001C4C6F" w:rsidP="00091088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AB3431">
        <w:rPr>
          <w:rFonts w:ascii="仿宋_GB2312" w:eastAsia="仿宋_GB2312" w:hint="eastAsia"/>
          <w:b/>
          <w:sz w:val="32"/>
          <w:szCs w:val="32"/>
        </w:rPr>
        <w:t>自变量方面，</w:t>
      </w:r>
      <w:r>
        <w:rPr>
          <w:rFonts w:ascii="仿宋_GB2312" w:eastAsia="仿宋_GB2312" w:hint="eastAsia"/>
          <w:sz w:val="32"/>
          <w:szCs w:val="32"/>
        </w:rPr>
        <w:t>除住宅价格外，还需引入反映居民收入水平的指标。住宅价格，选用</w:t>
      </w:r>
      <w:bookmarkStart w:id="0" w:name="OLE_LINK7"/>
      <w:r w:rsidRPr="001C2262">
        <w:rPr>
          <w:rFonts w:ascii="仿宋_GB2312" w:eastAsia="仿宋_GB2312" w:hint="eastAsia"/>
          <w:b/>
          <w:sz w:val="32"/>
          <w:szCs w:val="32"/>
        </w:rPr>
        <w:t>住宅商品房平均销售价格</w:t>
      </w:r>
      <w:bookmarkEnd w:id="0"/>
      <w:r w:rsidR="004D75E4">
        <w:rPr>
          <w:rFonts w:ascii="仿宋_GB2312" w:eastAsia="仿宋_GB2312" w:hint="eastAsia"/>
          <w:sz w:val="32"/>
          <w:szCs w:val="32"/>
        </w:rPr>
        <w:t>(</w:t>
      </w:r>
      <w:proofErr w:type="spellStart"/>
      <w:r w:rsidR="004D75E4">
        <w:rPr>
          <w:rFonts w:ascii="仿宋_GB2312" w:eastAsia="仿宋_GB2312"/>
          <w:sz w:val="32"/>
          <w:szCs w:val="32"/>
        </w:rPr>
        <w:t>HousePrice</w:t>
      </w:r>
      <w:proofErr w:type="spellEnd"/>
      <w:r w:rsidR="004D75E4">
        <w:rPr>
          <w:rFonts w:ascii="仿宋_GB2312" w:eastAsia="仿宋_GB2312"/>
          <w:sz w:val="32"/>
          <w:szCs w:val="32"/>
        </w:rPr>
        <w:t>)</w:t>
      </w:r>
      <w:r w:rsidR="004212B3">
        <w:rPr>
          <w:rFonts w:ascii="仿宋_GB2312" w:eastAsia="仿宋_GB2312" w:hint="eastAsia"/>
          <w:sz w:val="32"/>
          <w:szCs w:val="32"/>
        </w:rPr>
        <w:t>这一指标</w:t>
      </w:r>
      <w:r>
        <w:rPr>
          <w:rFonts w:ascii="仿宋_GB2312" w:eastAsia="仿宋_GB2312" w:hint="eastAsia"/>
          <w:sz w:val="32"/>
          <w:szCs w:val="32"/>
        </w:rPr>
        <w:t>。</w:t>
      </w:r>
      <w:r w:rsidR="0015786D">
        <w:rPr>
          <w:rFonts w:ascii="仿宋_GB2312" w:eastAsia="仿宋_GB2312" w:hint="eastAsia"/>
          <w:sz w:val="32"/>
          <w:szCs w:val="32"/>
        </w:rPr>
        <w:t>考虑到对未来收入的预期，很大程度上取决于当期收入和过去获得的财富总量，本文拟将居民当期收入水平、财富总量作为解释变量。</w:t>
      </w:r>
      <w:r w:rsidR="00796F74">
        <w:rPr>
          <w:rFonts w:ascii="仿宋_GB2312" w:eastAsia="仿宋_GB2312" w:hint="eastAsia"/>
          <w:sz w:val="32"/>
          <w:szCs w:val="32"/>
        </w:rPr>
        <w:t>其中，当期收入水平</w:t>
      </w:r>
      <w:r w:rsidR="00B93627">
        <w:rPr>
          <w:rFonts w:ascii="仿宋_GB2312" w:eastAsia="仿宋_GB2312" w:hint="eastAsia"/>
          <w:sz w:val="32"/>
          <w:szCs w:val="32"/>
        </w:rPr>
        <w:t>，选用</w:t>
      </w:r>
      <w:r w:rsidR="00B93627" w:rsidRPr="001C2262">
        <w:rPr>
          <w:rFonts w:ascii="仿宋_GB2312" w:eastAsia="仿宋_GB2312" w:hint="eastAsia"/>
          <w:b/>
          <w:sz w:val="32"/>
          <w:szCs w:val="32"/>
        </w:rPr>
        <w:t>城镇居民人均可支配收入</w:t>
      </w:r>
      <w:r w:rsidR="004D75E4" w:rsidRPr="004D75E4">
        <w:rPr>
          <w:rFonts w:ascii="仿宋_GB2312" w:eastAsia="仿宋_GB2312" w:hint="eastAsia"/>
          <w:sz w:val="32"/>
          <w:szCs w:val="32"/>
        </w:rPr>
        <w:t>(</w:t>
      </w:r>
      <w:bookmarkStart w:id="1" w:name="_Hlk523323829"/>
      <w:proofErr w:type="spellStart"/>
      <w:r w:rsidR="004D75E4" w:rsidRPr="004D75E4">
        <w:rPr>
          <w:rFonts w:ascii="仿宋_GB2312" w:eastAsia="仿宋_GB2312"/>
          <w:sz w:val="32"/>
          <w:szCs w:val="32"/>
        </w:rPr>
        <w:t>CityDisposable</w:t>
      </w:r>
      <w:bookmarkEnd w:id="1"/>
      <w:r w:rsidR="004D75E4" w:rsidRPr="004D75E4">
        <w:rPr>
          <w:rFonts w:ascii="仿宋_GB2312" w:eastAsia="仿宋_GB2312"/>
          <w:sz w:val="32"/>
          <w:szCs w:val="32"/>
        </w:rPr>
        <w:t>Income</w:t>
      </w:r>
      <w:proofErr w:type="spellEnd"/>
      <w:r w:rsidR="004D75E4" w:rsidRPr="004D75E4">
        <w:rPr>
          <w:rFonts w:ascii="仿宋_GB2312" w:eastAsia="仿宋_GB2312"/>
          <w:sz w:val="32"/>
          <w:szCs w:val="32"/>
        </w:rPr>
        <w:t>)</w:t>
      </w:r>
      <w:r w:rsidR="00B93627">
        <w:rPr>
          <w:rFonts w:ascii="仿宋_GB2312" w:eastAsia="仿宋_GB2312" w:hint="eastAsia"/>
          <w:sz w:val="32"/>
          <w:szCs w:val="32"/>
        </w:rPr>
        <w:t>；</w:t>
      </w:r>
      <w:r w:rsidR="00B93627" w:rsidRPr="00B93627">
        <w:rPr>
          <w:rFonts w:ascii="仿宋_GB2312" w:eastAsia="仿宋_GB2312" w:hint="eastAsia"/>
          <w:sz w:val="32"/>
          <w:szCs w:val="32"/>
        </w:rPr>
        <w:t>财富总量</w:t>
      </w:r>
      <w:r w:rsidR="00B93627">
        <w:rPr>
          <w:rFonts w:ascii="仿宋_GB2312" w:eastAsia="仿宋_GB2312" w:hint="eastAsia"/>
          <w:sz w:val="32"/>
          <w:szCs w:val="32"/>
        </w:rPr>
        <w:t>，选用</w:t>
      </w:r>
      <w:r w:rsidR="00BB3EFD">
        <w:rPr>
          <w:rFonts w:ascii="仿宋_GB2312" w:eastAsia="仿宋_GB2312" w:hint="eastAsia"/>
          <w:sz w:val="32"/>
          <w:szCs w:val="32"/>
        </w:rPr>
        <w:t>季度</w:t>
      </w:r>
      <w:r w:rsidR="00013D7E" w:rsidRPr="00013D7E">
        <w:rPr>
          <w:rFonts w:ascii="仿宋_GB2312" w:eastAsia="仿宋_GB2312" w:hint="eastAsia"/>
          <w:b/>
          <w:sz w:val="32"/>
          <w:szCs w:val="32"/>
        </w:rPr>
        <w:t>城乡</w:t>
      </w:r>
      <w:r w:rsidR="00B93627" w:rsidRPr="001C2262">
        <w:rPr>
          <w:rFonts w:ascii="仿宋_GB2312" w:eastAsia="仿宋_GB2312" w:hint="eastAsia"/>
          <w:b/>
          <w:sz w:val="32"/>
          <w:szCs w:val="32"/>
        </w:rPr>
        <w:t>居民储蓄存款余额</w:t>
      </w:r>
      <w:r w:rsidR="004D75E4" w:rsidRPr="004D75E4">
        <w:rPr>
          <w:rFonts w:ascii="仿宋_GB2312" w:eastAsia="仿宋_GB2312" w:hint="eastAsia"/>
          <w:sz w:val="32"/>
          <w:szCs w:val="32"/>
        </w:rPr>
        <w:t>(</w:t>
      </w:r>
      <w:r w:rsidR="004D75E4" w:rsidRPr="004D75E4">
        <w:rPr>
          <w:rFonts w:ascii="仿宋_GB2312" w:eastAsia="仿宋_GB2312"/>
          <w:sz w:val="32"/>
          <w:szCs w:val="32"/>
        </w:rPr>
        <w:t>deposit)</w:t>
      </w:r>
      <w:r w:rsidR="00BB3EFD">
        <w:rPr>
          <w:rFonts w:ascii="仿宋_GB2312" w:eastAsia="仿宋_GB2312" w:hint="eastAsia"/>
          <w:sz w:val="32"/>
          <w:szCs w:val="32"/>
        </w:rPr>
        <w:t>的年</w:t>
      </w:r>
      <w:r w:rsidR="00BB3EFD">
        <w:rPr>
          <w:rFonts w:ascii="仿宋_GB2312" w:eastAsia="仿宋_GB2312" w:hint="eastAsia"/>
          <w:sz w:val="32"/>
          <w:szCs w:val="32"/>
        </w:rPr>
        <w:lastRenderedPageBreak/>
        <w:t>初值</w:t>
      </w:r>
      <w:r w:rsidR="00BB3EFD">
        <w:rPr>
          <w:rStyle w:val="af0"/>
          <w:rFonts w:ascii="仿宋_GB2312" w:eastAsia="仿宋_GB2312"/>
          <w:sz w:val="32"/>
          <w:szCs w:val="32"/>
        </w:rPr>
        <w:footnoteReference w:id="1"/>
      </w:r>
      <w:r w:rsidR="00B0123F">
        <w:rPr>
          <w:rFonts w:ascii="仿宋_GB2312" w:eastAsia="仿宋_GB2312" w:hint="eastAsia"/>
          <w:sz w:val="32"/>
          <w:szCs w:val="32"/>
        </w:rPr>
        <w:t>。本文用</w:t>
      </w:r>
      <w:r w:rsidR="00B0123F" w:rsidRPr="00B0123F">
        <w:rPr>
          <w:rFonts w:ascii="仿宋_GB2312" w:eastAsia="仿宋_GB2312" w:hint="eastAsia"/>
          <w:sz w:val="32"/>
          <w:szCs w:val="32"/>
        </w:rPr>
        <w:t>城镇居民人均可支配收入</w:t>
      </w:r>
      <w:r w:rsidR="00B0123F">
        <w:rPr>
          <w:rFonts w:ascii="仿宋_GB2312" w:eastAsia="仿宋_GB2312" w:hint="eastAsia"/>
          <w:sz w:val="32"/>
          <w:szCs w:val="32"/>
        </w:rPr>
        <w:t>来衡量当期收入对消费的影响，用</w:t>
      </w:r>
      <w:r w:rsidR="00B0123F" w:rsidRPr="00B0123F">
        <w:rPr>
          <w:rFonts w:ascii="仿宋_GB2312" w:eastAsia="仿宋_GB2312" w:hint="eastAsia"/>
          <w:sz w:val="32"/>
          <w:szCs w:val="32"/>
        </w:rPr>
        <w:t>居民储蓄存款余额</w:t>
      </w:r>
      <w:r w:rsidR="00B0123F">
        <w:rPr>
          <w:rFonts w:ascii="仿宋_GB2312" w:eastAsia="仿宋_GB2312" w:hint="eastAsia"/>
          <w:sz w:val="32"/>
          <w:szCs w:val="32"/>
        </w:rPr>
        <w:t>来衡量过往财富积累对消费的影响，因此</w:t>
      </w:r>
      <w:r w:rsidR="00B0123F" w:rsidRPr="00B0123F">
        <w:rPr>
          <w:rFonts w:ascii="仿宋_GB2312" w:eastAsia="仿宋_GB2312" w:hint="eastAsia"/>
          <w:sz w:val="32"/>
          <w:szCs w:val="32"/>
        </w:rPr>
        <w:t>居民储蓄存款余额</w:t>
      </w:r>
      <w:r w:rsidR="00B0123F">
        <w:rPr>
          <w:rFonts w:ascii="仿宋_GB2312" w:eastAsia="仿宋_GB2312" w:hint="eastAsia"/>
          <w:sz w:val="32"/>
          <w:szCs w:val="32"/>
        </w:rPr>
        <w:t>应选用年初数，而不是年末数</w:t>
      </w:r>
      <w:bookmarkStart w:id="2" w:name="_GoBack"/>
      <w:bookmarkEnd w:id="2"/>
      <w:r w:rsidR="00B0123F">
        <w:rPr>
          <w:rFonts w:ascii="仿宋_GB2312" w:eastAsia="仿宋_GB2312" w:hint="eastAsia"/>
          <w:sz w:val="32"/>
          <w:szCs w:val="32"/>
        </w:rPr>
        <w:t>。</w:t>
      </w:r>
    </w:p>
    <w:p w:rsidR="00E2170D" w:rsidRPr="00091088" w:rsidRDefault="00E2170D" w:rsidP="00FA57D2">
      <w:pPr>
        <w:spacing w:beforeLines="30" w:before="93" w:afterLines="50" w:after="156"/>
        <w:ind w:firstLineChars="200" w:firstLine="643"/>
        <w:jc w:val="left"/>
        <w:outlineLvl w:val="2"/>
        <w:rPr>
          <w:rFonts w:ascii="仿宋_GB2312" w:eastAsia="仿宋_GB2312"/>
          <w:b/>
          <w:sz w:val="32"/>
          <w:szCs w:val="32"/>
        </w:rPr>
      </w:pPr>
      <w:r w:rsidRPr="00091088">
        <w:rPr>
          <w:rFonts w:ascii="仿宋_GB2312" w:eastAsia="仿宋_GB2312" w:hint="eastAsia"/>
          <w:b/>
          <w:sz w:val="32"/>
          <w:szCs w:val="32"/>
        </w:rPr>
        <w:t>2</w:t>
      </w:r>
      <w:r w:rsidR="00091088">
        <w:rPr>
          <w:rFonts w:ascii="仿宋_GB2312" w:eastAsia="仿宋_GB2312" w:hint="eastAsia"/>
          <w:b/>
          <w:sz w:val="32"/>
          <w:szCs w:val="32"/>
        </w:rPr>
        <w:t>.</w:t>
      </w:r>
      <w:r w:rsidRPr="00091088">
        <w:rPr>
          <w:rFonts w:ascii="仿宋_GB2312" w:eastAsia="仿宋_GB2312"/>
          <w:b/>
          <w:sz w:val="32"/>
          <w:szCs w:val="32"/>
        </w:rPr>
        <w:t>数据预处理</w:t>
      </w:r>
    </w:p>
    <w:p w:rsidR="0077684D" w:rsidRPr="004D75E4" w:rsidRDefault="0077684D" w:rsidP="0077684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7684D">
        <w:rPr>
          <w:rFonts w:ascii="仿宋_GB2312" w:eastAsia="仿宋_GB2312" w:hint="eastAsia"/>
          <w:sz w:val="32"/>
          <w:szCs w:val="32"/>
        </w:rPr>
        <w:t>居民储蓄存款余额</w:t>
      </w:r>
      <w:r>
        <w:rPr>
          <w:rFonts w:ascii="仿宋_GB2312" w:eastAsia="仿宋_GB2312" w:hint="eastAsia"/>
          <w:sz w:val="32"/>
          <w:szCs w:val="32"/>
        </w:rPr>
        <w:t>为总量范畴，为与作为因变量的城镇居民人均消费支出相匹配，</w:t>
      </w:r>
      <w:r w:rsidR="00414135">
        <w:rPr>
          <w:rFonts w:ascii="仿宋_GB2312" w:eastAsia="仿宋_GB2312" w:hint="eastAsia"/>
          <w:sz w:val="32"/>
          <w:szCs w:val="32"/>
        </w:rPr>
        <w:t>应扣除人口数量增长对</w:t>
      </w:r>
      <w:r w:rsidR="00F57967" w:rsidRPr="00F57967">
        <w:rPr>
          <w:rFonts w:ascii="仿宋_GB2312" w:eastAsia="仿宋_GB2312" w:hint="eastAsia"/>
          <w:sz w:val="32"/>
          <w:szCs w:val="32"/>
        </w:rPr>
        <w:t>居民储蓄存款余额</w:t>
      </w:r>
      <w:r w:rsidR="00F57967">
        <w:rPr>
          <w:rFonts w:ascii="仿宋_GB2312" w:eastAsia="仿宋_GB2312" w:hint="eastAsia"/>
          <w:sz w:val="32"/>
          <w:szCs w:val="32"/>
        </w:rPr>
        <w:t>的影响，</w:t>
      </w:r>
      <w:proofErr w:type="gramStart"/>
      <w:r w:rsidR="00F57967" w:rsidRPr="004D75E4">
        <w:rPr>
          <w:rFonts w:ascii="仿宋_GB2312" w:eastAsia="仿宋_GB2312" w:hint="eastAsia"/>
          <w:sz w:val="32"/>
          <w:szCs w:val="32"/>
        </w:rPr>
        <w:t>用居民</w:t>
      </w:r>
      <w:proofErr w:type="gramEnd"/>
      <w:r w:rsidR="00F57967" w:rsidRPr="004D75E4">
        <w:rPr>
          <w:rFonts w:ascii="仿宋_GB2312" w:eastAsia="仿宋_GB2312" w:hint="eastAsia"/>
          <w:sz w:val="32"/>
          <w:szCs w:val="32"/>
        </w:rPr>
        <w:t>储蓄存款余额除以历年年末总人口数，得到</w:t>
      </w:r>
      <w:bookmarkStart w:id="3" w:name="OLE_LINK3"/>
      <w:bookmarkStart w:id="4" w:name="OLE_LINK4"/>
      <w:r w:rsidR="00F57967" w:rsidRPr="004D75E4">
        <w:rPr>
          <w:rFonts w:ascii="仿宋_GB2312" w:eastAsia="仿宋_GB2312" w:hint="eastAsia"/>
          <w:sz w:val="32"/>
          <w:szCs w:val="32"/>
        </w:rPr>
        <w:t>居民人均储蓄存款余额序列</w:t>
      </w:r>
      <w:bookmarkEnd w:id="3"/>
      <w:bookmarkEnd w:id="4"/>
      <w:r w:rsidR="00F57967" w:rsidRPr="004D75E4">
        <w:rPr>
          <w:rFonts w:ascii="仿宋_GB2312" w:eastAsia="仿宋_GB2312" w:hint="eastAsia"/>
          <w:sz w:val="32"/>
          <w:szCs w:val="32"/>
        </w:rPr>
        <w:t>。</w:t>
      </w:r>
    </w:p>
    <w:p w:rsidR="00F11245" w:rsidRDefault="00F11245" w:rsidP="0077684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4D75E4">
        <w:rPr>
          <w:rFonts w:ascii="仿宋_GB2312" w:eastAsia="仿宋_GB2312" w:hint="eastAsia"/>
          <w:sz w:val="32"/>
          <w:szCs w:val="32"/>
        </w:rPr>
        <w:t>为消除价格因素的影响，上述4个变量均需进行处理，方法为：以国家统计局公布的居民</w:t>
      </w:r>
      <w:bookmarkStart w:id="5" w:name="OLE_LINK1"/>
      <w:bookmarkStart w:id="6" w:name="OLE_LINK2"/>
      <w:r w:rsidRPr="004D75E4">
        <w:rPr>
          <w:rFonts w:ascii="仿宋_GB2312" w:eastAsia="仿宋_GB2312" w:hint="eastAsia"/>
          <w:sz w:val="32"/>
          <w:szCs w:val="32"/>
        </w:rPr>
        <w:t>消费价格指数（1978=100）</w:t>
      </w:r>
      <w:bookmarkEnd w:id="5"/>
      <w:bookmarkEnd w:id="6"/>
      <w:r w:rsidR="00BA72C7" w:rsidRPr="004D75E4">
        <w:rPr>
          <w:rFonts w:ascii="仿宋_GB2312" w:eastAsia="仿宋_GB2312" w:hint="eastAsia"/>
          <w:sz w:val="32"/>
          <w:szCs w:val="32"/>
        </w:rPr>
        <w:t>、</w:t>
      </w:r>
      <w:bookmarkStart w:id="7" w:name="OLE_LINK5"/>
      <w:bookmarkStart w:id="8" w:name="OLE_LINK6"/>
      <w:r w:rsidR="00BA72C7" w:rsidRPr="004D75E4">
        <w:rPr>
          <w:rFonts w:ascii="仿宋_GB2312" w:eastAsia="仿宋_GB2312" w:hint="eastAsia"/>
          <w:sz w:val="32"/>
          <w:szCs w:val="32"/>
        </w:rPr>
        <w:t>城镇居民消费价格指数</w:t>
      </w:r>
      <w:bookmarkEnd w:id="7"/>
      <w:bookmarkEnd w:id="8"/>
      <w:r w:rsidR="00BA72C7" w:rsidRPr="004D75E4">
        <w:rPr>
          <w:rFonts w:ascii="仿宋_GB2312" w:eastAsia="仿宋_GB2312" w:hint="eastAsia"/>
          <w:sz w:val="32"/>
          <w:szCs w:val="32"/>
        </w:rPr>
        <w:t>（1978=100）</w:t>
      </w:r>
      <w:r w:rsidRPr="004D75E4">
        <w:rPr>
          <w:rFonts w:ascii="仿宋_GB2312" w:eastAsia="仿宋_GB2312" w:hint="eastAsia"/>
          <w:sz w:val="32"/>
          <w:szCs w:val="32"/>
        </w:rPr>
        <w:t>为基础，</w:t>
      </w:r>
      <w:r w:rsidR="00512D65" w:rsidRPr="004D75E4">
        <w:rPr>
          <w:rFonts w:ascii="仿宋_GB2312" w:eastAsia="仿宋_GB2312" w:hint="eastAsia"/>
          <w:sz w:val="32"/>
          <w:szCs w:val="32"/>
        </w:rPr>
        <w:t>通过线性变换，生成新的价格指数序列（2000=1）</w:t>
      </w:r>
      <w:r w:rsidR="00BA72C7" w:rsidRPr="004D75E4">
        <w:rPr>
          <w:rFonts w:ascii="仿宋_GB2312" w:eastAsia="仿宋_GB2312" w:hint="eastAsia"/>
          <w:sz w:val="32"/>
          <w:szCs w:val="32"/>
        </w:rPr>
        <w:t>。</w:t>
      </w:r>
      <w:proofErr w:type="gramStart"/>
      <w:r w:rsidR="00512D65" w:rsidRPr="004D75E4">
        <w:rPr>
          <w:rFonts w:ascii="仿宋_GB2312" w:eastAsia="仿宋_GB2312" w:hint="eastAsia"/>
          <w:sz w:val="32"/>
          <w:szCs w:val="32"/>
        </w:rPr>
        <w:t>用</w:t>
      </w:r>
      <w:r w:rsidR="00BA72C7" w:rsidRPr="004D75E4">
        <w:rPr>
          <w:rFonts w:ascii="仿宋_GB2312" w:eastAsia="仿宋_GB2312" w:hint="eastAsia"/>
          <w:sz w:val="32"/>
          <w:szCs w:val="32"/>
        </w:rPr>
        <w:t>居民</w:t>
      </w:r>
      <w:proofErr w:type="gramEnd"/>
      <w:r w:rsidR="00BA72C7" w:rsidRPr="004D75E4">
        <w:rPr>
          <w:rFonts w:ascii="仿宋_GB2312" w:eastAsia="仿宋_GB2312" w:hint="eastAsia"/>
          <w:sz w:val="32"/>
          <w:szCs w:val="32"/>
        </w:rPr>
        <w:t>消费价格指数新</w:t>
      </w:r>
      <w:r w:rsidR="00512D65" w:rsidRPr="004D75E4">
        <w:rPr>
          <w:rFonts w:ascii="仿宋_GB2312" w:eastAsia="仿宋_GB2312" w:hint="eastAsia"/>
          <w:sz w:val="32"/>
          <w:szCs w:val="32"/>
        </w:rPr>
        <w:t>序列</w:t>
      </w:r>
      <w:r w:rsidR="00BA72C7" w:rsidRPr="004D75E4">
        <w:rPr>
          <w:rFonts w:ascii="仿宋_GB2312" w:eastAsia="仿宋_GB2312" w:hint="eastAsia"/>
          <w:sz w:val="32"/>
          <w:szCs w:val="32"/>
        </w:rPr>
        <w:t>处理居民人均储蓄存款余额序列</w:t>
      </w:r>
      <w:r w:rsidR="00512D65" w:rsidRPr="004D75E4">
        <w:rPr>
          <w:rFonts w:ascii="仿宋_GB2312" w:eastAsia="仿宋_GB2312" w:hint="eastAsia"/>
          <w:sz w:val="32"/>
          <w:szCs w:val="32"/>
        </w:rPr>
        <w:t>，</w:t>
      </w:r>
      <w:r w:rsidR="00BA72C7" w:rsidRPr="004D75E4">
        <w:rPr>
          <w:rFonts w:ascii="仿宋_GB2312" w:eastAsia="仿宋_GB2312" w:hint="eastAsia"/>
          <w:sz w:val="32"/>
          <w:szCs w:val="32"/>
        </w:rPr>
        <w:t>用城镇居民消费价格指数新序列处理其它3个变量，</w:t>
      </w:r>
      <w:r w:rsidR="00512D65" w:rsidRPr="004D75E4">
        <w:rPr>
          <w:rFonts w:ascii="仿宋_GB2312" w:eastAsia="仿宋_GB2312" w:hint="eastAsia"/>
          <w:sz w:val="32"/>
          <w:szCs w:val="32"/>
        </w:rPr>
        <w:t>所得新序列即消除价格影响。</w:t>
      </w:r>
      <w:r w:rsidR="00CA522C" w:rsidRPr="004D75E4">
        <w:rPr>
          <w:rFonts w:ascii="仿宋_GB2312" w:eastAsia="仿宋_GB2312" w:hint="eastAsia"/>
          <w:sz w:val="32"/>
          <w:szCs w:val="32"/>
        </w:rPr>
        <w:t>为避免异方差问题，4个变量均进行自然对数处理。</w:t>
      </w:r>
    </w:p>
    <w:p w:rsidR="000A4E8F" w:rsidRPr="00B85F98" w:rsidRDefault="000A4E8F" w:rsidP="00FA57D2">
      <w:pPr>
        <w:spacing w:beforeLines="30" w:before="93" w:afterLines="50" w:after="156"/>
        <w:ind w:firstLineChars="200" w:firstLine="643"/>
        <w:jc w:val="left"/>
        <w:outlineLvl w:val="2"/>
        <w:rPr>
          <w:rFonts w:ascii="仿宋_GB2312" w:eastAsia="仿宋_GB2312"/>
          <w:b/>
          <w:sz w:val="32"/>
          <w:szCs w:val="32"/>
        </w:rPr>
      </w:pPr>
      <w:r w:rsidRPr="00B85F98">
        <w:rPr>
          <w:rFonts w:ascii="仿宋_GB2312" w:eastAsia="仿宋_GB2312" w:hint="eastAsia"/>
          <w:b/>
          <w:sz w:val="32"/>
          <w:szCs w:val="32"/>
        </w:rPr>
        <w:t>3</w:t>
      </w:r>
      <w:r w:rsidR="00091088" w:rsidRPr="00B85F98">
        <w:rPr>
          <w:rFonts w:ascii="仿宋_GB2312" w:eastAsia="仿宋_GB2312" w:hint="eastAsia"/>
          <w:b/>
          <w:sz w:val="32"/>
          <w:szCs w:val="32"/>
        </w:rPr>
        <w:t>.</w:t>
      </w:r>
      <w:r w:rsidRPr="00B85F98">
        <w:rPr>
          <w:rFonts w:ascii="仿宋_GB2312" w:eastAsia="仿宋_GB2312"/>
          <w:b/>
          <w:sz w:val="32"/>
          <w:szCs w:val="32"/>
        </w:rPr>
        <w:t>模型构建</w:t>
      </w:r>
    </w:p>
    <w:p w:rsidR="000F32E2" w:rsidRDefault="00941149" w:rsidP="00FA65A7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我国住房制度改革始于1998年，市场化的住宅价格在此之后逐步形成</w:t>
      </w:r>
      <w:r w:rsidR="00013D7E">
        <w:rPr>
          <w:rFonts w:ascii="仿宋_GB2312" w:eastAsia="仿宋_GB2312" w:hint="eastAsia"/>
          <w:sz w:val="32"/>
          <w:szCs w:val="32"/>
        </w:rPr>
        <w:t>。由于缺失2</w:t>
      </w:r>
      <w:r w:rsidR="00013D7E">
        <w:rPr>
          <w:rFonts w:ascii="仿宋_GB2312" w:eastAsia="仿宋_GB2312"/>
          <w:sz w:val="32"/>
          <w:szCs w:val="32"/>
        </w:rPr>
        <w:t>000</w:t>
      </w:r>
      <w:r w:rsidR="00013D7E">
        <w:rPr>
          <w:rFonts w:ascii="仿宋_GB2312" w:eastAsia="仿宋_GB2312" w:hint="eastAsia"/>
          <w:sz w:val="32"/>
          <w:szCs w:val="32"/>
        </w:rPr>
        <w:t>年之前的</w:t>
      </w:r>
      <w:r w:rsidR="00013D7E" w:rsidRPr="00013D7E">
        <w:rPr>
          <w:rFonts w:ascii="仿宋_GB2312" w:eastAsia="仿宋_GB2312" w:hint="eastAsia"/>
          <w:sz w:val="32"/>
          <w:szCs w:val="32"/>
        </w:rPr>
        <w:t>住宅商品房平均销售价格</w:t>
      </w:r>
      <w:r w:rsidR="00BB3EFD">
        <w:rPr>
          <w:rFonts w:ascii="仿宋_GB2312" w:eastAsia="仿宋_GB2312" w:hint="eastAsia"/>
          <w:sz w:val="32"/>
          <w:szCs w:val="32"/>
        </w:rPr>
        <w:t>和2</w:t>
      </w:r>
      <w:r w:rsidR="00BB3EFD">
        <w:rPr>
          <w:rFonts w:ascii="仿宋_GB2312" w:eastAsia="仿宋_GB2312"/>
          <w:sz w:val="32"/>
          <w:szCs w:val="32"/>
        </w:rPr>
        <w:t>002</w:t>
      </w:r>
      <w:r w:rsidR="00BB3EFD">
        <w:rPr>
          <w:rFonts w:ascii="仿宋_GB2312" w:eastAsia="仿宋_GB2312" w:hint="eastAsia"/>
          <w:sz w:val="32"/>
          <w:szCs w:val="32"/>
        </w:rPr>
        <w:t>年之前的</w:t>
      </w:r>
      <w:r w:rsidR="00BB3EFD" w:rsidRPr="00BB3EFD">
        <w:rPr>
          <w:rFonts w:ascii="仿宋_GB2312" w:eastAsia="仿宋_GB2312" w:hint="eastAsia"/>
          <w:sz w:val="32"/>
          <w:szCs w:val="32"/>
        </w:rPr>
        <w:t>城乡居民储蓄存款余额</w:t>
      </w:r>
      <w:r w:rsidR="00BB3EFD">
        <w:rPr>
          <w:rFonts w:ascii="仿宋_GB2312" w:eastAsia="仿宋_GB2312" w:hint="eastAsia"/>
          <w:sz w:val="32"/>
          <w:szCs w:val="32"/>
        </w:rPr>
        <w:t>，</w:t>
      </w:r>
      <w:r w:rsidR="00013D7E">
        <w:rPr>
          <w:rFonts w:ascii="仿宋_GB2312" w:eastAsia="仿宋_GB2312" w:hint="eastAsia"/>
          <w:sz w:val="32"/>
          <w:szCs w:val="32"/>
        </w:rPr>
        <w:t>因此</w:t>
      </w:r>
      <w:r>
        <w:rPr>
          <w:rFonts w:ascii="仿宋_GB2312" w:eastAsia="仿宋_GB2312" w:hint="eastAsia"/>
          <w:sz w:val="32"/>
          <w:szCs w:val="32"/>
        </w:rPr>
        <w:t>回</w:t>
      </w:r>
      <w:r>
        <w:rPr>
          <w:rFonts w:ascii="仿宋_GB2312" w:eastAsia="仿宋_GB2312" w:hint="eastAsia"/>
          <w:sz w:val="32"/>
          <w:szCs w:val="32"/>
        </w:rPr>
        <w:lastRenderedPageBreak/>
        <w:t>归模型样本期间为200</w:t>
      </w:r>
      <w:r w:rsidR="00BB3EFD"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-201</w:t>
      </w:r>
      <w:r w:rsidR="00583FDB">
        <w:rPr>
          <w:rFonts w:ascii="仿宋_GB2312" w:eastAsia="仿宋_GB2312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年，模型形式如下</w:t>
      </w:r>
      <w:r w:rsidR="004D75E4">
        <w:rPr>
          <w:rFonts w:ascii="仿宋_GB2312" w:eastAsia="仿宋_GB2312" w:hint="eastAsia"/>
          <w:sz w:val="32"/>
          <w:szCs w:val="32"/>
        </w:rPr>
        <w:t>:</w:t>
      </w:r>
    </w:p>
    <w:p w:rsidR="006C671E" w:rsidRPr="004D75E4" w:rsidRDefault="004D75E4" w:rsidP="004D75E4">
      <w:pPr>
        <w:rPr>
          <w:rFonts w:ascii="仿宋_GB2312" w:eastAsia="仿宋_GB2312"/>
          <w:sz w:val="28"/>
          <w:szCs w:val="28"/>
        </w:rPr>
      </w:pPr>
      <m:oMath>
        <m:r>
          <m:rPr>
            <m:sty m:val="p"/>
          </m:rPr>
          <w:rPr>
            <w:rFonts w:ascii="Cambria Math" w:eastAsia="仿宋_GB2312" w:hAnsi="Cambria Math"/>
            <w:sz w:val="28"/>
            <w:szCs w:val="28"/>
          </w:rPr>
          <m:t>log⁡</m:t>
        </m:r>
        <m:r>
          <w:rPr>
            <w:rFonts w:ascii="Cambria Math" w:eastAsia="仿宋_GB2312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仿宋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CityExpenditure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="仿宋_GB2312" w:hAnsi="Cambria Math"/>
            <w:sz w:val="28"/>
            <w:szCs w:val="28"/>
          </w:rPr>
          <m:t>)=c+log⁡(</m:t>
        </m:r>
        <m:sSub>
          <m:sSubPr>
            <m:ctrlPr>
              <w:rPr>
                <w:rFonts w:ascii="Cambria Math" w:eastAsia="仿宋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CityDisposable</m:t>
            </m:r>
            <m:r>
              <w:rPr>
                <w:rFonts w:ascii="Cambria Math" w:eastAsia="仿宋_GB2312" w:hAnsi="Cambria Math"/>
                <w:sz w:val="28"/>
                <w:szCs w:val="28"/>
              </w:rPr>
              <m:t>Income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仿宋_GB2312" w:hAnsi="Cambria Math"/>
            <w:sz w:val="28"/>
            <w:szCs w:val="28"/>
          </w:rPr>
          <m:t>)+</m:t>
        </m:r>
        <m:r>
          <m:rPr>
            <m:sty m:val="p"/>
          </m:rPr>
          <w:rPr>
            <w:rFonts w:ascii="Cambria Math" w:eastAsia="仿宋_GB2312" w:hAnsi="Cambria Math"/>
            <w:sz w:val="28"/>
            <w:szCs w:val="28"/>
          </w:rPr>
          <m:t>log⁡</m:t>
        </m:r>
        <m:r>
          <w:rPr>
            <w:rFonts w:ascii="Cambria Math" w:eastAsia="仿宋_GB2312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_GB2312" w:hAnsi="Cambria Math"/>
                <w:sz w:val="28"/>
                <w:szCs w:val="28"/>
              </w:rPr>
              <m:t>deposit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仿宋_GB2312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log⁡</m:t>
            </m:r>
            <m:r>
              <w:rPr>
                <w:rFonts w:ascii="Cambria Math" w:eastAsia="仿宋_GB2312" w:hAnsi="Cambria Math"/>
                <w:sz w:val="28"/>
                <w:szCs w:val="28"/>
              </w:rPr>
              <m:t>(HousePrice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仿宋_GB2312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_GB2312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</m:oMath>
      <w:r w:rsidRPr="004D75E4">
        <w:rPr>
          <w:rFonts w:ascii="仿宋_GB2312" w:eastAsia="仿宋_GB2312"/>
          <w:sz w:val="28"/>
          <w:szCs w:val="28"/>
        </w:rPr>
        <w:t xml:space="preserve"> </w:t>
      </w:r>
    </w:p>
    <w:p w:rsidR="0010064C" w:rsidRPr="00B85F98" w:rsidRDefault="000A4E8F" w:rsidP="00FA57D2">
      <w:pPr>
        <w:spacing w:beforeLines="30" w:before="93" w:afterLines="50" w:after="156"/>
        <w:ind w:firstLineChars="200" w:firstLine="643"/>
        <w:jc w:val="left"/>
        <w:outlineLvl w:val="2"/>
        <w:rPr>
          <w:rFonts w:ascii="仿宋_GB2312" w:eastAsia="仿宋_GB2312"/>
          <w:b/>
          <w:sz w:val="32"/>
          <w:szCs w:val="32"/>
        </w:rPr>
      </w:pPr>
      <w:r w:rsidRPr="00B85F98">
        <w:rPr>
          <w:rFonts w:ascii="仿宋_GB2312" w:eastAsia="仿宋_GB2312" w:hint="eastAsia"/>
          <w:b/>
          <w:sz w:val="32"/>
          <w:szCs w:val="32"/>
        </w:rPr>
        <w:t>4</w:t>
      </w:r>
      <w:r w:rsidR="00091088" w:rsidRPr="00B85F98">
        <w:rPr>
          <w:rFonts w:ascii="仿宋_GB2312" w:eastAsia="仿宋_GB2312" w:hint="eastAsia"/>
          <w:b/>
          <w:sz w:val="32"/>
          <w:szCs w:val="32"/>
        </w:rPr>
        <w:t>.</w:t>
      </w:r>
      <w:r w:rsidR="005F774F" w:rsidRPr="00B85F98">
        <w:rPr>
          <w:rFonts w:ascii="仿宋_GB2312" w:eastAsia="仿宋_GB2312" w:hint="eastAsia"/>
          <w:b/>
          <w:sz w:val="32"/>
          <w:szCs w:val="32"/>
        </w:rPr>
        <w:t>模型估计</w:t>
      </w:r>
    </w:p>
    <w:p w:rsidR="00B75A41" w:rsidRDefault="00024AF3" w:rsidP="00B75A4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模型输出结果见表2，</w:t>
      </w:r>
      <w:r w:rsidR="004F446C">
        <w:rPr>
          <w:rFonts w:ascii="仿宋_GB2312" w:eastAsia="仿宋_GB2312" w:hint="eastAsia"/>
          <w:sz w:val="32"/>
          <w:szCs w:val="32"/>
        </w:rPr>
        <w:t>模型拟合程度较高，</w:t>
      </w:r>
      <w:r w:rsidR="00583FDB">
        <w:rPr>
          <w:rFonts w:ascii="仿宋_GB2312" w:eastAsia="仿宋_GB2312"/>
          <w:sz w:val="32"/>
          <w:szCs w:val="32"/>
        </w:rPr>
        <w:t>R</w:t>
      </w:r>
      <w:r w:rsidR="00583FDB">
        <w:rPr>
          <w:rFonts w:ascii="仿宋_GB2312" w:eastAsia="仿宋_GB2312" w:hint="eastAsia"/>
          <w:sz w:val="32"/>
          <w:szCs w:val="32"/>
        </w:rPr>
        <w:t>方达0</w:t>
      </w:r>
      <w:r w:rsidR="00583FDB">
        <w:rPr>
          <w:rFonts w:ascii="仿宋_GB2312" w:eastAsia="仿宋_GB2312"/>
          <w:sz w:val="32"/>
          <w:szCs w:val="32"/>
        </w:rPr>
        <w:t>.99</w:t>
      </w:r>
      <w:r w:rsidR="004F446C">
        <w:rPr>
          <w:rFonts w:ascii="仿宋_GB2312" w:eastAsia="仿宋_GB2312" w:hint="eastAsia"/>
          <w:sz w:val="32"/>
          <w:szCs w:val="32"/>
        </w:rPr>
        <w:t>，经检验，残差序列不存在自相关。</w:t>
      </w:r>
    </w:p>
    <w:p w:rsidR="005F774F" w:rsidRDefault="005F774F" w:rsidP="005F774F">
      <w:pPr>
        <w:jc w:val="center"/>
        <w:rPr>
          <w:rFonts w:asciiTheme="minorEastAsia" w:hAnsiTheme="minorEastAsia"/>
          <w:b/>
          <w:sz w:val="28"/>
          <w:szCs w:val="28"/>
        </w:rPr>
      </w:pPr>
      <w:r w:rsidRPr="00024AF3">
        <w:rPr>
          <w:rFonts w:asciiTheme="minorEastAsia" w:hAnsiTheme="minorEastAsia" w:hint="eastAsia"/>
          <w:b/>
          <w:sz w:val="28"/>
          <w:szCs w:val="28"/>
        </w:rPr>
        <w:t>表2 回归模型估计结果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1"/>
        <w:gridCol w:w="1161"/>
        <w:gridCol w:w="1270"/>
        <w:gridCol w:w="1272"/>
        <w:gridCol w:w="1323"/>
      </w:tblGrid>
      <w:tr w:rsidR="005F774F" w:rsidTr="00B82B1D">
        <w:trPr>
          <w:trHeight w:hRule="exact" w:val="95"/>
          <w:jc w:val="center"/>
        </w:trPr>
        <w:tc>
          <w:tcPr>
            <w:tcW w:w="2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F774F" w:rsidTr="00B82B1D">
        <w:trPr>
          <w:trHeight w:hRule="exact" w:val="142"/>
          <w:jc w:val="center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F774F" w:rsidTr="00B82B1D">
        <w:trPr>
          <w:trHeight w:val="238"/>
          <w:jc w:val="center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1C67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1C676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1C676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1C676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1C6764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5F774F" w:rsidTr="00B82B1D">
        <w:trPr>
          <w:trHeight w:hRule="exact" w:val="95"/>
          <w:jc w:val="center"/>
        </w:trPr>
        <w:tc>
          <w:tcPr>
            <w:tcW w:w="2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F774F" w:rsidTr="00B82B1D">
        <w:trPr>
          <w:trHeight w:hRule="exact" w:val="142"/>
          <w:jc w:val="center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82B1D" w:rsidTr="00B82B1D">
        <w:trPr>
          <w:trHeight w:val="238"/>
          <w:jc w:val="center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(Intercept)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3.12973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0.88192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3.549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0.00401 **</w:t>
            </w:r>
          </w:p>
        </w:tc>
      </w:tr>
      <w:tr w:rsidR="00B82B1D" w:rsidTr="00B82B1D">
        <w:trPr>
          <w:trHeight w:val="238"/>
          <w:jc w:val="center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proofErr w:type="gramStart"/>
            <w:r w:rsidRPr="004E0CD1">
              <w:t>log(</w:t>
            </w:r>
            <w:proofErr w:type="spellStart"/>
            <w:proofErr w:type="gramEnd"/>
            <w:r w:rsidRPr="004E0CD1">
              <w:t>CityDisposableIncome</w:t>
            </w:r>
            <w:proofErr w:type="spellEnd"/>
            <w:r w:rsidRPr="004E0CD1">
              <w:t>)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0.70784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0.07702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9.191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8.84e-07 ***</w:t>
            </w:r>
          </w:p>
        </w:tc>
      </w:tr>
      <w:tr w:rsidR="00B82B1D" w:rsidTr="00B82B1D">
        <w:trPr>
          <w:trHeight w:val="238"/>
          <w:jc w:val="center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proofErr w:type="gramStart"/>
            <w:r w:rsidRPr="004E0CD1">
              <w:t>log(</w:t>
            </w:r>
            <w:proofErr w:type="spellStart"/>
            <w:proofErr w:type="gramEnd"/>
            <w:r w:rsidRPr="004E0CD1">
              <w:t>HousePrice</w:t>
            </w:r>
            <w:proofErr w:type="spellEnd"/>
            <w:r w:rsidRPr="004E0CD1">
              <w:t>)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-0.08778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0.06384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-1.375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0.19429</w:t>
            </w:r>
          </w:p>
        </w:tc>
      </w:tr>
      <w:tr w:rsidR="00B82B1D" w:rsidTr="00B82B1D">
        <w:trPr>
          <w:trHeight w:val="238"/>
          <w:jc w:val="center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proofErr w:type="gramStart"/>
            <w:r w:rsidRPr="004E0CD1">
              <w:t>log(</w:t>
            </w:r>
            <w:proofErr w:type="gramEnd"/>
            <w:r w:rsidRPr="004E0CD1">
              <w:t>Deposit)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0.17289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0.06636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B82B1D" w:rsidRPr="004E0CD1" w:rsidRDefault="00B82B1D" w:rsidP="00B82B1D">
            <w:r w:rsidRPr="004E0CD1">
              <w:t>2.605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:rsidR="00B82B1D" w:rsidRDefault="00B82B1D" w:rsidP="00B82B1D">
            <w:r w:rsidRPr="004E0CD1">
              <w:t>0.02301 *</w:t>
            </w:r>
          </w:p>
        </w:tc>
      </w:tr>
      <w:tr w:rsidR="005F774F" w:rsidTr="00B82B1D">
        <w:trPr>
          <w:trHeight w:hRule="exact" w:val="95"/>
          <w:jc w:val="center"/>
        </w:trPr>
        <w:tc>
          <w:tcPr>
            <w:tcW w:w="2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F774F" w:rsidTr="00B82B1D">
        <w:trPr>
          <w:trHeight w:hRule="exact" w:val="142"/>
          <w:jc w:val="center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82B1D" w:rsidTr="00D50107">
        <w:trPr>
          <w:trHeight w:val="238"/>
          <w:jc w:val="center"/>
        </w:trPr>
        <w:tc>
          <w:tcPr>
            <w:tcW w:w="729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B1D" w:rsidRPr="00B82B1D" w:rsidRDefault="00B82B1D" w:rsidP="00B82B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2B1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Residual standard error: 0.009751 on 12 degrees of freedom</w:t>
            </w:r>
          </w:p>
          <w:p w:rsidR="00B82B1D" w:rsidRDefault="00B82B1D" w:rsidP="00B82B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2B1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Multiple R-squared:  0.9994</w:t>
            </w:r>
          </w:p>
          <w:p w:rsidR="00B82B1D" w:rsidRPr="00B82B1D" w:rsidRDefault="00B82B1D" w:rsidP="00B82B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2B1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Adjusted R-squared:  0.9993 </w:t>
            </w:r>
          </w:p>
          <w:p w:rsidR="00B82B1D" w:rsidRDefault="00B82B1D" w:rsidP="00B82B1D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2B1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F-statistic:  6949 on 3 and 12 DF</w:t>
            </w:r>
          </w:p>
          <w:p w:rsidR="00B82B1D" w:rsidRDefault="00B82B1D" w:rsidP="00B82B1D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82B1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p-value: &lt; 2.2e-16</w:t>
            </w:r>
          </w:p>
        </w:tc>
      </w:tr>
      <w:tr w:rsidR="005F774F" w:rsidTr="00B82B1D">
        <w:trPr>
          <w:trHeight w:hRule="exact" w:val="95"/>
          <w:jc w:val="center"/>
        </w:trPr>
        <w:tc>
          <w:tcPr>
            <w:tcW w:w="2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774F" w:rsidRDefault="005F774F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36200" w:rsidRPr="00936200" w:rsidRDefault="00936200" w:rsidP="00936200">
      <w:pPr>
        <w:pStyle w:val="HTML"/>
        <w:shd w:val="clear" w:color="auto" w:fill="FFFFFF"/>
        <w:wordWrap w:val="0"/>
        <w:spacing w:line="225" w:lineRule="atLeast"/>
        <w:rPr>
          <w:rFonts w:ascii="仿宋" w:eastAsia="仿宋" w:hAnsi="仿宋"/>
          <w:sz w:val="21"/>
          <w:szCs w:val="21"/>
        </w:rPr>
      </w:pPr>
      <w:bookmarkStart w:id="9" w:name="_Hlk523383169"/>
      <w:r w:rsidRPr="00D42256">
        <w:rPr>
          <w:rFonts w:ascii="仿宋" w:eastAsia="仿宋" w:hAnsi="仿宋" w:hint="eastAsia"/>
          <w:sz w:val="21"/>
          <w:szCs w:val="21"/>
        </w:rPr>
        <w:t>注</w:t>
      </w:r>
      <w:r>
        <w:rPr>
          <w:rFonts w:ascii="仿宋" w:eastAsia="仿宋" w:hAnsi="仿宋" w:hint="eastAsia"/>
          <w:sz w:val="21"/>
          <w:szCs w:val="21"/>
        </w:rPr>
        <w:t>:</w:t>
      </w:r>
      <w:r w:rsidRPr="00D42256">
        <w:rPr>
          <w:rFonts w:ascii="仿宋" w:eastAsia="仿宋" w:hAnsi="仿宋" w:hint="eastAsia"/>
          <w:sz w:val="21"/>
          <w:szCs w:val="21"/>
        </w:rPr>
        <w:t>显著性</w:t>
      </w:r>
      <w:r w:rsidRPr="00D42256">
        <w:rPr>
          <w:rFonts w:ascii="仿宋" w:eastAsia="仿宋" w:hAnsi="仿宋"/>
          <w:sz w:val="21"/>
          <w:szCs w:val="21"/>
        </w:rPr>
        <w:t>符号：</w:t>
      </w:r>
      <w:r w:rsidRPr="00D42256">
        <w:rPr>
          <w:rStyle w:val="gnkrckgcgsb"/>
          <w:rFonts w:ascii="仿宋" w:eastAsia="仿宋" w:hAnsi="仿宋"/>
          <w:color w:val="000000"/>
          <w:sz w:val="21"/>
          <w:szCs w:val="21"/>
          <w:bdr w:val="none" w:sz="0" w:space="0" w:color="auto" w:frame="1"/>
        </w:rPr>
        <w:t xml:space="preserve">0 ‘***’ 0.001 ‘**’ 0.01 ‘*’ 0.05 ‘.’ 0.1 </w:t>
      </w:r>
      <w:proofErr w:type="gramStart"/>
      <w:r w:rsidRPr="00D42256">
        <w:rPr>
          <w:rStyle w:val="gnkrckgcgsb"/>
          <w:rFonts w:ascii="仿宋" w:eastAsia="仿宋" w:hAnsi="仿宋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 w:rsidRPr="00D42256">
        <w:rPr>
          <w:rStyle w:val="gnkrckgcgsb"/>
          <w:rFonts w:ascii="仿宋" w:eastAsia="仿宋" w:hAnsi="仿宋"/>
          <w:color w:val="000000"/>
          <w:sz w:val="21"/>
          <w:szCs w:val="21"/>
          <w:bdr w:val="none" w:sz="0" w:space="0" w:color="auto" w:frame="1"/>
        </w:rPr>
        <w:t xml:space="preserve"> 1</w:t>
      </w:r>
    </w:p>
    <w:bookmarkEnd w:id="9"/>
    <w:p w:rsidR="005F774F" w:rsidRPr="00B85F98" w:rsidRDefault="005F774F" w:rsidP="00FA57D2">
      <w:pPr>
        <w:spacing w:beforeLines="30" w:before="93" w:afterLines="50" w:after="156"/>
        <w:ind w:firstLineChars="200" w:firstLine="643"/>
        <w:jc w:val="left"/>
        <w:outlineLvl w:val="2"/>
        <w:rPr>
          <w:rFonts w:ascii="仿宋_GB2312" w:eastAsia="仿宋_GB2312"/>
          <w:b/>
          <w:sz w:val="32"/>
          <w:szCs w:val="32"/>
        </w:rPr>
      </w:pPr>
      <w:r w:rsidRPr="00B85F98">
        <w:rPr>
          <w:rFonts w:ascii="仿宋_GB2312" w:eastAsia="仿宋_GB2312" w:hint="eastAsia"/>
          <w:b/>
          <w:sz w:val="32"/>
          <w:szCs w:val="32"/>
        </w:rPr>
        <w:t>5</w:t>
      </w:r>
      <w:r w:rsidR="00091088" w:rsidRPr="00B85F98">
        <w:rPr>
          <w:rFonts w:ascii="仿宋_GB2312" w:eastAsia="仿宋_GB2312" w:hint="eastAsia"/>
          <w:b/>
          <w:sz w:val="32"/>
          <w:szCs w:val="32"/>
        </w:rPr>
        <w:t>.</w:t>
      </w:r>
      <w:r w:rsidRPr="00B85F98">
        <w:rPr>
          <w:rFonts w:ascii="仿宋_GB2312" w:eastAsia="仿宋_GB2312"/>
          <w:b/>
          <w:sz w:val="32"/>
          <w:szCs w:val="32"/>
        </w:rPr>
        <w:t>模型</w:t>
      </w:r>
      <w:r w:rsidRPr="00B85F98">
        <w:rPr>
          <w:rFonts w:ascii="仿宋_GB2312" w:eastAsia="仿宋_GB2312" w:hint="eastAsia"/>
          <w:b/>
          <w:sz w:val="32"/>
          <w:szCs w:val="32"/>
        </w:rPr>
        <w:t>结论</w:t>
      </w:r>
    </w:p>
    <w:p w:rsidR="005F774F" w:rsidRDefault="005F774F" w:rsidP="00A04B9C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1C2262">
        <w:rPr>
          <w:rFonts w:ascii="仿宋_GB2312" w:eastAsia="仿宋_GB2312" w:hint="eastAsia"/>
          <w:b/>
          <w:sz w:val="32"/>
          <w:szCs w:val="32"/>
        </w:rPr>
        <w:t>根据模型估计结果，</w:t>
      </w:r>
      <w:bookmarkStart w:id="10" w:name="OLE_LINK36"/>
      <w:bookmarkStart w:id="11" w:name="OLE_LINK37"/>
      <w:r w:rsidRPr="001C2262">
        <w:rPr>
          <w:rFonts w:ascii="仿宋_GB2312" w:eastAsia="仿宋_GB2312" w:hint="eastAsia"/>
          <w:b/>
          <w:sz w:val="32"/>
          <w:szCs w:val="32"/>
        </w:rPr>
        <w:t>在其他变量不变的条件下，住宅商品房平均销售价格每提高1%，城镇居民人均消费支出就减少0.0</w:t>
      </w:r>
      <w:r w:rsidR="00B82B1D">
        <w:rPr>
          <w:rFonts w:ascii="仿宋_GB2312" w:eastAsia="仿宋_GB2312"/>
          <w:b/>
          <w:sz w:val="32"/>
          <w:szCs w:val="32"/>
        </w:rPr>
        <w:t>9</w:t>
      </w:r>
      <w:r w:rsidRPr="001C2262">
        <w:rPr>
          <w:rFonts w:ascii="仿宋_GB2312" w:eastAsia="仿宋_GB2312" w:hint="eastAsia"/>
          <w:b/>
          <w:sz w:val="32"/>
          <w:szCs w:val="32"/>
        </w:rPr>
        <w:t>%。</w:t>
      </w:r>
      <w:bookmarkEnd w:id="10"/>
      <w:bookmarkEnd w:id="11"/>
      <w:r>
        <w:rPr>
          <w:rFonts w:ascii="仿宋_GB2312" w:eastAsia="仿宋_GB2312" w:hint="eastAsia"/>
          <w:sz w:val="32"/>
          <w:szCs w:val="32"/>
        </w:rPr>
        <w:t>在2001-201</w:t>
      </w:r>
      <w:r w:rsidR="00BC785A">
        <w:rPr>
          <w:rFonts w:ascii="仿宋_GB2312" w:eastAsia="仿宋_GB2312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年间，</w:t>
      </w:r>
      <w:bookmarkStart w:id="12" w:name="OLE_LINK27"/>
      <w:bookmarkStart w:id="13" w:name="OLE_LINK28"/>
      <w:r w:rsidRPr="00EE5CC7">
        <w:rPr>
          <w:rFonts w:ascii="仿宋_GB2312" w:eastAsia="仿宋_GB2312" w:hint="eastAsia"/>
          <w:sz w:val="32"/>
          <w:szCs w:val="32"/>
        </w:rPr>
        <w:t>住宅商品房平均销售价格</w:t>
      </w:r>
      <w:bookmarkEnd w:id="12"/>
      <w:bookmarkEnd w:id="13"/>
      <w:r>
        <w:rPr>
          <w:rFonts w:ascii="仿宋_GB2312" w:eastAsia="仿宋_GB2312" w:hint="eastAsia"/>
          <w:sz w:val="32"/>
          <w:szCs w:val="32"/>
        </w:rPr>
        <w:t>同比涨幅有5年高于10%，2009年涨幅最高，达24.7%。</w:t>
      </w:r>
      <w:bookmarkStart w:id="14" w:name="OLE_LINK29"/>
      <w:bookmarkStart w:id="15" w:name="OLE_LINK30"/>
      <w:bookmarkStart w:id="16" w:name="OLE_LINK34"/>
      <w:bookmarkStart w:id="17" w:name="OLE_LINK35"/>
      <w:r w:rsidR="00A04B9C">
        <w:rPr>
          <w:rFonts w:ascii="仿宋_GB2312" w:eastAsia="仿宋_GB2312" w:hint="eastAsia"/>
          <w:sz w:val="32"/>
          <w:szCs w:val="32"/>
        </w:rPr>
        <w:t>201</w:t>
      </w:r>
      <w:r w:rsidR="00BC785A">
        <w:rPr>
          <w:rFonts w:ascii="仿宋_GB2312" w:eastAsia="仿宋_GB2312"/>
          <w:sz w:val="32"/>
          <w:szCs w:val="32"/>
        </w:rPr>
        <w:t>7</w:t>
      </w:r>
      <w:r w:rsidR="00A04B9C">
        <w:rPr>
          <w:rFonts w:ascii="仿宋_GB2312" w:eastAsia="仿宋_GB2312" w:hint="eastAsia"/>
          <w:sz w:val="32"/>
          <w:szCs w:val="32"/>
        </w:rPr>
        <w:t>年</w:t>
      </w:r>
      <w:r w:rsidR="00A04B9C" w:rsidRPr="00A04B9C">
        <w:rPr>
          <w:rFonts w:ascii="仿宋_GB2312" w:eastAsia="仿宋_GB2312" w:hint="eastAsia"/>
          <w:sz w:val="32"/>
          <w:szCs w:val="32"/>
        </w:rPr>
        <w:t>住宅商品房平均销售价格</w:t>
      </w:r>
      <w:r w:rsidR="00A04B9C">
        <w:rPr>
          <w:rFonts w:ascii="仿宋_GB2312" w:eastAsia="仿宋_GB2312" w:hint="eastAsia"/>
          <w:sz w:val="32"/>
          <w:szCs w:val="32"/>
        </w:rPr>
        <w:t>涨幅为1</w:t>
      </w:r>
      <w:r w:rsidR="00BC785A">
        <w:rPr>
          <w:rFonts w:ascii="仿宋_GB2312" w:eastAsia="仿宋_GB2312"/>
          <w:sz w:val="32"/>
          <w:szCs w:val="32"/>
        </w:rPr>
        <w:t>.83</w:t>
      </w:r>
      <w:r w:rsidR="00A04B9C">
        <w:rPr>
          <w:rFonts w:ascii="仿宋_GB2312" w:eastAsia="仿宋_GB2312" w:hint="eastAsia"/>
          <w:sz w:val="32"/>
          <w:szCs w:val="32"/>
        </w:rPr>
        <w:t>%，简单计算，导致</w:t>
      </w:r>
      <w:r w:rsidR="00A04B9C" w:rsidRPr="00A04B9C">
        <w:rPr>
          <w:rFonts w:ascii="仿宋_GB2312" w:eastAsia="仿宋_GB2312" w:hint="eastAsia"/>
          <w:sz w:val="32"/>
          <w:szCs w:val="32"/>
        </w:rPr>
        <w:t>城镇居民人均消费支出</w:t>
      </w:r>
      <w:r w:rsidR="00A04B9C">
        <w:rPr>
          <w:rFonts w:ascii="仿宋_GB2312" w:eastAsia="仿宋_GB2312" w:hint="eastAsia"/>
          <w:sz w:val="32"/>
          <w:szCs w:val="32"/>
        </w:rPr>
        <w:t>增速降低0.</w:t>
      </w:r>
      <w:r w:rsidR="00B82B1D">
        <w:rPr>
          <w:rFonts w:ascii="仿宋_GB2312" w:eastAsia="仿宋_GB2312"/>
          <w:sz w:val="32"/>
          <w:szCs w:val="32"/>
        </w:rPr>
        <w:t>16</w:t>
      </w:r>
      <w:r w:rsidR="00A04B9C">
        <w:rPr>
          <w:rFonts w:ascii="仿宋_GB2312" w:eastAsia="仿宋_GB2312" w:hint="eastAsia"/>
          <w:sz w:val="32"/>
          <w:szCs w:val="32"/>
        </w:rPr>
        <w:t>个百分点。</w:t>
      </w:r>
      <w:bookmarkEnd w:id="14"/>
      <w:bookmarkEnd w:id="15"/>
      <w:r>
        <w:rPr>
          <w:rFonts w:ascii="仿宋_GB2312" w:eastAsia="仿宋_GB2312" w:hint="eastAsia"/>
          <w:sz w:val="32"/>
          <w:szCs w:val="32"/>
        </w:rPr>
        <w:t>住宅价格上</w:t>
      </w:r>
      <w:r>
        <w:rPr>
          <w:rFonts w:ascii="仿宋_GB2312" w:eastAsia="仿宋_GB2312" w:hint="eastAsia"/>
          <w:sz w:val="32"/>
          <w:szCs w:val="32"/>
        </w:rPr>
        <w:lastRenderedPageBreak/>
        <w:t>涨对居民消费的挤出效应</w:t>
      </w:r>
      <w:bookmarkEnd w:id="16"/>
      <w:bookmarkEnd w:id="17"/>
      <w:proofErr w:type="gramStart"/>
      <w:r>
        <w:rPr>
          <w:rFonts w:ascii="仿宋_GB2312" w:eastAsia="仿宋_GB2312" w:hint="eastAsia"/>
          <w:sz w:val="32"/>
          <w:szCs w:val="32"/>
        </w:rPr>
        <w:t>应</w:t>
      </w:r>
      <w:proofErr w:type="gramEnd"/>
      <w:r>
        <w:rPr>
          <w:rFonts w:ascii="仿宋_GB2312" w:eastAsia="仿宋_GB2312" w:hint="eastAsia"/>
          <w:sz w:val="32"/>
          <w:szCs w:val="32"/>
        </w:rPr>
        <w:t>引起重视。</w:t>
      </w:r>
    </w:p>
    <w:p w:rsidR="008D4422" w:rsidRDefault="008D4422" w:rsidP="008D4422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同时，模型估计的结果为房价上涨财富效应和挤出效应的总和，</w:t>
      </w:r>
      <w:r w:rsidR="00FA7F25">
        <w:rPr>
          <w:rFonts w:ascii="仿宋_GB2312" w:eastAsia="仿宋_GB2312" w:hint="eastAsia"/>
          <w:sz w:val="32"/>
          <w:szCs w:val="32"/>
        </w:rPr>
        <w:t>是扣除财富效应之后的挤出效应，</w:t>
      </w:r>
      <w:r>
        <w:rPr>
          <w:rFonts w:ascii="仿宋_GB2312" w:eastAsia="仿宋_GB2312" w:hint="eastAsia"/>
          <w:sz w:val="32"/>
          <w:szCs w:val="32"/>
        </w:rPr>
        <w:t>可见挤出效应强于财富效应，房价上涨总体上抑制消费。</w:t>
      </w:r>
    </w:p>
    <w:p w:rsidR="009A6A5D" w:rsidRDefault="005F774F" w:rsidP="0000520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此外，模型估计结果表明，</w:t>
      </w:r>
      <w:bookmarkStart w:id="18" w:name="OLE_LINK55"/>
      <w:r>
        <w:rPr>
          <w:rFonts w:ascii="仿宋_GB2312" w:eastAsia="仿宋_GB2312" w:hint="eastAsia"/>
          <w:sz w:val="32"/>
          <w:szCs w:val="32"/>
        </w:rPr>
        <w:t>其它变量不变条件下，</w:t>
      </w:r>
      <w:r w:rsidRPr="001C2262">
        <w:rPr>
          <w:rFonts w:ascii="仿宋_GB2312" w:eastAsia="仿宋_GB2312" w:hint="eastAsia"/>
          <w:b/>
          <w:sz w:val="32"/>
          <w:szCs w:val="32"/>
        </w:rPr>
        <w:t>城镇居民人均可支配收入增长1个百分点，会带动城镇居民人均消费支出增长0.7个百分点。</w:t>
      </w:r>
      <w:r>
        <w:rPr>
          <w:rFonts w:ascii="仿宋_GB2312" w:eastAsia="仿宋_GB2312" w:hint="eastAsia"/>
          <w:sz w:val="32"/>
          <w:szCs w:val="32"/>
        </w:rPr>
        <w:t>可见，收入水平是影响居民消费的最主要因素，扩大消费的关键在于提升居民收入水平</w:t>
      </w:r>
      <w:r w:rsidR="009A6A5D">
        <w:rPr>
          <w:rFonts w:ascii="仿宋_GB2312" w:eastAsia="仿宋_GB2312" w:hint="eastAsia"/>
          <w:sz w:val="32"/>
          <w:szCs w:val="32"/>
        </w:rPr>
        <w:t>。</w:t>
      </w:r>
    </w:p>
    <w:bookmarkEnd w:id="18"/>
    <w:p w:rsidR="00303078" w:rsidRPr="00E2170D" w:rsidRDefault="00303078" w:rsidP="00147DCE">
      <w:pPr>
        <w:spacing w:beforeLines="50" w:before="156" w:afterLines="30" w:after="93" w:line="360" w:lineRule="auto"/>
        <w:ind w:firstLineChars="200" w:firstLine="643"/>
        <w:outlineLvl w:val="1"/>
        <w:rPr>
          <w:rFonts w:ascii="楷体" w:eastAsia="楷体" w:hAnsi="楷体"/>
          <w:b/>
          <w:sz w:val="32"/>
          <w:szCs w:val="32"/>
        </w:rPr>
      </w:pPr>
      <w:r w:rsidRPr="00E2170D">
        <w:rPr>
          <w:rFonts w:ascii="楷体" w:eastAsia="楷体" w:hAnsi="楷体" w:hint="eastAsia"/>
          <w:b/>
          <w:sz w:val="32"/>
          <w:szCs w:val="32"/>
        </w:rPr>
        <w:t>（</w:t>
      </w:r>
      <w:r w:rsidR="00AB67D5">
        <w:rPr>
          <w:rFonts w:ascii="楷体" w:eastAsia="楷体" w:hAnsi="楷体" w:hint="eastAsia"/>
          <w:b/>
          <w:sz w:val="32"/>
          <w:szCs w:val="32"/>
        </w:rPr>
        <w:t>二</w:t>
      </w:r>
      <w:r w:rsidRPr="00E2170D">
        <w:rPr>
          <w:rFonts w:ascii="楷体" w:eastAsia="楷体" w:hAnsi="楷体" w:hint="eastAsia"/>
          <w:b/>
          <w:sz w:val="32"/>
          <w:szCs w:val="32"/>
        </w:rPr>
        <w:t>）</w:t>
      </w:r>
      <w:r w:rsidRPr="00E2170D">
        <w:rPr>
          <w:rFonts w:ascii="楷体" w:eastAsia="楷体" w:hAnsi="楷体"/>
          <w:b/>
          <w:sz w:val="32"/>
          <w:szCs w:val="32"/>
        </w:rPr>
        <w:t>对</w:t>
      </w:r>
      <w:r w:rsidR="00C163F6">
        <w:rPr>
          <w:rFonts w:ascii="楷体" w:eastAsia="楷体" w:hAnsi="楷体" w:hint="eastAsia"/>
          <w:b/>
          <w:sz w:val="32"/>
          <w:szCs w:val="32"/>
        </w:rPr>
        <w:t>社会消费品零售总额</w:t>
      </w:r>
      <w:r w:rsidR="001C2262">
        <w:rPr>
          <w:rFonts w:ascii="楷体" w:eastAsia="楷体" w:hAnsi="楷体"/>
          <w:b/>
          <w:sz w:val="32"/>
          <w:szCs w:val="32"/>
        </w:rPr>
        <w:t>的</w:t>
      </w:r>
      <w:r w:rsidRPr="00E2170D">
        <w:rPr>
          <w:rFonts w:ascii="楷体" w:eastAsia="楷体" w:hAnsi="楷体"/>
          <w:b/>
          <w:sz w:val="32"/>
          <w:szCs w:val="32"/>
        </w:rPr>
        <w:t>影响</w:t>
      </w:r>
    </w:p>
    <w:p w:rsidR="00303078" w:rsidRPr="00B85F98" w:rsidRDefault="00303078" w:rsidP="00FA57D2">
      <w:pPr>
        <w:spacing w:beforeLines="30" w:before="93" w:afterLines="50" w:after="156"/>
        <w:ind w:firstLineChars="200" w:firstLine="643"/>
        <w:jc w:val="left"/>
        <w:outlineLvl w:val="2"/>
        <w:rPr>
          <w:rFonts w:ascii="仿宋_GB2312" w:eastAsia="仿宋_GB2312"/>
          <w:b/>
          <w:sz w:val="32"/>
          <w:szCs w:val="32"/>
        </w:rPr>
      </w:pPr>
      <w:r w:rsidRPr="00B85F98">
        <w:rPr>
          <w:rFonts w:ascii="仿宋_GB2312" w:eastAsia="仿宋_GB2312" w:hint="eastAsia"/>
          <w:b/>
          <w:sz w:val="32"/>
          <w:szCs w:val="32"/>
        </w:rPr>
        <w:t>1</w:t>
      </w:r>
      <w:r w:rsidR="00D63563" w:rsidRPr="00B85F98">
        <w:rPr>
          <w:rFonts w:ascii="仿宋_GB2312" w:eastAsia="仿宋_GB2312" w:hint="eastAsia"/>
          <w:b/>
          <w:sz w:val="32"/>
          <w:szCs w:val="32"/>
        </w:rPr>
        <w:t>.</w:t>
      </w:r>
      <w:r w:rsidRPr="00B85F98">
        <w:rPr>
          <w:rFonts w:ascii="仿宋_GB2312" w:eastAsia="仿宋_GB2312"/>
          <w:b/>
          <w:sz w:val="32"/>
          <w:szCs w:val="32"/>
        </w:rPr>
        <w:t>变量选择</w:t>
      </w:r>
    </w:p>
    <w:p w:rsidR="00303078" w:rsidRDefault="00303078" w:rsidP="00303078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303078">
        <w:rPr>
          <w:rFonts w:ascii="仿宋_GB2312" w:eastAsia="仿宋_GB2312" w:hint="eastAsia"/>
          <w:b/>
          <w:sz w:val="32"/>
          <w:szCs w:val="32"/>
        </w:rPr>
        <w:t>因变量</w:t>
      </w:r>
      <w:r w:rsidRPr="00303078">
        <w:rPr>
          <w:rFonts w:ascii="仿宋_GB2312" w:eastAsia="仿宋_GB2312"/>
          <w:b/>
          <w:sz w:val="32"/>
          <w:szCs w:val="32"/>
        </w:rPr>
        <w:t>方面，</w:t>
      </w:r>
      <w:r>
        <w:rPr>
          <w:rFonts w:ascii="仿宋_GB2312" w:eastAsia="仿宋_GB2312" w:hint="eastAsia"/>
          <w:sz w:val="32"/>
          <w:szCs w:val="32"/>
        </w:rPr>
        <w:t>以</w:t>
      </w:r>
      <w:r w:rsidRPr="001C2262">
        <w:rPr>
          <w:rFonts w:ascii="仿宋_GB2312" w:eastAsia="仿宋_GB2312" w:hint="eastAsia"/>
          <w:b/>
          <w:sz w:val="32"/>
          <w:szCs w:val="32"/>
        </w:rPr>
        <w:t>社会消费品零售总额</w:t>
      </w:r>
      <w:r w:rsidR="004D75E4">
        <w:rPr>
          <w:rFonts w:ascii="仿宋_GB2312" w:eastAsia="仿宋_GB2312"/>
          <w:sz w:val="32"/>
          <w:szCs w:val="32"/>
        </w:rPr>
        <w:t>(</w:t>
      </w:r>
      <w:proofErr w:type="spellStart"/>
      <w:r w:rsidR="004D75E4" w:rsidRPr="00B478E6">
        <w:rPr>
          <w:rFonts w:ascii="仿宋_GB2312" w:eastAsia="仿宋_GB2312"/>
          <w:sz w:val="32"/>
          <w:szCs w:val="32"/>
        </w:rPr>
        <w:t>Goods</w:t>
      </w:r>
      <w:r w:rsidR="004D75E4">
        <w:rPr>
          <w:rFonts w:ascii="仿宋_GB2312" w:eastAsia="仿宋_GB2312"/>
          <w:sz w:val="32"/>
          <w:szCs w:val="32"/>
        </w:rPr>
        <w:t>RetSale</w:t>
      </w:r>
      <w:proofErr w:type="spellEnd"/>
      <w:r w:rsidR="004D75E4">
        <w:rPr>
          <w:rFonts w:ascii="仿宋_GB2312" w:eastAsia="仿宋_GB2312"/>
          <w:sz w:val="32"/>
          <w:szCs w:val="32"/>
        </w:rPr>
        <w:t>)</w:t>
      </w:r>
      <w:r>
        <w:rPr>
          <w:rFonts w:ascii="仿宋_GB2312" w:eastAsia="仿宋_GB2312" w:hint="eastAsia"/>
          <w:sz w:val="32"/>
          <w:szCs w:val="32"/>
        </w:rPr>
        <w:t>为因变量</w:t>
      </w:r>
      <w:r w:rsidR="00C46AF7">
        <w:rPr>
          <w:rFonts w:ascii="仿宋_GB2312" w:eastAsia="仿宋_GB2312" w:hint="eastAsia"/>
          <w:sz w:val="32"/>
          <w:szCs w:val="32"/>
        </w:rPr>
        <w:t>，从而反映房价上涨对商品消费的总体影响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303078" w:rsidRDefault="00303078" w:rsidP="00303078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303078">
        <w:rPr>
          <w:rFonts w:ascii="仿宋_GB2312" w:eastAsia="仿宋_GB2312" w:hint="eastAsia"/>
          <w:b/>
          <w:sz w:val="32"/>
          <w:szCs w:val="32"/>
        </w:rPr>
        <w:t>自变量</w:t>
      </w:r>
      <w:r w:rsidRPr="00303078">
        <w:rPr>
          <w:rFonts w:ascii="仿宋_GB2312" w:eastAsia="仿宋_GB2312"/>
          <w:b/>
          <w:sz w:val="32"/>
          <w:szCs w:val="32"/>
        </w:rPr>
        <w:t>方面，</w:t>
      </w:r>
      <w:r>
        <w:rPr>
          <w:rFonts w:ascii="仿宋_GB2312" w:eastAsia="仿宋_GB2312" w:hint="eastAsia"/>
          <w:sz w:val="32"/>
          <w:szCs w:val="32"/>
        </w:rPr>
        <w:t>以国家统计局公布的城镇居民人均可支配收入、农村居民人均可支配收入（2013年之前为农村居民人均现金收入）为基础，以城镇化率（城镇人口占总人口的比重）为权重，加权平均计算得出</w:t>
      </w:r>
      <w:r w:rsidRPr="001C2262">
        <w:rPr>
          <w:rFonts w:ascii="仿宋_GB2312" w:eastAsia="仿宋_GB2312" w:hint="eastAsia"/>
          <w:b/>
          <w:sz w:val="32"/>
          <w:szCs w:val="32"/>
        </w:rPr>
        <w:t>全国居民收入水平</w:t>
      </w:r>
      <w:r w:rsidR="004D75E4">
        <w:rPr>
          <w:rFonts w:ascii="仿宋_GB2312" w:eastAsia="仿宋_GB2312" w:hint="eastAsia"/>
          <w:sz w:val="32"/>
          <w:szCs w:val="32"/>
        </w:rPr>
        <w:t>(Income</w:t>
      </w:r>
      <w:r w:rsidR="004D75E4">
        <w:rPr>
          <w:rFonts w:ascii="仿宋_GB2312" w:eastAsia="仿宋_GB2312"/>
          <w:sz w:val="32"/>
          <w:szCs w:val="32"/>
        </w:rPr>
        <w:t>)</w:t>
      </w:r>
      <w:r>
        <w:rPr>
          <w:rFonts w:ascii="仿宋_GB2312" w:eastAsia="仿宋_GB2312" w:hint="eastAsia"/>
          <w:sz w:val="32"/>
          <w:szCs w:val="32"/>
        </w:rPr>
        <w:t>为自变量。</w:t>
      </w:r>
      <w:r w:rsidRPr="00D961AB">
        <w:rPr>
          <w:rFonts w:ascii="仿宋_GB2312" w:eastAsia="仿宋_GB2312" w:hint="eastAsia"/>
          <w:sz w:val="32"/>
          <w:szCs w:val="32"/>
        </w:rPr>
        <w:t>2013年进行了统计口径调整，该年数据取前后两年数据的算术平均值。</w:t>
      </w:r>
      <w:r w:rsidR="001C2262" w:rsidRPr="00D961AB">
        <w:rPr>
          <w:rFonts w:ascii="仿宋_GB2312" w:eastAsia="仿宋_GB2312" w:hint="eastAsia"/>
          <w:sz w:val="32"/>
          <w:szCs w:val="32"/>
        </w:rPr>
        <w:t>同时</w:t>
      </w:r>
      <w:r w:rsidR="001C2262" w:rsidRPr="00D961AB">
        <w:rPr>
          <w:rFonts w:ascii="仿宋_GB2312" w:eastAsia="仿宋_GB2312"/>
          <w:sz w:val="32"/>
          <w:szCs w:val="32"/>
        </w:rPr>
        <w:t>，以</w:t>
      </w:r>
      <w:r w:rsidR="001C2262" w:rsidRPr="00D961AB">
        <w:rPr>
          <w:rFonts w:ascii="仿宋_GB2312" w:eastAsia="仿宋_GB2312" w:hint="eastAsia"/>
          <w:b/>
          <w:sz w:val="32"/>
          <w:szCs w:val="32"/>
        </w:rPr>
        <w:t>住宅商品房平均销售价格</w:t>
      </w:r>
      <w:r w:rsidR="004D75E4">
        <w:rPr>
          <w:rFonts w:ascii="仿宋_GB2312" w:eastAsia="仿宋_GB2312" w:hint="eastAsia"/>
          <w:sz w:val="32"/>
          <w:szCs w:val="32"/>
        </w:rPr>
        <w:t>(</w:t>
      </w:r>
      <w:proofErr w:type="spellStart"/>
      <w:r w:rsidR="004D75E4">
        <w:rPr>
          <w:rFonts w:ascii="仿宋_GB2312" w:eastAsia="仿宋_GB2312"/>
          <w:sz w:val="32"/>
          <w:szCs w:val="32"/>
        </w:rPr>
        <w:t>HousePrice</w:t>
      </w:r>
      <w:proofErr w:type="spellEnd"/>
      <w:r w:rsidR="004D75E4">
        <w:rPr>
          <w:rFonts w:ascii="仿宋_GB2312" w:eastAsia="仿宋_GB2312"/>
          <w:sz w:val="32"/>
          <w:szCs w:val="32"/>
        </w:rPr>
        <w:t>)</w:t>
      </w:r>
      <w:r w:rsidR="001C2262" w:rsidRPr="00D961AB">
        <w:rPr>
          <w:rFonts w:ascii="仿宋_GB2312" w:eastAsia="仿宋_GB2312" w:hint="eastAsia"/>
          <w:b/>
          <w:sz w:val="32"/>
          <w:szCs w:val="32"/>
        </w:rPr>
        <w:t>为</w:t>
      </w:r>
      <w:r w:rsidR="001C2262" w:rsidRPr="00D961AB">
        <w:rPr>
          <w:rFonts w:ascii="仿宋_GB2312" w:eastAsia="仿宋_GB2312"/>
          <w:b/>
          <w:sz w:val="32"/>
          <w:szCs w:val="32"/>
        </w:rPr>
        <w:t>自变量。</w:t>
      </w:r>
    </w:p>
    <w:p w:rsidR="00303078" w:rsidRPr="00B85F98" w:rsidRDefault="00303078" w:rsidP="00FA57D2">
      <w:pPr>
        <w:spacing w:beforeLines="30" w:before="93" w:afterLines="50" w:after="156"/>
        <w:ind w:firstLineChars="200" w:firstLine="643"/>
        <w:jc w:val="left"/>
        <w:outlineLvl w:val="2"/>
        <w:rPr>
          <w:rFonts w:ascii="仿宋_GB2312" w:eastAsia="仿宋_GB2312"/>
          <w:b/>
          <w:sz w:val="32"/>
          <w:szCs w:val="32"/>
        </w:rPr>
      </w:pPr>
      <w:r w:rsidRPr="00B85F98">
        <w:rPr>
          <w:rFonts w:ascii="仿宋_GB2312" w:eastAsia="仿宋_GB2312" w:hint="eastAsia"/>
          <w:b/>
          <w:sz w:val="32"/>
          <w:szCs w:val="32"/>
        </w:rPr>
        <w:t>2</w:t>
      </w:r>
      <w:r w:rsidR="00D63563" w:rsidRPr="00B85F98">
        <w:rPr>
          <w:rFonts w:ascii="仿宋_GB2312" w:eastAsia="仿宋_GB2312" w:hint="eastAsia"/>
          <w:b/>
          <w:sz w:val="32"/>
          <w:szCs w:val="32"/>
        </w:rPr>
        <w:t>.</w:t>
      </w:r>
      <w:r w:rsidRPr="00B85F98">
        <w:rPr>
          <w:rFonts w:ascii="仿宋_GB2312" w:eastAsia="仿宋_GB2312"/>
          <w:b/>
          <w:sz w:val="32"/>
          <w:szCs w:val="32"/>
        </w:rPr>
        <w:t>数据预处理</w:t>
      </w:r>
    </w:p>
    <w:p w:rsidR="00303078" w:rsidRPr="00303078" w:rsidRDefault="00303078" w:rsidP="0030307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社会消费品零售总额、全国居民收入水平、</w:t>
      </w:r>
      <w:bookmarkStart w:id="19" w:name="OLE_LINK8"/>
      <w:bookmarkStart w:id="20" w:name="OLE_LINK9"/>
      <w:r w:rsidRPr="00AF6010">
        <w:rPr>
          <w:rFonts w:ascii="仿宋_GB2312" w:eastAsia="仿宋_GB2312" w:hint="eastAsia"/>
          <w:sz w:val="32"/>
          <w:szCs w:val="32"/>
        </w:rPr>
        <w:t>住宅商品房</w:t>
      </w:r>
      <w:r w:rsidRPr="00AF6010">
        <w:rPr>
          <w:rFonts w:ascii="仿宋_GB2312" w:eastAsia="仿宋_GB2312" w:hint="eastAsia"/>
          <w:sz w:val="32"/>
          <w:szCs w:val="32"/>
        </w:rPr>
        <w:lastRenderedPageBreak/>
        <w:t>平均销售价格</w:t>
      </w:r>
      <w:bookmarkEnd w:id="19"/>
      <w:bookmarkEnd w:id="20"/>
      <w:r>
        <w:rPr>
          <w:rFonts w:ascii="仿宋_GB2312" w:eastAsia="仿宋_GB2312" w:hint="eastAsia"/>
          <w:sz w:val="32"/>
          <w:szCs w:val="32"/>
        </w:rPr>
        <w:t>三个变量均进行自然对数处理。</w:t>
      </w:r>
    </w:p>
    <w:p w:rsidR="00303078" w:rsidRPr="00B85F98" w:rsidRDefault="00303078" w:rsidP="00FA57D2">
      <w:pPr>
        <w:spacing w:beforeLines="30" w:before="93" w:afterLines="50" w:after="156"/>
        <w:ind w:firstLineChars="200" w:firstLine="643"/>
        <w:jc w:val="left"/>
        <w:outlineLvl w:val="2"/>
        <w:rPr>
          <w:rFonts w:ascii="仿宋_GB2312" w:eastAsia="仿宋_GB2312"/>
          <w:b/>
          <w:sz w:val="32"/>
          <w:szCs w:val="32"/>
        </w:rPr>
      </w:pPr>
      <w:r w:rsidRPr="00B85F98">
        <w:rPr>
          <w:rFonts w:ascii="仿宋_GB2312" w:eastAsia="仿宋_GB2312"/>
          <w:b/>
          <w:sz w:val="32"/>
          <w:szCs w:val="32"/>
        </w:rPr>
        <w:t>3</w:t>
      </w:r>
      <w:r w:rsidR="00D63563" w:rsidRPr="00B85F98">
        <w:rPr>
          <w:rFonts w:ascii="仿宋_GB2312" w:eastAsia="仿宋_GB2312" w:hint="eastAsia"/>
          <w:b/>
          <w:sz w:val="32"/>
          <w:szCs w:val="32"/>
        </w:rPr>
        <w:t>.</w:t>
      </w:r>
      <w:r w:rsidRPr="00B85F98">
        <w:rPr>
          <w:rFonts w:ascii="仿宋_GB2312" w:eastAsia="仿宋_GB2312"/>
          <w:b/>
          <w:sz w:val="32"/>
          <w:szCs w:val="32"/>
        </w:rPr>
        <w:t>模型建立</w:t>
      </w:r>
    </w:p>
    <w:p w:rsidR="00303078" w:rsidRDefault="00B478E6" w:rsidP="0030307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考虑到直接以对数处理后的变量建立的回归模型</w:t>
      </w:r>
      <w:r w:rsidR="00303078">
        <w:rPr>
          <w:rFonts w:ascii="仿宋_GB2312" w:eastAsia="仿宋_GB2312" w:hint="eastAsia"/>
          <w:sz w:val="32"/>
          <w:szCs w:val="32"/>
        </w:rPr>
        <w:t>，残差</w:t>
      </w:r>
      <w:proofErr w:type="gramStart"/>
      <w:r w:rsidR="00303078">
        <w:rPr>
          <w:rFonts w:ascii="仿宋_GB2312" w:eastAsia="仿宋_GB2312" w:hint="eastAsia"/>
          <w:sz w:val="32"/>
          <w:szCs w:val="32"/>
        </w:rPr>
        <w:t>项存在</w:t>
      </w:r>
      <w:proofErr w:type="gramEnd"/>
      <w:r w:rsidR="00303078">
        <w:rPr>
          <w:rFonts w:ascii="仿宋_GB2312" w:eastAsia="仿宋_GB2312" w:hint="eastAsia"/>
          <w:sz w:val="32"/>
          <w:szCs w:val="32"/>
        </w:rPr>
        <w:t>严重自相关问题</w:t>
      </w:r>
      <w:r>
        <w:rPr>
          <w:rFonts w:ascii="仿宋_GB2312" w:eastAsia="仿宋_GB2312" w:hint="eastAsia"/>
          <w:sz w:val="32"/>
          <w:szCs w:val="32"/>
        </w:rPr>
        <w:t>，因此需要</w:t>
      </w:r>
      <w:r w:rsidRPr="00303078">
        <w:rPr>
          <w:rFonts w:ascii="仿宋_GB2312" w:eastAsia="仿宋_GB2312" w:hint="eastAsia"/>
          <w:sz w:val="32"/>
          <w:szCs w:val="32"/>
        </w:rPr>
        <w:t>建立含有滞后项的回归模型</w:t>
      </w:r>
      <w:r>
        <w:rPr>
          <w:rFonts w:ascii="仿宋_GB2312" w:eastAsia="仿宋_GB2312" w:hint="eastAsia"/>
          <w:sz w:val="32"/>
          <w:szCs w:val="32"/>
        </w:rPr>
        <w:t>。</w:t>
      </w:r>
      <w:proofErr w:type="gramStart"/>
      <w:r>
        <w:rPr>
          <w:rFonts w:ascii="仿宋_GB2312" w:eastAsia="仿宋_GB2312" w:hint="eastAsia"/>
          <w:sz w:val="32"/>
          <w:szCs w:val="32"/>
        </w:rPr>
        <w:t>由于</w:t>
      </w:r>
      <w:r w:rsidR="00303078">
        <w:rPr>
          <w:rFonts w:ascii="仿宋_GB2312" w:eastAsia="仿宋_GB2312" w:hint="eastAsia"/>
          <w:sz w:val="32"/>
          <w:szCs w:val="32"/>
        </w:rPr>
        <w:t>社消增速比</w:t>
      </w:r>
      <w:proofErr w:type="gramEnd"/>
      <w:r w:rsidR="00303078">
        <w:rPr>
          <w:rFonts w:ascii="仿宋_GB2312" w:eastAsia="仿宋_GB2312" w:hint="eastAsia"/>
          <w:sz w:val="32"/>
          <w:szCs w:val="32"/>
        </w:rPr>
        <w:t>较稳定，当期社消受</w:t>
      </w:r>
      <w:proofErr w:type="gramStart"/>
      <w:r w:rsidR="00303078">
        <w:rPr>
          <w:rFonts w:ascii="仿宋_GB2312" w:eastAsia="仿宋_GB2312" w:hint="eastAsia"/>
          <w:sz w:val="32"/>
          <w:szCs w:val="32"/>
        </w:rPr>
        <w:t>往期数</w:t>
      </w:r>
      <w:proofErr w:type="gramEnd"/>
      <w:r w:rsidR="00303078">
        <w:rPr>
          <w:rFonts w:ascii="仿宋_GB2312" w:eastAsia="仿宋_GB2312" w:hint="eastAsia"/>
          <w:sz w:val="32"/>
          <w:szCs w:val="32"/>
        </w:rPr>
        <w:t>据影响较大，尝试在自变量中加入滞后一期、滞后二期</w:t>
      </w:r>
      <w:proofErr w:type="gramStart"/>
      <w:r w:rsidR="00303078">
        <w:rPr>
          <w:rFonts w:ascii="仿宋_GB2312" w:eastAsia="仿宋_GB2312" w:hint="eastAsia"/>
          <w:sz w:val="32"/>
          <w:szCs w:val="32"/>
        </w:rPr>
        <w:t>的社消序</w:t>
      </w:r>
      <w:proofErr w:type="gramEnd"/>
      <w:r w:rsidR="00303078">
        <w:rPr>
          <w:rFonts w:ascii="仿宋_GB2312" w:eastAsia="仿宋_GB2312" w:hint="eastAsia"/>
          <w:sz w:val="32"/>
          <w:szCs w:val="32"/>
        </w:rPr>
        <w:t>列，自相关问题基本消除。</w:t>
      </w:r>
      <w:r w:rsidR="00F558D6" w:rsidRPr="00F558D6">
        <w:rPr>
          <w:rFonts w:ascii="仿宋_GB2312" w:eastAsia="仿宋_GB2312" w:hint="eastAsia"/>
          <w:sz w:val="32"/>
          <w:szCs w:val="32"/>
        </w:rPr>
        <w:t>由于缺失2000年之前的住宅商品房平均销售价格</w:t>
      </w:r>
      <w:r w:rsidR="00F558D6">
        <w:rPr>
          <w:rFonts w:ascii="仿宋_GB2312" w:eastAsia="仿宋_GB2312" w:hint="eastAsia"/>
          <w:sz w:val="32"/>
          <w:szCs w:val="32"/>
        </w:rPr>
        <w:t>，因此回归模型样本期间为2000-201</w:t>
      </w:r>
      <w:r w:rsidR="00F558D6">
        <w:rPr>
          <w:rFonts w:ascii="仿宋_GB2312" w:eastAsia="仿宋_GB2312"/>
          <w:sz w:val="32"/>
          <w:szCs w:val="32"/>
        </w:rPr>
        <w:t>7</w:t>
      </w:r>
      <w:r w:rsidR="00F558D6">
        <w:rPr>
          <w:rFonts w:ascii="仿宋_GB2312" w:eastAsia="仿宋_GB2312" w:hint="eastAsia"/>
          <w:sz w:val="32"/>
          <w:szCs w:val="32"/>
        </w:rPr>
        <w:t>年，</w:t>
      </w:r>
      <w:r w:rsidR="003539EF" w:rsidRPr="003539EF">
        <w:rPr>
          <w:rFonts w:ascii="仿宋_GB2312" w:eastAsia="仿宋_GB2312" w:hint="eastAsia"/>
          <w:sz w:val="32"/>
          <w:szCs w:val="32"/>
        </w:rPr>
        <w:t>模型形式如下</w:t>
      </w:r>
      <w:r w:rsidR="003539EF">
        <w:rPr>
          <w:rFonts w:ascii="仿宋_GB2312" w:eastAsia="仿宋_GB2312" w:hint="eastAsia"/>
          <w:sz w:val="32"/>
          <w:szCs w:val="32"/>
        </w:rPr>
        <w:t>:</w:t>
      </w:r>
    </w:p>
    <w:p w:rsidR="003539EF" w:rsidRPr="004D75E4" w:rsidRDefault="00A6066E" w:rsidP="004D75E4">
      <w:pPr>
        <w:rPr>
          <w:rFonts w:ascii="仿宋_GB2312" w:eastAsia="仿宋_GB2312"/>
          <w:sz w:val="28"/>
          <w:szCs w:val="28"/>
        </w:rPr>
      </w:pPr>
      <m:oMath>
        <m:sSub>
          <m:sSubPr>
            <m:ctrlPr>
              <w:rPr>
                <w:rFonts w:ascii="Cambria Math" w:eastAsia="仿宋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log⁡(GoodsRetSale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="仿宋_GB2312" w:hAnsi="Cambria Math"/>
            <w:sz w:val="28"/>
            <w:szCs w:val="28"/>
          </w:rPr>
          <m:t>)=c+</m:t>
        </m:r>
        <m:sSub>
          <m:sSubPr>
            <m:ctrlPr>
              <w:rPr>
                <w:rFonts w:ascii="Cambria Math" w:eastAsia="仿宋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log⁡</m:t>
            </m:r>
            <m:r>
              <w:rPr>
                <w:rFonts w:ascii="Cambria Math" w:eastAsia="仿宋_GB2312" w:hAnsi="Cambria Math"/>
                <w:sz w:val="28"/>
                <w:szCs w:val="28"/>
              </w:rPr>
              <m:t>(Income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仿宋_GB2312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log⁡</m:t>
            </m:r>
            <m:r>
              <w:rPr>
                <w:rFonts w:ascii="Cambria Math" w:eastAsia="仿宋_GB2312" w:hAnsi="Cambria Math"/>
                <w:sz w:val="28"/>
                <w:szCs w:val="28"/>
              </w:rPr>
              <m:t>(HousePrice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仿宋_GB2312" w:hAnsi="Cambria Math"/>
            <w:sz w:val="28"/>
            <w:szCs w:val="28"/>
          </w:rPr>
          <m:t>)+</m:t>
        </m:r>
        <m:r>
          <m:rPr>
            <m:sty m:val="p"/>
          </m:rPr>
          <w:rPr>
            <w:rFonts w:ascii="Cambria Math" w:eastAsia="仿宋_GB2312" w:hAnsi="Cambria Math"/>
            <w:sz w:val="28"/>
            <w:szCs w:val="28"/>
          </w:rPr>
          <m:t>log⁡</m:t>
        </m:r>
        <m:r>
          <w:rPr>
            <w:rFonts w:ascii="Cambria Math" w:eastAsia="仿宋_GB2312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仿宋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GoodsRetSale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仿宋_GB2312" w:hAnsi="Cambria Math"/>
            <w:sz w:val="28"/>
            <w:szCs w:val="28"/>
          </w:rPr>
          <m:t>(-1))+</m:t>
        </m:r>
        <m:sSub>
          <m:sSub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_GB2312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</m:oMath>
      <w:r w:rsidR="004D75E4">
        <w:rPr>
          <w:rFonts w:ascii="仿宋_GB2312" w:eastAsia="仿宋_GB2312"/>
          <w:sz w:val="28"/>
          <w:szCs w:val="28"/>
        </w:rPr>
        <w:t xml:space="preserve"> </w:t>
      </w:r>
    </w:p>
    <w:p w:rsidR="004D75E4" w:rsidRPr="004D75E4" w:rsidRDefault="004D75E4" w:rsidP="004D75E4">
      <w:pPr>
        <w:rPr>
          <w:rFonts w:ascii="仿宋_GB2312" w:eastAsia="仿宋_GB2312"/>
          <w:sz w:val="28"/>
          <w:szCs w:val="28"/>
        </w:rPr>
      </w:pPr>
      <m:oMath>
        <m:r>
          <m:rPr>
            <m:sty m:val="p"/>
          </m:rPr>
          <w:rPr>
            <w:rFonts w:ascii="Cambria Math" w:eastAsia="仿宋_GB2312" w:hAnsi="Cambria Math"/>
            <w:sz w:val="28"/>
            <w:szCs w:val="28"/>
          </w:rPr>
          <m:t>log⁡</m:t>
        </m:r>
        <m:r>
          <w:rPr>
            <w:rFonts w:ascii="Cambria Math" w:eastAsia="仿宋_GB2312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仿宋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GoodsRetSale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="仿宋_GB2312" w:hAnsi="Cambria Math"/>
            <w:sz w:val="28"/>
            <w:szCs w:val="28"/>
          </w:rPr>
          <m:t>)=c+</m:t>
        </m:r>
        <m:sSub>
          <m:sSubPr>
            <m:ctrlPr>
              <w:rPr>
                <w:rFonts w:ascii="Cambria Math" w:eastAsia="仿宋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log⁡</m:t>
            </m:r>
            <m:r>
              <w:rPr>
                <w:rFonts w:ascii="Cambria Math" w:eastAsia="仿宋_GB2312" w:hAnsi="Cambria Math"/>
                <w:sz w:val="28"/>
                <w:szCs w:val="28"/>
              </w:rPr>
              <m:t>(Income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仿宋_GB2312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log⁡</m:t>
            </m:r>
            <m:r>
              <w:rPr>
                <w:rFonts w:ascii="Cambria Math" w:eastAsia="仿宋_GB2312" w:hAnsi="Cambria Math"/>
                <w:sz w:val="28"/>
                <w:szCs w:val="28"/>
              </w:rPr>
              <m:t>(HousePrice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仿宋_GB2312" w:hAnsi="Cambria Math"/>
            <w:sz w:val="28"/>
            <w:szCs w:val="28"/>
          </w:rPr>
          <m:t>)+</m:t>
        </m:r>
        <m:func>
          <m:funcPr>
            <m:ctrlPr>
              <w:rPr>
                <w:rFonts w:ascii="Cambria Math" w:eastAsia="仿宋_GB2312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="仿宋_GB2312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_GB2312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_GB2312" w:hAnsi="Cambria Math"/>
                        <w:sz w:val="28"/>
                        <w:szCs w:val="28"/>
                      </w:rPr>
                      <m:t>GoodsRetSale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仿宋_GB2312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仿宋_GB2312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</m:d>
          </m:e>
        </m:func>
        <m:r>
          <w:rPr>
            <w:rFonts w:ascii="Cambria Math" w:eastAsia="仿宋_GB2312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仿宋_GB2312" w:hAnsi="Cambria Math"/>
            <w:sz w:val="28"/>
            <w:szCs w:val="28"/>
          </w:rPr>
          <m:t>log⁡</m:t>
        </m:r>
        <m:r>
          <w:rPr>
            <w:rFonts w:ascii="Cambria Math" w:eastAsia="仿宋_GB2312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仿宋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/>
                <w:sz w:val="28"/>
                <w:szCs w:val="28"/>
              </w:rPr>
              <m:t>GoodsRetSale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仿宋_GB2312" w:hAnsi="Cambria Math"/>
            <w:sz w:val="28"/>
            <w:szCs w:val="28"/>
          </w:rPr>
          <m:t>(-2))+</m:t>
        </m:r>
        <m:sSub>
          <m:sSub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_GB2312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t</m:t>
            </m:r>
          </m:sub>
        </m:sSub>
      </m:oMath>
      <w:r>
        <w:rPr>
          <w:rFonts w:ascii="仿宋_GB2312" w:eastAsia="仿宋_GB2312"/>
          <w:sz w:val="28"/>
          <w:szCs w:val="28"/>
        </w:rPr>
        <w:t xml:space="preserve"> </w:t>
      </w:r>
    </w:p>
    <w:p w:rsidR="0024165B" w:rsidRPr="00B85F98" w:rsidRDefault="0024165B" w:rsidP="00FA57D2">
      <w:pPr>
        <w:spacing w:beforeLines="30" w:before="93" w:afterLines="50" w:after="156"/>
        <w:ind w:firstLineChars="200" w:firstLine="643"/>
        <w:jc w:val="left"/>
        <w:outlineLvl w:val="2"/>
        <w:rPr>
          <w:rFonts w:ascii="仿宋_GB2312" w:eastAsia="仿宋_GB2312"/>
          <w:b/>
          <w:sz w:val="32"/>
          <w:szCs w:val="32"/>
        </w:rPr>
      </w:pPr>
      <w:r w:rsidRPr="00B85F98">
        <w:rPr>
          <w:rFonts w:ascii="仿宋_GB2312" w:eastAsia="仿宋_GB2312" w:hint="eastAsia"/>
          <w:b/>
          <w:sz w:val="32"/>
          <w:szCs w:val="32"/>
        </w:rPr>
        <w:t>4</w:t>
      </w:r>
      <w:r w:rsidR="00D63563" w:rsidRPr="00B85F98">
        <w:rPr>
          <w:rFonts w:ascii="仿宋_GB2312" w:eastAsia="仿宋_GB2312" w:hint="eastAsia"/>
          <w:b/>
          <w:sz w:val="32"/>
          <w:szCs w:val="32"/>
        </w:rPr>
        <w:t>.</w:t>
      </w:r>
      <w:r w:rsidRPr="00B85F98">
        <w:rPr>
          <w:rFonts w:ascii="仿宋_GB2312" w:eastAsia="仿宋_GB2312"/>
          <w:b/>
          <w:sz w:val="32"/>
          <w:szCs w:val="32"/>
        </w:rPr>
        <w:t>模型估计</w:t>
      </w:r>
    </w:p>
    <w:p w:rsidR="0024165B" w:rsidRDefault="0024165B" w:rsidP="0030307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估计结果分别见表4、表5。</w:t>
      </w:r>
      <w:r w:rsidR="00303078">
        <w:rPr>
          <w:rFonts w:ascii="仿宋_GB2312" w:eastAsia="仿宋_GB2312" w:hint="eastAsia"/>
          <w:sz w:val="32"/>
          <w:szCs w:val="32"/>
        </w:rPr>
        <w:t>经残差序列LM检验，表4、表5均已</w:t>
      </w:r>
      <w:proofErr w:type="gramStart"/>
      <w:r w:rsidR="00303078">
        <w:rPr>
          <w:rFonts w:ascii="仿宋_GB2312" w:eastAsia="仿宋_GB2312" w:hint="eastAsia"/>
          <w:sz w:val="32"/>
          <w:szCs w:val="32"/>
        </w:rPr>
        <w:t>消除自</w:t>
      </w:r>
      <w:proofErr w:type="gramEnd"/>
      <w:r w:rsidR="00303078">
        <w:rPr>
          <w:rFonts w:ascii="仿宋_GB2312" w:eastAsia="仿宋_GB2312" w:hint="eastAsia"/>
          <w:sz w:val="32"/>
          <w:szCs w:val="32"/>
        </w:rPr>
        <w:t>相关问题，且两个模型</w:t>
      </w:r>
      <w:r w:rsidR="005E2D97">
        <w:rPr>
          <w:rFonts w:ascii="仿宋_GB2312" w:eastAsia="仿宋_GB2312" w:hint="eastAsia"/>
          <w:sz w:val="32"/>
          <w:szCs w:val="32"/>
        </w:rPr>
        <w:t>l</w:t>
      </w:r>
      <w:r w:rsidR="005E2D97">
        <w:rPr>
          <w:rFonts w:ascii="仿宋_GB2312" w:eastAsia="仿宋_GB2312"/>
          <w:sz w:val="32"/>
          <w:szCs w:val="32"/>
        </w:rPr>
        <w:t>og(</w:t>
      </w:r>
      <w:r w:rsidR="005E2D97">
        <w:rPr>
          <w:rFonts w:ascii="仿宋_GB2312" w:eastAsia="仿宋_GB2312" w:hint="eastAsia"/>
          <w:sz w:val="32"/>
          <w:szCs w:val="32"/>
        </w:rPr>
        <w:t>I</w:t>
      </w:r>
      <w:r w:rsidR="00303078">
        <w:rPr>
          <w:rFonts w:ascii="仿宋_GB2312" w:eastAsia="仿宋_GB2312" w:hint="eastAsia"/>
          <w:sz w:val="32"/>
          <w:szCs w:val="32"/>
        </w:rPr>
        <w:t>ncome</w:t>
      </w:r>
      <w:r w:rsidR="005E2D97">
        <w:rPr>
          <w:rFonts w:ascii="仿宋_GB2312" w:eastAsia="仿宋_GB2312"/>
          <w:sz w:val="32"/>
          <w:szCs w:val="32"/>
        </w:rPr>
        <w:t>)</w:t>
      </w:r>
      <w:r w:rsidR="00303078">
        <w:rPr>
          <w:rFonts w:ascii="仿宋_GB2312" w:eastAsia="仿宋_GB2312" w:hint="eastAsia"/>
          <w:sz w:val="32"/>
          <w:szCs w:val="32"/>
        </w:rPr>
        <w:t>估计系数</w:t>
      </w:r>
      <w:r w:rsidR="00F558D6">
        <w:rPr>
          <w:rFonts w:ascii="仿宋_GB2312" w:eastAsia="仿宋_GB2312" w:hint="eastAsia"/>
          <w:sz w:val="32"/>
          <w:szCs w:val="32"/>
        </w:rPr>
        <w:t>比较</w:t>
      </w:r>
      <w:r w:rsidR="00303078">
        <w:rPr>
          <w:rFonts w:ascii="仿宋_GB2312" w:eastAsia="仿宋_GB2312" w:hint="eastAsia"/>
          <w:sz w:val="32"/>
          <w:szCs w:val="32"/>
        </w:rPr>
        <w:t>一致，</w:t>
      </w:r>
      <w:r w:rsidR="00F558D6">
        <w:rPr>
          <w:rFonts w:ascii="仿宋_GB2312" w:eastAsia="仿宋_GB2312" w:hint="eastAsia"/>
          <w:sz w:val="32"/>
          <w:szCs w:val="32"/>
        </w:rPr>
        <w:t>在0.</w:t>
      </w:r>
      <w:r w:rsidR="00F558D6">
        <w:rPr>
          <w:rFonts w:ascii="仿宋_GB2312" w:eastAsia="仿宋_GB2312"/>
          <w:sz w:val="32"/>
          <w:szCs w:val="32"/>
        </w:rPr>
        <w:t>19</w:t>
      </w:r>
      <w:r w:rsidR="00F558D6">
        <w:rPr>
          <w:rFonts w:ascii="仿宋_GB2312" w:eastAsia="仿宋_GB2312" w:hint="eastAsia"/>
          <w:sz w:val="32"/>
          <w:szCs w:val="32"/>
        </w:rPr>
        <w:t>和0</w:t>
      </w:r>
      <w:r w:rsidR="00F558D6">
        <w:rPr>
          <w:rFonts w:ascii="仿宋_GB2312" w:eastAsia="仿宋_GB2312"/>
          <w:sz w:val="32"/>
          <w:szCs w:val="32"/>
        </w:rPr>
        <w:t>.21</w:t>
      </w:r>
      <w:r w:rsidR="00F558D6">
        <w:rPr>
          <w:rFonts w:ascii="仿宋_GB2312" w:eastAsia="仿宋_GB2312" w:hint="eastAsia"/>
          <w:sz w:val="32"/>
          <w:szCs w:val="32"/>
        </w:rPr>
        <w:t>之间</w:t>
      </w:r>
      <w:r w:rsidR="00303078">
        <w:rPr>
          <w:rFonts w:ascii="仿宋_GB2312" w:eastAsia="仿宋_GB2312" w:hint="eastAsia"/>
          <w:sz w:val="32"/>
          <w:szCs w:val="32"/>
        </w:rPr>
        <w:t>，可以说明所采用模型比较可靠。</w:t>
      </w:r>
      <w:r w:rsidR="00F558D6">
        <w:rPr>
          <w:rFonts w:ascii="仿宋_GB2312" w:eastAsia="仿宋_GB2312" w:hint="eastAsia"/>
          <w:sz w:val="32"/>
          <w:szCs w:val="32"/>
        </w:rPr>
        <w:t>由于滞后一期、</w:t>
      </w:r>
      <w:r w:rsidR="00F558D6" w:rsidRPr="00F558D6">
        <w:rPr>
          <w:rFonts w:ascii="仿宋_GB2312" w:eastAsia="仿宋_GB2312" w:hint="eastAsia"/>
          <w:sz w:val="32"/>
          <w:szCs w:val="32"/>
        </w:rPr>
        <w:t>滞后二期</w:t>
      </w:r>
      <w:proofErr w:type="gramStart"/>
      <w:r w:rsidR="00F558D6" w:rsidRPr="00F558D6">
        <w:rPr>
          <w:rFonts w:ascii="仿宋_GB2312" w:eastAsia="仿宋_GB2312" w:hint="eastAsia"/>
          <w:sz w:val="32"/>
          <w:szCs w:val="32"/>
        </w:rPr>
        <w:t>的社消序列</w:t>
      </w:r>
      <w:proofErr w:type="gramEnd"/>
      <w:r w:rsidR="00F558D6">
        <w:rPr>
          <w:rFonts w:ascii="仿宋_GB2312" w:eastAsia="仿宋_GB2312" w:hint="eastAsia"/>
          <w:sz w:val="32"/>
          <w:szCs w:val="32"/>
        </w:rPr>
        <w:t>在模型中均显著，因此把两者加入模型。</w:t>
      </w:r>
    </w:p>
    <w:p w:rsidR="0024165B" w:rsidRPr="00C22B1A" w:rsidRDefault="0024165B" w:rsidP="0024165B">
      <w:pPr>
        <w:autoSpaceDE w:val="0"/>
        <w:autoSpaceDN w:val="0"/>
        <w:adjustRightInd w:val="0"/>
        <w:jc w:val="center"/>
        <w:rPr>
          <w:rFonts w:asciiTheme="minorEastAsia" w:hAnsiTheme="minorEastAsia"/>
          <w:b/>
          <w:sz w:val="28"/>
          <w:szCs w:val="28"/>
        </w:rPr>
      </w:pPr>
      <w:r w:rsidRPr="00C22B1A">
        <w:rPr>
          <w:rFonts w:asciiTheme="minorEastAsia" w:hAnsiTheme="minorEastAsia" w:hint="eastAsia"/>
          <w:b/>
          <w:sz w:val="28"/>
          <w:szCs w:val="28"/>
        </w:rPr>
        <w:t>表4 包含</w:t>
      </w:r>
      <w:r w:rsidR="005E2D97" w:rsidRPr="00C22B1A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="005E2D97" w:rsidRPr="005E2D97">
        <w:rPr>
          <w:rFonts w:asciiTheme="minorEastAsia" w:hAnsiTheme="minorEastAsia"/>
          <w:b/>
          <w:sz w:val="28"/>
          <w:szCs w:val="28"/>
        </w:rPr>
        <w:t>GoodsRetSale</w:t>
      </w:r>
      <w:proofErr w:type="spellEnd"/>
      <w:r w:rsidR="005E2D97" w:rsidRPr="005E2D97">
        <w:rPr>
          <w:rFonts w:asciiTheme="minorEastAsia" w:hAnsiTheme="minorEastAsia"/>
          <w:b/>
          <w:sz w:val="28"/>
          <w:szCs w:val="28"/>
        </w:rPr>
        <w:t xml:space="preserve"> (-1)</w:t>
      </w:r>
      <w:r w:rsidRPr="00C22B1A">
        <w:rPr>
          <w:rFonts w:asciiTheme="minorEastAsia" w:hAnsiTheme="minorEastAsia" w:hint="eastAsia"/>
          <w:b/>
          <w:sz w:val="28"/>
          <w:szCs w:val="28"/>
        </w:rPr>
        <w:t>的回归模型输出结果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1118"/>
        <w:gridCol w:w="1224"/>
        <w:gridCol w:w="1225"/>
        <w:gridCol w:w="1011"/>
      </w:tblGrid>
      <w:tr w:rsidR="0024165B" w:rsidTr="00013D7E">
        <w:trPr>
          <w:trHeight w:hRule="exact" w:val="34"/>
          <w:jc w:val="center"/>
        </w:trPr>
        <w:tc>
          <w:tcPr>
            <w:tcW w:w="20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4165B" w:rsidTr="00013D7E">
        <w:trPr>
          <w:trHeight w:hRule="exact" w:val="52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4165B" w:rsidTr="00013D7E">
        <w:trPr>
          <w:trHeight w:val="86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1A6C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24165B" w:rsidTr="00013D7E">
        <w:trPr>
          <w:trHeight w:hRule="exact" w:val="34"/>
          <w:jc w:val="center"/>
        </w:trPr>
        <w:tc>
          <w:tcPr>
            <w:tcW w:w="20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4165B" w:rsidTr="00013D7E">
        <w:trPr>
          <w:trHeight w:hRule="exact" w:val="52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13D7E" w:rsidTr="00013D7E">
        <w:trPr>
          <w:trHeight w:val="86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12DDF">
              <w:rPr>
                <w:rFonts w:ascii="Arial" w:eastAsia="等线" w:hAnsi="Arial" w:cs="Arial"/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-0.07117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0.38923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-0.183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0.8575</w:t>
            </w:r>
          </w:p>
        </w:tc>
      </w:tr>
      <w:tr w:rsidR="00013D7E" w:rsidTr="00013D7E">
        <w:trPr>
          <w:trHeight w:val="86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log(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Income)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0.21214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0.14265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1.487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0.1592</w:t>
            </w:r>
          </w:p>
        </w:tc>
      </w:tr>
      <w:tr w:rsidR="00013D7E" w:rsidTr="00013D7E">
        <w:trPr>
          <w:trHeight w:val="86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log(</w:t>
            </w:r>
            <w:proofErr w:type="spellStart"/>
            <w:proofErr w:type="gramEnd"/>
            <w:r w:rsidRPr="00B478E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HousePrice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0.18466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0.09985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1.849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proofErr w:type="gramStart"/>
            <w:r w:rsidRPr="002B5867">
              <w:t>0.0856 .</w:t>
            </w:r>
            <w:proofErr w:type="gramEnd"/>
          </w:p>
        </w:tc>
      </w:tr>
      <w:tr w:rsidR="00013D7E" w:rsidTr="00013D7E">
        <w:trPr>
          <w:trHeight w:val="86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bookmarkStart w:id="21" w:name="_Hlk523321850"/>
            <w:proofErr w:type="gram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Log(</w:t>
            </w:r>
            <w:proofErr w:type="spellStart"/>
            <w:proofErr w:type="gramEnd"/>
            <w:r w:rsidRPr="005E2D9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GoodsRetSale</w:t>
            </w:r>
            <w:proofErr w:type="spellEnd"/>
            <w:r w:rsidRPr="005E2D9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(-1)</w:t>
            </w:r>
            <w:bookmarkEnd w:id="21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0.71782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0.1036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2B5867" w:rsidRDefault="00013D7E" w:rsidP="00013D7E">
            <w:r w:rsidRPr="002B5867">
              <w:t>6.929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013D7E" w:rsidRDefault="00013D7E" w:rsidP="00013D7E">
            <w:r w:rsidRPr="002B5867">
              <w:t>7e-06 ***</w:t>
            </w:r>
          </w:p>
        </w:tc>
      </w:tr>
      <w:tr w:rsidR="0024165B" w:rsidTr="00013D7E">
        <w:trPr>
          <w:trHeight w:hRule="exact" w:val="34"/>
          <w:jc w:val="center"/>
        </w:trPr>
        <w:tc>
          <w:tcPr>
            <w:tcW w:w="20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4165B" w:rsidTr="00013D7E">
        <w:trPr>
          <w:trHeight w:hRule="exact" w:val="52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13D7E" w:rsidTr="0016101E">
        <w:trPr>
          <w:trHeight w:val="86"/>
          <w:jc w:val="center"/>
        </w:trPr>
        <w:tc>
          <w:tcPr>
            <w:tcW w:w="662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P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3D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Residual standard error: 0.01888 on 14 degrees of freedom</w:t>
            </w:r>
          </w:p>
          <w:p w:rsid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3D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Multiple R-squared:  0.9992</w:t>
            </w:r>
          </w:p>
          <w:p w:rsidR="00013D7E" w:rsidRP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3D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Adjusted R-squared:  0.9991 </w:t>
            </w:r>
          </w:p>
          <w:p w:rsidR="00013D7E" w:rsidRDefault="00013D7E" w:rsidP="00013D7E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3D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F-statistic:  6092 on 3 and 14 DF</w:t>
            </w:r>
          </w:p>
          <w:p w:rsidR="00013D7E" w:rsidRDefault="00013D7E" w:rsidP="00013D7E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3D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p-value: &lt; 2.2e-16</w:t>
            </w:r>
          </w:p>
        </w:tc>
      </w:tr>
      <w:tr w:rsidR="0024165B" w:rsidTr="00013D7E">
        <w:trPr>
          <w:trHeight w:hRule="exact" w:val="34"/>
          <w:jc w:val="center"/>
        </w:trPr>
        <w:tc>
          <w:tcPr>
            <w:tcW w:w="20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4165B" w:rsidTr="00013D7E">
        <w:trPr>
          <w:trHeight w:hRule="exact" w:val="52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714E6" w:rsidRPr="00936200" w:rsidRDefault="00936200" w:rsidP="00936200">
      <w:pPr>
        <w:pStyle w:val="HTML"/>
        <w:shd w:val="clear" w:color="auto" w:fill="FFFFFF"/>
        <w:wordWrap w:val="0"/>
        <w:spacing w:line="225" w:lineRule="atLeast"/>
        <w:rPr>
          <w:rFonts w:ascii="仿宋" w:eastAsia="仿宋" w:hAnsi="仿宋"/>
          <w:sz w:val="21"/>
          <w:szCs w:val="21"/>
        </w:rPr>
      </w:pPr>
      <w:r w:rsidRPr="00D42256">
        <w:rPr>
          <w:rFonts w:ascii="仿宋" w:eastAsia="仿宋" w:hAnsi="仿宋" w:hint="eastAsia"/>
          <w:sz w:val="21"/>
          <w:szCs w:val="21"/>
        </w:rPr>
        <w:t>注</w:t>
      </w:r>
      <w:r>
        <w:rPr>
          <w:rFonts w:ascii="仿宋" w:eastAsia="仿宋" w:hAnsi="仿宋" w:hint="eastAsia"/>
          <w:sz w:val="21"/>
          <w:szCs w:val="21"/>
        </w:rPr>
        <w:t>:</w:t>
      </w:r>
      <w:r w:rsidRPr="00D42256">
        <w:rPr>
          <w:rFonts w:ascii="仿宋" w:eastAsia="仿宋" w:hAnsi="仿宋" w:hint="eastAsia"/>
          <w:sz w:val="21"/>
          <w:szCs w:val="21"/>
        </w:rPr>
        <w:t>显著性</w:t>
      </w:r>
      <w:r w:rsidRPr="00D42256">
        <w:rPr>
          <w:rFonts w:ascii="仿宋" w:eastAsia="仿宋" w:hAnsi="仿宋"/>
          <w:sz w:val="21"/>
          <w:szCs w:val="21"/>
        </w:rPr>
        <w:t>符号：</w:t>
      </w:r>
      <w:r w:rsidRPr="00D42256">
        <w:rPr>
          <w:rStyle w:val="gnkrckgcgsb"/>
          <w:rFonts w:ascii="仿宋" w:eastAsia="仿宋" w:hAnsi="仿宋"/>
          <w:color w:val="000000"/>
          <w:sz w:val="21"/>
          <w:szCs w:val="21"/>
          <w:bdr w:val="none" w:sz="0" w:space="0" w:color="auto" w:frame="1"/>
        </w:rPr>
        <w:t xml:space="preserve">0 ‘***’ 0.001 ‘**’ 0.01 ‘*’ 0.05 ‘.’ 0.1 </w:t>
      </w:r>
      <w:proofErr w:type="gramStart"/>
      <w:r w:rsidRPr="00D42256">
        <w:rPr>
          <w:rStyle w:val="gnkrckgcgsb"/>
          <w:rFonts w:ascii="仿宋" w:eastAsia="仿宋" w:hAnsi="仿宋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 w:rsidRPr="00D42256">
        <w:rPr>
          <w:rStyle w:val="gnkrckgcgsb"/>
          <w:rFonts w:ascii="仿宋" w:eastAsia="仿宋" w:hAnsi="仿宋"/>
          <w:color w:val="000000"/>
          <w:sz w:val="21"/>
          <w:szCs w:val="21"/>
          <w:bdr w:val="none" w:sz="0" w:space="0" w:color="auto" w:frame="1"/>
        </w:rPr>
        <w:t xml:space="preserve"> 1</w:t>
      </w:r>
    </w:p>
    <w:p w:rsidR="0024165B" w:rsidRPr="00C22B1A" w:rsidRDefault="0024165B" w:rsidP="0024165B">
      <w:pPr>
        <w:autoSpaceDE w:val="0"/>
        <w:autoSpaceDN w:val="0"/>
        <w:adjustRightInd w:val="0"/>
        <w:jc w:val="center"/>
        <w:rPr>
          <w:rFonts w:asciiTheme="minorEastAsia" w:hAnsiTheme="minorEastAsia"/>
          <w:b/>
          <w:sz w:val="28"/>
          <w:szCs w:val="28"/>
        </w:rPr>
      </w:pPr>
      <w:r w:rsidRPr="00C22B1A">
        <w:rPr>
          <w:rFonts w:asciiTheme="minorEastAsia" w:hAnsiTheme="minorEastAsia" w:hint="eastAsia"/>
          <w:b/>
          <w:sz w:val="28"/>
          <w:szCs w:val="28"/>
        </w:rPr>
        <w:t>表5 包含</w:t>
      </w:r>
      <w:proofErr w:type="spellStart"/>
      <w:r w:rsidR="005E2D97" w:rsidRPr="005E2D97">
        <w:rPr>
          <w:rFonts w:asciiTheme="minorEastAsia" w:hAnsiTheme="minorEastAsia"/>
          <w:b/>
          <w:sz w:val="28"/>
          <w:szCs w:val="28"/>
        </w:rPr>
        <w:t>GoodsRetSale</w:t>
      </w:r>
      <w:proofErr w:type="spellEnd"/>
      <w:r w:rsidR="005E2D97" w:rsidRPr="005E2D97">
        <w:rPr>
          <w:rFonts w:asciiTheme="minorEastAsia" w:hAnsiTheme="minorEastAsia"/>
          <w:b/>
          <w:sz w:val="28"/>
          <w:szCs w:val="28"/>
        </w:rPr>
        <w:t xml:space="preserve"> (-1)</w:t>
      </w:r>
      <w:r w:rsidRPr="00C22B1A">
        <w:rPr>
          <w:rFonts w:asciiTheme="minorEastAsia" w:hAnsiTheme="minorEastAsia" w:hint="eastAsia"/>
          <w:b/>
          <w:sz w:val="28"/>
          <w:szCs w:val="28"/>
        </w:rPr>
        <w:t>、</w:t>
      </w:r>
      <w:r w:rsidR="005E2D97" w:rsidRPr="005E2D97">
        <w:rPr>
          <w:rFonts w:asciiTheme="minorEastAsia" w:hAnsiTheme="minorEastAsia"/>
          <w:b/>
          <w:sz w:val="28"/>
          <w:szCs w:val="28"/>
        </w:rPr>
        <w:t xml:space="preserve"> </w:t>
      </w:r>
      <w:r w:rsidR="005E2D97">
        <w:rPr>
          <w:rFonts w:asciiTheme="minorEastAsia" w:hAnsiTheme="minorEastAsia"/>
          <w:b/>
          <w:sz w:val="28"/>
          <w:szCs w:val="28"/>
        </w:rPr>
        <w:t>(</w:t>
      </w:r>
      <w:r w:rsidRPr="00C22B1A">
        <w:rPr>
          <w:rFonts w:asciiTheme="minorEastAsia" w:hAnsiTheme="minorEastAsia" w:hint="eastAsia"/>
          <w:b/>
          <w:sz w:val="28"/>
          <w:szCs w:val="28"/>
        </w:rPr>
        <w:t>-2)的回归模型输出结果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1516"/>
      </w:tblGrid>
      <w:tr w:rsidR="0024165B" w:rsidTr="00013D7E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4165B" w:rsidTr="00013D7E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4165B" w:rsidTr="00013D7E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1A6C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1A6C60">
            <w:pPr>
              <w:autoSpaceDE w:val="0"/>
              <w:autoSpaceDN w:val="0"/>
              <w:adjustRightInd w:val="0"/>
              <w:ind w:right="370" w:firstLineChars="100" w:firstLine="1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24165B" w:rsidTr="00013D7E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4165B" w:rsidTr="00013D7E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65B" w:rsidRDefault="0024165B" w:rsidP="0070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13D7E" w:rsidTr="00013D7E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12DDF">
              <w:rPr>
                <w:rFonts w:ascii="Arial" w:eastAsia="等线" w:hAnsi="Arial" w:cs="Arial"/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0.14781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0.33375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0.443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0.6651</w:t>
            </w:r>
          </w:p>
        </w:tc>
      </w:tr>
      <w:tr w:rsidR="00013D7E" w:rsidTr="00013D7E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D87FF4" w:rsidRDefault="00013D7E" w:rsidP="00013D7E">
            <w:proofErr w:type="gramStart"/>
            <w:r w:rsidRPr="00D87FF4">
              <w:t>log(</w:t>
            </w:r>
            <w:proofErr w:type="gramEnd"/>
            <w:r w:rsidRPr="00D87FF4">
              <w:t>Income)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0.19233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0.11886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1.618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0.1296</w:t>
            </w:r>
          </w:p>
        </w:tc>
      </w:tr>
      <w:tr w:rsidR="00013D7E" w:rsidTr="00013D7E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D87FF4" w:rsidRDefault="00013D7E" w:rsidP="00013D7E">
            <w:proofErr w:type="gramStart"/>
            <w:r w:rsidRPr="00D87FF4">
              <w:t>log(</w:t>
            </w:r>
            <w:proofErr w:type="spellStart"/>
            <w:proofErr w:type="gramEnd"/>
            <w:r w:rsidRPr="00D87FF4">
              <w:t>HousePrice</w:t>
            </w:r>
            <w:proofErr w:type="spellEnd"/>
            <w:r w:rsidRPr="00D87FF4">
              <w:t>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0.08082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0.09156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0.883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0.3935</w:t>
            </w:r>
          </w:p>
        </w:tc>
      </w:tr>
      <w:tr w:rsidR="00013D7E" w:rsidTr="00013D7E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013D7E" w:rsidRDefault="00F558D6" w:rsidP="00013D7E">
            <w:proofErr w:type="gramStart"/>
            <w:r>
              <w:t>l</w:t>
            </w:r>
            <w:r w:rsidR="00013D7E" w:rsidRPr="00D87FF4">
              <w:t>og(</w:t>
            </w:r>
            <w:proofErr w:type="spellStart"/>
            <w:proofErr w:type="gramEnd"/>
            <w:r w:rsidR="00013D7E" w:rsidRPr="00D87FF4">
              <w:t>GoodsRetSale</w:t>
            </w:r>
            <w:proofErr w:type="spellEnd"/>
            <w:r w:rsidR="00013D7E" w:rsidRPr="00D87FF4">
              <w:t xml:space="preserve"> (-1))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1.28007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0.22597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5.665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7.73e-05 ***</w:t>
            </w:r>
          </w:p>
        </w:tc>
      </w:tr>
      <w:tr w:rsidR="00013D7E" w:rsidTr="00013D7E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013D7E" w:rsidRDefault="00F558D6" w:rsidP="00013D7E">
            <w:proofErr w:type="gramStart"/>
            <w:r>
              <w:t>l</w:t>
            </w:r>
            <w:r w:rsidR="00013D7E" w:rsidRPr="00D87FF4">
              <w:t>og(</w:t>
            </w:r>
            <w:proofErr w:type="spellStart"/>
            <w:proofErr w:type="gramEnd"/>
            <w:r w:rsidR="00013D7E" w:rsidRPr="00D87FF4">
              <w:t>GoodsRetSale</w:t>
            </w:r>
            <w:proofErr w:type="spellEnd"/>
            <w:r w:rsidR="00013D7E" w:rsidRPr="00D87FF4">
              <w:t xml:space="preserve"> (-</w:t>
            </w:r>
            <w:r w:rsidR="00013D7E">
              <w:t>2</w:t>
            </w:r>
            <w:r w:rsidR="00013D7E" w:rsidRPr="00D87FF4">
              <w:t>))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-0.49651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0.18447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013D7E" w:rsidRPr="007D2721" w:rsidRDefault="00013D7E" w:rsidP="00013D7E">
            <w:r w:rsidRPr="007D2721">
              <w:t>-2.692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013D7E" w:rsidRDefault="00013D7E" w:rsidP="00013D7E">
            <w:r w:rsidRPr="007D2721">
              <w:t>0.0185 *</w:t>
            </w:r>
          </w:p>
        </w:tc>
      </w:tr>
      <w:tr w:rsidR="00013D7E" w:rsidTr="00013D7E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13D7E" w:rsidTr="00013D7E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13D7E" w:rsidTr="00966429">
        <w:trPr>
          <w:trHeight w:val="225"/>
          <w:jc w:val="center"/>
        </w:trPr>
        <w:tc>
          <w:tcPr>
            <w:tcW w:w="70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P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3D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Residual standard error: 0.0157 on 13 degrees of freedom</w:t>
            </w:r>
          </w:p>
          <w:p w:rsid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3D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Multiple R-squared:  0.9995</w:t>
            </w:r>
          </w:p>
          <w:p w:rsidR="00013D7E" w:rsidRPr="00013D7E" w:rsidRDefault="00013D7E" w:rsidP="00013D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3D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Adjusted R-squared:  0.9994 </w:t>
            </w:r>
          </w:p>
          <w:p w:rsidR="00013D7E" w:rsidRDefault="00013D7E" w:rsidP="00013D7E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3D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F-statistic:  6609 on 4 and 13 DF</w:t>
            </w:r>
          </w:p>
          <w:p w:rsidR="00013D7E" w:rsidRDefault="00013D7E" w:rsidP="00013D7E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13D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p-value: &lt; 2.2e-16</w:t>
            </w:r>
          </w:p>
        </w:tc>
      </w:tr>
      <w:tr w:rsidR="00013D7E" w:rsidTr="00013D7E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13D7E" w:rsidTr="00013D7E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D7E" w:rsidRDefault="00013D7E" w:rsidP="00013D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36200" w:rsidRPr="00936200" w:rsidRDefault="00936200" w:rsidP="00936200">
      <w:pPr>
        <w:pStyle w:val="HTML"/>
        <w:shd w:val="clear" w:color="auto" w:fill="FFFFFF"/>
        <w:wordWrap w:val="0"/>
        <w:spacing w:line="225" w:lineRule="atLeast"/>
        <w:rPr>
          <w:rFonts w:ascii="仿宋" w:eastAsia="仿宋" w:hAnsi="仿宋"/>
          <w:sz w:val="21"/>
          <w:szCs w:val="21"/>
        </w:rPr>
      </w:pPr>
      <w:r w:rsidRPr="00D42256">
        <w:rPr>
          <w:rFonts w:ascii="仿宋" w:eastAsia="仿宋" w:hAnsi="仿宋" w:hint="eastAsia"/>
          <w:sz w:val="21"/>
          <w:szCs w:val="21"/>
        </w:rPr>
        <w:t>注</w:t>
      </w:r>
      <w:r>
        <w:rPr>
          <w:rFonts w:ascii="仿宋" w:eastAsia="仿宋" w:hAnsi="仿宋" w:hint="eastAsia"/>
          <w:sz w:val="21"/>
          <w:szCs w:val="21"/>
        </w:rPr>
        <w:t>:</w:t>
      </w:r>
      <w:r w:rsidRPr="00D42256">
        <w:rPr>
          <w:rFonts w:ascii="仿宋" w:eastAsia="仿宋" w:hAnsi="仿宋" w:hint="eastAsia"/>
          <w:sz w:val="21"/>
          <w:szCs w:val="21"/>
        </w:rPr>
        <w:t>显著性</w:t>
      </w:r>
      <w:r w:rsidRPr="00D42256">
        <w:rPr>
          <w:rFonts w:ascii="仿宋" w:eastAsia="仿宋" w:hAnsi="仿宋"/>
          <w:sz w:val="21"/>
          <w:szCs w:val="21"/>
        </w:rPr>
        <w:t>符号：</w:t>
      </w:r>
      <w:r w:rsidRPr="00D42256">
        <w:rPr>
          <w:rStyle w:val="gnkrckgcgsb"/>
          <w:rFonts w:ascii="仿宋" w:eastAsia="仿宋" w:hAnsi="仿宋"/>
          <w:color w:val="000000"/>
          <w:sz w:val="21"/>
          <w:szCs w:val="21"/>
          <w:bdr w:val="none" w:sz="0" w:space="0" w:color="auto" w:frame="1"/>
        </w:rPr>
        <w:t xml:space="preserve">0 ‘***’ 0.001 ‘**’ 0.01 ‘*’ 0.05 ‘.’ 0.1 </w:t>
      </w:r>
      <w:proofErr w:type="gramStart"/>
      <w:r w:rsidRPr="00D42256">
        <w:rPr>
          <w:rStyle w:val="gnkrckgcgsb"/>
          <w:rFonts w:ascii="仿宋" w:eastAsia="仿宋" w:hAnsi="仿宋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 w:rsidRPr="00D42256">
        <w:rPr>
          <w:rStyle w:val="gnkrckgcgsb"/>
          <w:rFonts w:ascii="仿宋" w:eastAsia="仿宋" w:hAnsi="仿宋"/>
          <w:color w:val="000000"/>
          <w:sz w:val="21"/>
          <w:szCs w:val="21"/>
          <w:bdr w:val="none" w:sz="0" w:space="0" w:color="auto" w:frame="1"/>
        </w:rPr>
        <w:t xml:space="preserve"> 1</w:t>
      </w:r>
    </w:p>
    <w:p w:rsidR="0024165B" w:rsidRPr="00B85F98" w:rsidRDefault="0024165B" w:rsidP="00FA57D2">
      <w:pPr>
        <w:spacing w:beforeLines="30" w:before="93" w:afterLines="50" w:after="156"/>
        <w:ind w:firstLineChars="200" w:firstLine="643"/>
        <w:jc w:val="left"/>
        <w:outlineLvl w:val="2"/>
        <w:rPr>
          <w:rFonts w:ascii="仿宋_GB2312" w:eastAsia="仿宋_GB2312"/>
          <w:b/>
          <w:sz w:val="32"/>
          <w:szCs w:val="32"/>
        </w:rPr>
      </w:pPr>
      <w:r w:rsidRPr="00B85F98">
        <w:rPr>
          <w:rFonts w:ascii="仿宋_GB2312" w:eastAsia="仿宋_GB2312" w:hint="eastAsia"/>
          <w:b/>
          <w:sz w:val="32"/>
          <w:szCs w:val="32"/>
        </w:rPr>
        <w:t>5</w:t>
      </w:r>
      <w:r w:rsidR="00D63563" w:rsidRPr="00B85F98">
        <w:rPr>
          <w:rFonts w:ascii="仿宋_GB2312" w:eastAsia="仿宋_GB2312" w:hint="eastAsia"/>
          <w:b/>
          <w:sz w:val="32"/>
          <w:szCs w:val="32"/>
        </w:rPr>
        <w:t>.</w:t>
      </w:r>
      <w:r w:rsidRPr="00B85F98">
        <w:rPr>
          <w:rFonts w:ascii="仿宋_GB2312" w:eastAsia="仿宋_GB2312"/>
          <w:b/>
          <w:sz w:val="32"/>
          <w:szCs w:val="32"/>
        </w:rPr>
        <w:t>模型结论</w:t>
      </w:r>
    </w:p>
    <w:p w:rsidR="00303078" w:rsidRPr="009D3DD4" w:rsidRDefault="00F558D6" w:rsidP="0030307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尽管不显著，</w:t>
      </w:r>
      <w:r w:rsidR="00B478E6">
        <w:rPr>
          <w:rFonts w:ascii="仿宋_GB2312" w:eastAsia="仿宋_GB2312" w:hint="eastAsia"/>
          <w:sz w:val="32"/>
          <w:szCs w:val="32"/>
        </w:rPr>
        <w:t>对数房价</w:t>
      </w:r>
      <w:r w:rsidR="00B478E6">
        <w:rPr>
          <w:rFonts w:ascii="仿宋_GB2312" w:eastAsia="仿宋_GB2312"/>
          <w:sz w:val="32"/>
          <w:szCs w:val="32"/>
        </w:rPr>
        <w:t>log(</w:t>
      </w:r>
      <w:proofErr w:type="spellStart"/>
      <w:r w:rsidR="00B478E6">
        <w:rPr>
          <w:rFonts w:ascii="仿宋_GB2312" w:eastAsia="仿宋_GB2312"/>
          <w:sz w:val="32"/>
          <w:szCs w:val="32"/>
        </w:rPr>
        <w:t>HousePrice</w:t>
      </w:r>
      <w:proofErr w:type="spellEnd"/>
      <w:r w:rsidR="00B478E6">
        <w:rPr>
          <w:rFonts w:ascii="仿宋_GB2312" w:eastAsia="仿宋_GB2312"/>
          <w:sz w:val="32"/>
          <w:szCs w:val="32"/>
        </w:rPr>
        <w:t>)</w:t>
      </w:r>
      <w:r w:rsidR="00303078">
        <w:rPr>
          <w:rFonts w:ascii="仿宋_GB2312" w:eastAsia="仿宋_GB2312" w:hint="eastAsia"/>
          <w:sz w:val="32"/>
          <w:szCs w:val="32"/>
        </w:rPr>
        <w:t>估计系数均为</w:t>
      </w:r>
      <w:r>
        <w:rPr>
          <w:rFonts w:ascii="仿宋_GB2312" w:eastAsia="仿宋_GB2312" w:hint="eastAsia"/>
          <w:sz w:val="32"/>
          <w:szCs w:val="32"/>
        </w:rPr>
        <w:t>正</w:t>
      </w:r>
      <w:r w:rsidR="00303078">
        <w:rPr>
          <w:rFonts w:ascii="仿宋_GB2312" w:eastAsia="仿宋_GB2312" w:hint="eastAsia"/>
          <w:sz w:val="32"/>
          <w:szCs w:val="32"/>
        </w:rPr>
        <w:t>，说明</w:t>
      </w:r>
      <w:bookmarkStart w:id="22" w:name="OLE_LINK40"/>
      <w:bookmarkStart w:id="23" w:name="OLE_LINK41"/>
      <w:r w:rsidR="00303078">
        <w:rPr>
          <w:rFonts w:ascii="仿宋_GB2312" w:eastAsia="仿宋_GB2312" w:hint="eastAsia"/>
          <w:sz w:val="32"/>
          <w:szCs w:val="32"/>
        </w:rPr>
        <w:t>房价上涨对</w:t>
      </w:r>
      <w:proofErr w:type="gramStart"/>
      <w:r w:rsidR="00303078">
        <w:rPr>
          <w:rFonts w:ascii="仿宋_GB2312" w:eastAsia="仿宋_GB2312" w:hint="eastAsia"/>
          <w:sz w:val="32"/>
          <w:szCs w:val="32"/>
        </w:rPr>
        <w:t>社消增长</w:t>
      </w:r>
      <w:proofErr w:type="gramEnd"/>
      <w:r w:rsidR="00303078">
        <w:rPr>
          <w:rFonts w:ascii="仿宋_GB2312" w:eastAsia="仿宋_GB2312" w:hint="eastAsia"/>
          <w:sz w:val="32"/>
          <w:szCs w:val="32"/>
        </w:rPr>
        <w:t>具有</w:t>
      </w:r>
      <w:r>
        <w:rPr>
          <w:rFonts w:ascii="仿宋_GB2312" w:eastAsia="仿宋_GB2312" w:hint="eastAsia"/>
          <w:sz w:val="32"/>
          <w:szCs w:val="32"/>
        </w:rPr>
        <w:t>正向</w:t>
      </w:r>
      <w:r w:rsidR="00303078">
        <w:rPr>
          <w:rFonts w:ascii="仿宋_GB2312" w:eastAsia="仿宋_GB2312" w:hint="eastAsia"/>
          <w:sz w:val="32"/>
          <w:szCs w:val="32"/>
        </w:rPr>
        <w:t>影响，弹性系数在</w:t>
      </w:r>
      <w:r>
        <w:rPr>
          <w:rFonts w:ascii="仿宋_GB2312" w:eastAsia="仿宋_GB2312"/>
          <w:sz w:val="32"/>
          <w:szCs w:val="32"/>
        </w:rPr>
        <w:t>0.08</w:t>
      </w:r>
      <w:r w:rsidR="00303078">
        <w:rPr>
          <w:rFonts w:ascii="仿宋_GB2312" w:eastAsia="仿宋_GB2312" w:hint="eastAsia"/>
          <w:sz w:val="32"/>
          <w:szCs w:val="32"/>
        </w:rPr>
        <w:t>和</w:t>
      </w:r>
      <w:r>
        <w:rPr>
          <w:rFonts w:ascii="仿宋_GB2312" w:eastAsia="仿宋_GB2312"/>
          <w:sz w:val="32"/>
          <w:szCs w:val="32"/>
        </w:rPr>
        <w:t>0.18</w:t>
      </w:r>
      <w:r w:rsidR="00303078">
        <w:rPr>
          <w:rFonts w:ascii="仿宋_GB2312" w:eastAsia="仿宋_GB2312" w:hint="eastAsia"/>
          <w:sz w:val="32"/>
          <w:szCs w:val="32"/>
        </w:rPr>
        <w:t>之间。</w:t>
      </w:r>
      <w:r w:rsidR="00303078" w:rsidRPr="001C2262">
        <w:rPr>
          <w:rFonts w:ascii="仿宋_GB2312" w:eastAsia="仿宋_GB2312" w:hint="eastAsia"/>
          <w:b/>
          <w:sz w:val="32"/>
          <w:szCs w:val="32"/>
        </w:rPr>
        <w:t>表5结果说明，在其他变量不变的条件下，住宅商品房平均销售价格上涨1%，导致社会消费品零售总额</w:t>
      </w:r>
      <w:r>
        <w:rPr>
          <w:rFonts w:ascii="仿宋_GB2312" w:eastAsia="仿宋_GB2312" w:hint="eastAsia"/>
          <w:b/>
          <w:sz w:val="32"/>
          <w:szCs w:val="32"/>
        </w:rPr>
        <w:t>上升</w:t>
      </w:r>
      <w:r w:rsidR="00303078" w:rsidRPr="001C2262">
        <w:rPr>
          <w:rFonts w:ascii="仿宋_GB2312" w:eastAsia="仿宋_GB2312" w:hint="eastAsia"/>
          <w:b/>
          <w:sz w:val="32"/>
          <w:szCs w:val="32"/>
        </w:rPr>
        <w:t>0.</w:t>
      </w:r>
      <w:r>
        <w:rPr>
          <w:rFonts w:ascii="仿宋_GB2312" w:eastAsia="仿宋_GB2312"/>
          <w:b/>
          <w:sz w:val="32"/>
          <w:szCs w:val="32"/>
        </w:rPr>
        <w:t>08</w:t>
      </w:r>
      <w:r w:rsidR="00303078" w:rsidRPr="001C2262">
        <w:rPr>
          <w:rFonts w:ascii="仿宋_GB2312" w:eastAsia="仿宋_GB2312" w:hint="eastAsia"/>
          <w:b/>
          <w:sz w:val="32"/>
          <w:szCs w:val="32"/>
        </w:rPr>
        <w:t>个百分点</w:t>
      </w:r>
      <w:r w:rsidR="00936200">
        <w:rPr>
          <w:rStyle w:val="af0"/>
          <w:rFonts w:ascii="仿宋_GB2312" w:eastAsia="仿宋_GB2312"/>
          <w:b/>
          <w:sz w:val="32"/>
          <w:szCs w:val="32"/>
        </w:rPr>
        <w:footnoteReference w:id="2"/>
      </w:r>
      <w:r w:rsidR="00303078" w:rsidRPr="001C2262">
        <w:rPr>
          <w:rFonts w:ascii="仿宋_GB2312" w:eastAsia="仿宋_GB2312" w:hint="eastAsia"/>
          <w:b/>
          <w:sz w:val="32"/>
          <w:szCs w:val="32"/>
        </w:rPr>
        <w:t>。</w:t>
      </w:r>
      <w:r w:rsidR="009D3DD4" w:rsidRPr="009D3DD4">
        <w:rPr>
          <w:rFonts w:ascii="仿宋_GB2312" w:eastAsia="仿宋_GB2312" w:hint="eastAsia"/>
          <w:sz w:val="32"/>
          <w:szCs w:val="32"/>
        </w:rPr>
        <w:t>201</w:t>
      </w:r>
      <w:r w:rsidR="005E2D97">
        <w:rPr>
          <w:rFonts w:ascii="仿宋_GB2312" w:eastAsia="仿宋_GB2312"/>
          <w:sz w:val="32"/>
          <w:szCs w:val="32"/>
        </w:rPr>
        <w:t>7</w:t>
      </w:r>
      <w:r w:rsidR="009D3DD4" w:rsidRPr="009D3DD4">
        <w:rPr>
          <w:rFonts w:ascii="仿宋_GB2312" w:eastAsia="仿宋_GB2312" w:hint="eastAsia"/>
          <w:sz w:val="32"/>
          <w:szCs w:val="32"/>
        </w:rPr>
        <w:t>年住宅商品房平均销售价格涨幅为</w:t>
      </w:r>
      <w:r w:rsidR="005E2D97">
        <w:rPr>
          <w:rFonts w:ascii="仿宋_GB2312" w:eastAsia="仿宋_GB2312"/>
          <w:sz w:val="32"/>
          <w:szCs w:val="32"/>
        </w:rPr>
        <w:t>1.83</w:t>
      </w:r>
      <w:r w:rsidR="009D3DD4" w:rsidRPr="009D3DD4">
        <w:rPr>
          <w:rFonts w:ascii="仿宋_GB2312" w:eastAsia="仿宋_GB2312" w:hint="eastAsia"/>
          <w:sz w:val="32"/>
          <w:szCs w:val="32"/>
        </w:rPr>
        <w:t>%，简单计算，导致</w:t>
      </w:r>
      <w:r w:rsidR="009D3DD4">
        <w:rPr>
          <w:rFonts w:ascii="仿宋_GB2312" w:eastAsia="仿宋_GB2312" w:hint="eastAsia"/>
          <w:sz w:val="32"/>
          <w:szCs w:val="32"/>
        </w:rPr>
        <w:t>社会消费品零售总额</w:t>
      </w:r>
      <w:r w:rsidR="009D3DD4" w:rsidRPr="009D3DD4">
        <w:rPr>
          <w:rFonts w:ascii="仿宋_GB2312" w:eastAsia="仿宋_GB2312" w:hint="eastAsia"/>
          <w:sz w:val="32"/>
          <w:szCs w:val="32"/>
        </w:rPr>
        <w:t>增速</w:t>
      </w:r>
      <w:r>
        <w:rPr>
          <w:rFonts w:ascii="仿宋_GB2312" w:eastAsia="仿宋_GB2312" w:hint="eastAsia"/>
          <w:sz w:val="32"/>
          <w:szCs w:val="32"/>
        </w:rPr>
        <w:t>上升</w:t>
      </w:r>
      <w:r w:rsidR="005E2D97">
        <w:rPr>
          <w:rFonts w:ascii="仿宋_GB2312" w:eastAsia="仿宋_GB2312"/>
          <w:sz w:val="32"/>
          <w:szCs w:val="32"/>
        </w:rPr>
        <w:t>0.</w:t>
      </w:r>
      <w:r>
        <w:rPr>
          <w:rFonts w:ascii="仿宋_GB2312" w:eastAsia="仿宋_GB2312"/>
          <w:sz w:val="32"/>
          <w:szCs w:val="32"/>
        </w:rPr>
        <w:t>15</w:t>
      </w:r>
      <w:r w:rsidR="009D3DD4" w:rsidRPr="009D3DD4">
        <w:rPr>
          <w:rFonts w:ascii="仿宋_GB2312" w:eastAsia="仿宋_GB2312" w:hint="eastAsia"/>
          <w:sz w:val="32"/>
          <w:szCs w:val="32"/>
        </w:rPr>
        <w:t>个百分点。</w:t>
      </w:r>
    </w:p>
    <w:p w:rsidR="00303078" w:rsidRPr="00B478E6" w:rsidRDefault="00414F22" w:rsidP="00B478E6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414F22">
        <w:rPr>
          <w:rFonts w:ascii="仿宋_GB2312" w:eastAsia="仿宋_GB2312" w:hint="eastAsia"/>
          <w:sz w:val="32"/>
          <w:szCs w:val="32"/>
        </w:rPr>
        <w:lastRenderedPageBreak/>
        <w:t>从弹性系数来看，房价上涨对社消的影响</w:t>
      </w:r>
      <w:r w:rsidR="00613676">
        <w:rPr>
          <w:rFonts w:ascii="仿宋_GB2312" w:eastAsia="仿宋_GB2312" w:hint="eastAsia"/>
          <w:sz w:val="32"/>
          <w:szCs w:val="32"/>
        </w:rPr>
        <w:t>为正，但</w:t>
      </w:r>
      <w:r w:rsidRPr="00414F22">
        <w:rPr>
          <w:rFonts w:ascii="仿宋_GB2312" w:eastAsia="仿宋_GB2312" w:hint="eastAsia"/>
          <w:sz w:val="32"/>
          <w:szCs w:val="32"/>
        </w:rPr>
        <w:t>对城镇居民消费支出的影响</w:t>
      </w:r>
      <w:r w:rsidR="00613676">
        <w:rPr>
          <w:rFonts w:ascii="仿宋_GB2312" w:eastAsia="仿宋_GB2312" w:hint="eastAsia"/>
          <w:sz w:val="32"/>
          <w:szCs w:val="32"/>
        </w:rPr>
        <w:t>为负</w:t>
      </w:r>
      <w:r w:rsidRPr="00414F22">
        <w:rPr>
          <w:rFonts w:ascii="仿宋_GB2312" w:eastAsia="仿宋_GB2312" w:hint="eastAsia"/>
          <w:sz w:val="32"/>
          <w:szCs w:val="32"/>
        </w:rPr>
        <w:t>，</w:t>
      </w:r>
      <w:r w:rsidR="00613676">
        <w:rPr>
          <w:rFonts w:ascii="仿宋_GB2312" w:eastAsia="仿宋_GB2312" w:hint="eastAsia"/>
          <w:sz w:val="32"/>
          <w:szCs w:val="32"/>
        </w:rPr>
        <w:t>可能是由于房价上涨</w:t>
      </w:r>
      <w:r>
        <w:rPr>
          <w:rFonts w:ascii="仿宋_GB2312" w:eastAsia="仿宋_GB2312" w:hint="eastAsia"/>
          <w:sz w:val="32"/>
          <w:szCs w:val="32"/>
        </w:rPr>
        <w:t>对商品和餐饮以外其他消费的影响</w:t>
      </w:r>
      <w:r w:rsidR="00613676">
        <w:rPr>
          <w:rFonts w:ascii="仿宋_GB2312" w:eastAsia="仿宋_GB2312" w:hint="eastAsia"/>
          <w:sz w:val="32"/>
          <w:szCs w:val="32"/>
        </w:rPr>
        <w:t>的财富效应强于挤出效应</w:t>
      </w:r>
      <w:r>
        <w:rPr>
          <w:rFonts w:ascii="仿宋_GB2312" w:eastAsia="仿宋_GB2312" w:hint="eastAsia"/>
          <w:sz w:val="32"/>
          <w:szCs w:val="32"/>
        </w:rPr>
        <w:t>。</w:t>
      </w:r>
      <w:bookmarkEnd w:id="22"/>
      <w:bookmarkEnd w:id="23"/>
    </w:p>
    <w:p w:rsidR="00B77E96" w:rsidRPr="00845B7E" w:rsidRDefault="0021751E" w:rsidP="00FB3E0C">
      <w:pPr>
        <w:spacing w:beforeLines="100" w:before="312" w:afterLines="50" w:after="156"/>
        <w:ind w:firstLineChars="200" w:firstLine="643"/>
        <w:outlineLvl w:val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二</w:t>
      </w:r>
      <w:r w:rsidR="00B77E96" w:rsidRPr="00845B7E">
        <w:rPr>
          <w:rFonts w:ascii="黑体" w:eastAsia="黑体" w:hAnsi="黑体" w:hint="eastAsia"/>
          <w:b/>
          <w:sz w:val="32"/>
          <w:szCs w:val="32"/>
        </w:rPr>
        <w:t>、</w:t>
      </w:r>
      <w:r w:rsidR="00365B08">
        <w:rPr>
          <w:rFonts w:ascii="黑体" w:eastAsia="黑体" w:hAnsi="黑体" w:hint="eastAsia"/>
          <w:b/>
          <w:sz w:val="32"/>
          <w:szCs w:val="32"/>
        </w:rPr>
        <w:t>住宅价格</w:t>
      </w:r>
      <w:r w:rsidR="00365B08">
        <w:rPr>
          <w:rFonts w:ascii="黑体" w:eastAsia="黑体" w:hAnsi="黑体"/>
          <w:b/>
          <w:sz w:val="32"/>
          <w:szCs w:val="32"/>
        </w:rPr>
        <w:t>波动</w:t>
      </w:r>
      <w:r w:rsidR="00365B08">
        <w:rPr>
          <w:rFonts w:ascii="黑体" w:eastAsia="黑体" w:hAnsi="黑体" w:hint="eastAsia"/>
          <w:b/>
          <w:sz w:val="32"/>
          <w:szCs w:val="32"/>
        </w:rPr>
        <w:t>对</w:t>
      </w:r>
      <w:bookmarkStart w:id="24" w:name="_Hlk523321548"/>
      <w:r>
        <w:rPr>
          <w:rFonts w:ascii="黑体" w:eastAsia="黑体" w:hAnsi="黑体" w:hint="eastAsia"/>
          <w:b/>
          <w:sz w:val="32"/>
          <w:szCs w:val="32"/>
        </w:rPr>
        <w:t>房地产</w:t>
      </w:r>
      <w:r w:rsidR="008C4A9F">
        <w:rPr>
          <w:rFonts w:ascii="黑体" w:eastAsia="黑体" w:hAnsi="黑体" w:hint="eastAsia"/>
          <w:b/>
          <w:sz w:val="32"/>
          <w:szCs w:val="32"/>
        </w:rPr>
        <w:t>下游</w:t>
      </w:r>
      <w:r>
        <w:rPr>
          <w:rFonts w:ascii="黑体" w:eastAsia="黑体" w:hAnsi="黑体" w:hint="eastAsia"/>
          <w:b/>
          <w:sz w:val="32"/>
          <w:szCs w:val="32"/>
        </w:rPr>
        <w:t>行业销售</w:t>
      </w:r>
      <w:bookmarkEnd w:id="24"/>
      <w:r w:rsidR="00365B08">
        <w:rPr>
          <w:rFonts w:ascii="黑体" w:eastAsia="黑体" w:hAnsi="黑体" w:hint="eastAsia"/>
          <w:b/>
          <w:sz w:val="32"/>
          <w:szCs w:val="32"/>
        </w:rPr>
        <w:t>的影响</w:t>
      </w:r>
    </w:p>
    <w:p w:rsidR="002C2FFB" w:rsidRDefault="000A28DD" w:rsidP="000A28D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0A28DD">
        <w:rPr>
          <w:rFonts w:ascii="仿宋_GB2312" w:eastAsia="仿宋_GB2312" w:hint="eastAsia"/>
          <w:sz w:val="32"/>
          <w:szCs w:val="32"/>
        </w:rPr>
        <w:t>房地产行业是国民经济的重要支柱产业，对于拉动家电家居用品</w:t>
      </w:r>
      <w:r>
        <w:rPr>
          <w:rFonts w:ascii="仿宋_GB2312" w:eastAsia="仿宋_GB2312" w:hint="eastAsia"/>
          <w:sz w:val="32"/>
          <w:szCs w:val="32"/>
        </w:rPr>
        <w:t>、建材</w:t>
      </w:r>
      <w:r w:rsidRPr="000A28DD">
        <w:rPr>
          <w:rFonts w:ascii="仿宋_GB2312" w:eastAsia="仿宋_GB2312" w:hint="eastAsia"/>
          <w:sz w:val="32"/>
          <w:szCs w:val="32"/>
        </w:rPr>
        <w:t>等产业的发展举足轻重</w:t>
      </w:r>
      <w:r>
        <w:rPr>
          <w:rFonts w:ascii="仿宋_GB2312" w:eastAsia="仿宋_GB2312" w:hint="eastAsia"/>
          <w:sz w:val="32"/>
          <w:szCs w:val="32"/>
        </w:rPr>
        <w:t>，这些房地产直接下游产业的销量</w:t>
      </w:r>
      <w:r w:rsidR="008C4A9F">
        <w:rPr>
          <w:rFonts w:ascii="仿宋_GB2312" w:eastAsia="仿宋_GB2312" w:hint="eastAsia"/>
          <w:sz w:val="32"/>
          <w:szCs w:val="32"/>
        </w:rPr>
        <w:t>会随着楼市的景气程度而变化</w:t>
      </w:r>
      <w:r w:rsidRPr="000A28DD">
        <w:rPr>
          <w:rFonts w:ascii="仿宋_GB2312" w:eastAsia="仿宋_GB2312" w:hint="eastAsia"/>
          <w:sz w:val="32"/>
          <w:szCs w:val="32"/>
        </w:rPr>
        <w:t>。</w:t>
      </w:r>
      <w:r w:rsidR="001F3EDE">
        <w:rPr>
          <w:rFonts w:ascii="仿宋_GB2312" w:eastAsia="仿宋_GB2312" w:hint="eastAsia"/>
          <w:sz w:val="32"/>
          <w:szCs w:val="32"/>
        </w:rPr>
        <w:t>本部分以国家统计局公布的限额以上单位商品</w:t>
      </w:r>
      <w:proofErr w:type="gramStart"/>
      <w:r w:rsidR="001F3EDE">
        <w:rPr>
          <w:rFonts w:ascii="仿宋_GB2312" w:eastAsia="仿宋_GB2312" w:hint="eastAsia"/>
          <w:sz w:val="32"/>
          <w:szCs w:val="32"/>
        </w:rPr>
        <w:t>零售类值数据</w:t>
      </w:r>
      <w:proofErr w:type="gramEnd"/>
      <w:r w:rsidR="001F3EDE">
        <w:rPr>
          <w:rFonts w:ascii="仿宋_GB2312" w:eastAsia="仿宋_GB2312" w:hint="eastAsia"/>
          <w:sz w:val="32"/>
          <w:szCs w:val="32"/>
        </w:rPr>
        <w:t>为基础，采用</w:t>
      </w:r>
      <w:r w:rsidR="00A83D9F">
        <w:rPr>
          <w:rFonts w:ascii="仿宋_GB2312" w:eastAsia="仿宋_GB2312" w:hint="eastAsia"/>
          <w:sz w:val="32"/>
          <w:szCs w:val="32"/>
        </w:rPr>
        <w:t>回归分析</w:t>
      </w:r>
      <w:r w:rsidR="001F3EDE">
        <w:rPr>
          <w:rFonts w:ascii="仿宋_GB2312" w:eastAsia="仿宋_GB2312" w:hint="eastAsia"/>
          <w:sz w:val="32"/>
          <w:szCs w:val="32"/>
        </w:rPr>
        <w:t>的方法，分析房价上涨</w:t>
      </w:r>
      <w:r w:rsidR="00B478E6">
        <w:rPr>
          <w:rFonts w:ascii="仿宋_GB2312" w:eastAsia="仿宋_GB2312" w:hint="eastAsia"/>
          <w:sz w:val="32"/>
          <w:szCs w:val="32"/>
        </w:rPr>
        <w:t>对</w:t>
      </w:r>
      <w:r w:rsidR="00B478E6" w:rsidRPr="00B478E6">
        <w:rPr>
          <w:rFonts w:ascii="仿宋_GB2312" w:eastAsia="仿宋_GB2312" w:hint="eastAsia"/>
          <w:sz w:val="32"/>
          <w:szCs w:val="32"/>
        </w:rPr>
        <w:t>房地产下游行业销售</w:t>
      </w:r>
      <w:r w:rsidR="001F3EDE" w:rsidRPr="001F3EDE">
        <w:rPr>
          <w:rFonts w:ascii="仿宋_GB2312" w:eastAsia="仿宋_GB2312" w:hint="eastAsia"/>
          <w:sz w:val="32"/>
          <w:szCs w:val="32"/>
        </w:rPr>
        <w:t>的影响</w:t>
      </w:r>
      <w:r w:rsidR="001F3EDE">
        <w:rPr>
          <w:rFonts w:ascii="仿宋_GB2312" w:eastAsia="仿宋_GB2312" w:hint="eastAsia"/>
          <w:sz w:val="32"/>
          <w:szCs w:val="32"/>
        </w:rPr>
        <w:t>。</w:t>
      </w:r>
    </w:p>
    <w:p w:rsidR="00C220CC" w:rsidRDefault="00C220CC" w:rsidP="00B478E6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C220CC">
        <w:rPr>
          <w:rFonts w:ascii="仿宋_GB2312" w:eastAsia="仿宋_GB2312" w:hint="eastAsia"/>
          <w:sz w:val="32"/>
          <w:szCs w:val="32"/>
        </w:rPr>
        <w:t>因变量</w:t>
      </w:r>
      <w:r>
        <w:rPr>
          <w:rFonts w:ascii="仿宋_GB2312" w:eastAsia="仿宋_GB2312" w:hint="eastAsia"/>
          <w:sz w:val="32"/>
          <w:szCs w:val="32"/>
        </w:rPr>
        <w:t>分别</w:t>
      </w:r>
      <w:r w:rsidRPr="00C220CC">
        <w:rPr>
          <w:rFonts w:ascii="仿宋_GB2312" w:eastAsia="仿宋_GB2312" w:hint="eastAsia"/>
          <w:sz w:val="32"/>
          <w:szCs w:val="32"/>
        </w:rPr>
        <w:t>选用</w:t>
      </w:r>
      <w:r w:rsidR="008C4A9F">
        <w:rPr>
          <w:rFonts w:ascii="仿宋_GB2312" w:eastAsia="仿宋_GB2312" w:hint="eastAsia"/>
          <w:sz w:val="32"/>
          <w:szCs w:val="32"/>
        </w:rPr>
        <w:t>国家统计局公布的月度数据中</w:t>
      </w:r>
      <w:r w:rsidRPr="00C220CC">
        <w:rPr>
          <w:rFonts w:ascii="仿宋_GB2312" w:eastAsia="仿宋_GB2312" w:hint="eastAsia"/>
          <w:sz w:val="32"/>
          <w:szCs w:val="32"/>
        </w:rPr>
        <w:t>2</w:t>
      </w:r>
      <w:r w:rsidRPr="00C220CC">
        <w:rPr>
          <w:rFonts w:ascii="仿宋_GB2312" w:eastAsia="仿宋_GB2312"/>
          <w:sz w:val="32"/>
          <w:szCs w:val="32"/>
        </w:rPr>
        <w:t>001</w:t>
      </w:r>
      <w:r w:rsidRPr="00C220CC">
        <w:rPr>
          <w:rFonts w:ascii="仿宋_GB2312" w:eastAsia="仿宋_GB2312"/>
          <w:sz w:val="32"/>
          <w:szCs w:val="32"/>
        </w:rPr>
        <w:t>—</w:t>
      </w:r>
      <w:r w:rsidRPr="00C220CC">
        <w:rPr>
          <w:rFonts w:ascii="仿宋_GB2312" w:eastAsia="仿宋_GB2312"/>
          <w:sz w:val="32"/>
          <w:szCs w:val="32"/>
        </w:rPr>
        <w:t>2017</w:t>
      </w:r>
      <w:r w:rsidRPr="00C220CC">
        <w:rPr>
          <w:rFonts w:ascii="仿宋_GB2312" w:eastAsia="仿宋_GB2312" w:hint="eastAsia"/>
          <w:sz w:val="32"/>
          <w:szCs w:val="32"/>
        </w:rPr>
        <w:t>年限额以上单位家用电器和音像器材类商品</w:t>
      </w:r>
      <w:proofErr w:type="gramStart"/>
      <w:r w:rsidRPr="00C220CC">
        <w:rPr>
          <w:rFonts w:ascii="仿宋_GB2312" w:eastAsia="仿宋_GB2312" w:hint="eastAsia"/>
          <w:sz w:val="32"/>
          <w:szCs w:val="32"/>
        </w:rPr>
        <w:t>零售类值</w:t>
      </w:r>
      <w:proofErr w:type="gramEnd"/>
      <w:r w:rsidR="00414082">
        <w:rPr>
          <w:rFonts w:ascii="仿宋_GB2312" w:eastAsia="仿宋_GB2312" w:hint="eastAsia"/>
          <w:sz w:val="32"/>
          <w:szCs w:val="32"/>
        </w:rPr>
        <w:t>(</w:t>
      </w:r>
      <w:proofErr w:type="spellStart"/>
      <w:r w:rsidR="00414082">
        <w:rPr>
          <w:rFonts w:ascii="仿宋_GB2312" w:eastAsia="仿宋_GB2312"/>
          <w:sz w:val="32"/>
          <w:szCs w:val="32"/>
        </w:rPr>
        <w:t>Aplliance</w:t>
      </w:r>
      <w:proofErr w:type="spellEnd"/>
      <w:r w:rsidR="00414082">
        <w:rPr>
          <w:rFonts w:ascii="仿宋_GB2312" w:eastAsia="仿宋_GB2312"/>
          <w:sz w:val="32"/>
          <w:szCs w:val="32"/>
        </w:rPr>
        <w:t>)</w:t>
      </w:r>
      <w:r>
        <w:rPr>
          <w:rFonts w:ascii="仿宋_GB2312" w:eastAsia="仿宋_GB2312" w:hint="eastAsia"/>
          <w:sz w:val="32"/>
          <w:szCs w:val="32"/>
        </w:rPr>
        <w:t>、</w:t>
      </w:r>
      <w:r w:rsidRPr="006B4119">
        <w:rPr>
          <w:rFonts w:ascii="仿宋_GB2312" w:eastAsia="仿宋_GB2312" w:hint="eastAsia"/>
          <w:sz w:val="32"/>
          <w:szCs w:val="32"/>
        </w:rPr>
        <w:t>家具类商品</w:t>
      </w:r>
      <w:proofErr w:type="gramStart"/>
      <w:r w:rsidRPr="006B4119">
        <w:rPr>
          <w:rFonts w:ascii="仿宋_GB2312" w:eastAsia="仿宋_GB2312" w:hint="eastAsia"/>
          <w:sz w:val="32"/>
          <w:szCs w:val="32"/>
        </w:rPr>
        <w:t>零售类</w:t>
      </w:r>
      <w:proofErr w:type="gramEnd"/>
      <w:r w:rsidRPr="006B4119">
        <w:rPr>
          <w:rFonts w:ascii="仿宋_GB2312" w:eastAsia="仿宋_GB2312" w:hint="eastAsia"/>
          <w:sz w:val="32"/>
          <w:szCs w:val="32"/>
        </w:rPr>
        <w:t>值</w:t>
      </w:r>
      <w:r w:rsidR="00D830E1">
        <w:rPr>
          <w:rFonts w:ascii="仿宋_GB2312" w:eastAsia="仿宋_GB2312" w:hint="eastAsia"/>
          <w:sz w:val="32"/>
          <w:szCs w:val="32"/>
        </w:rPr>
        <w:t>(</w:t>
      </w:r>
      <w:r w:rsidR="00D830E1">
        <w:rPr>
          <w:rFonts w:ascii="仿宋_GB2312" w:eastAsia="仿宋_GB2312"/>
          <w:sz w:val="32"/>
          <w:szCs w:val="32"/>
        </w:rPr>
        <w:t>Furniture)</w:t>
      </w:r>
      <w:r>
        <w:rPr>
          <w:rFonts w:ascii="仿宋_GB2312" w:eastAsia="仿宋_GB2312" w:hint="eastAsia"/>
          <w:sz w:val="32"/>
          <w:szCs w:val="32"/>
        </w:rPr>
        <w:t>、</w:t>
      </w:r>
      <w:r w:rsidRPr="00212DDF">
        <w:rPr>
          <w:rFonts w:ascii="仿宋_GB2312" w:eastAsia="仿宋_GB2312" w:hint="eastAsia"/>
          <w:sz w:val="32"/>
          <w:szCs w:val="32"/>
        </w:rPr>
        <w:t>建筑及装潢材料类商品</w:t>
      </w:r>
      <w:proofErr w:type="gramStart"/>
      <w:r w:rsidRPr="00212DDF">
        <w:rPr>
          <w:rFonts w:ascii="仿宋_GB2312" w:eastAsia="仿宋_GB2312" w:hint="eastAsia"/>
          <w:sz w:val="32"/>
          <w:szCs w:val="32"/>
        </w:rPr>
        <w:t>零售类</w:t>
      </w:r>
      <w:proofErr w:type="gramEnd"/>
      <w:r w:rsidRPr="00212DDF">
        <w:rPr>
          <w:rFonts w:ascii="仿宋_GB2312" w:eastAsia="仿宋_GB2312" w:hint="eastAsia"/>
          <w:sz w:val="32"/>
          <w:szCs w:val="32"/>
        </w:rPr>
        <w:t>值</w:t>
      </w:r>
      <w:r w:rsidR="00D830E1">
        <w:rPr>
          <w:rFonts w:ascii="仿宋_GB2312" w:eastAsia="仿宋_GB2312" w:hint="eastAsia"/>
          <w:sz w:val="32"/>
          <w:szCs w:val="32"/>
        </w:rPr>
        <w:t>(</w:t>
      </w:r>
      <w:r w:rsidR="00D830E1">
        <w:rPr>
          <w:rFonts w:ascii="仿宋_GB2312" w:eastAsia="仿宋_GB2312"/>
          <w:sz w:val="32"/>
          <w:szCs w:val="32"/>
        </w:rPr>
        <w:t>Decoration)</w:t>
      </w:r>
      <w:r w:rsidRPr="00C220CC">
        <w:rPr>
          <w:rFonts w:ascii="仿宋_GB2312" w:eastAsia="仿宋_GB2312" w:hint="eastAsia"/>
          <w:sz w:val="32"/>
          <w:szCs w:val="32"/>
        </w:rPr>
        <w:t>的年末累计值</w:t>
      </w:r>
      <w:r w:rsidR="00B478E6">
        <w:rPr>
          <w:rFonts w:ascii="仿宋_GB2312" w:eastAsia="仿宋_GB2312" w:hint="eastAsia"/>
          <w:sz w:val="32"/>
          <w:szCs w:val="32"/>
        </w:rPr>
        <w:t xml:space="preserve">。 </w:t>
      </w:r>
      <w:r w:rsidR="00B478E6"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自变量选用</w:t>
      </w:r>
      <w:r w:rsidRPr="00C220CC">
        <w:rPr>
          <w:rFonts w:ascii="仿宋_GB2312" w:eastAsia="仿宋_GB2312" w:hint="eastAsia"/>
          <w:sz w:val="32"/>
          <w:szCs w:val="32"/>
        </w:rPr>
        <w:t>住宅商品房平均销售价格</w:t>
      </w:r>
      <w:r w:rsidR="00D830E1">
        <w:rPr>
          <w:rFonts w:ascii="仿宋_GB2312" w:eastAsia="仿宋_GB2312" w:hint="eastAsia"/>
          <w:sz w:val="32"/>
          <w:szCs w:val="32"/>
        </w:rPr>
        <w:t>(</w:t>
      </w:r>
      <w:proofErr w:type="spellStart"/>
      <w:r w:rsidR="00D830E1">
        <w:rPr>
          <w:rFonts w:ascii="仿宋_GB2312" w:eastAsia="仿宋_GB2312"/>
          <w:sz w:val="32"/>
          <w:szCs w:val="32"/>
        </w:rPr>
        <w:t>HousePrice</w:t>
      </w:r>
      <w:proofErr w:type="spellEnd"/>
      <w:r w:rsidR="00D830E1">
        <w:rPr>
          <w:rFonts w:ascii="仿宋_GB2312" w:eastAsia="仿宋_GB2312"/>
          <w:sz w:val="32"/>
          <w:szCs w:val="32"/>
        </w:rPr>
        <w:t>)</w:t>
      </w:r>
      <w:r>
        <w:rPr>
          <w:rFonts w:ascii="仿宋_GB2312" w:eastAsia="仿宋_GB2312" w:hint="eastAsia"/>
          <w:sz w:val="32"/>
          <w:szCs w:val="32"/>
        </w:rPr>
        <w:t>、全国居民收入水平</w:t>
      </w:r>
      <w:r w:rsidR="00D830E1">
        <w:rPr>
          <w:rFonts w:ascii="仿宋_GB2312" w:eastAsia="仿宋_GB2312" w:hint="eastAsia"/>
          <w:sz w:val="32"/>
          <w:szCs w:val="32"/>
        </w:rPr>
        <w:t>(</w:t>
      </w:r>
      <w:r w:rsidR="00D830E1">
        <w:rPr>
          <w:rFonts w:ascii="仿宋_GB2312" w:eastAsia="仿宋_GB2312"/>
          <w:sz w:val="32"/>
          <w:szCs w:val="32"/>
        </w:rPr>
        <w:t>Income)</w:t>
      </w:r>
      <w:r>
        <w:rPr>
          <w:rFonts w:ascii="仿宋_GB2312" w:eastAsia="仿宋_GB2312" w:hint="eastAsia"/>
          <w:sz w:val="32"/>
          <w:szCs w:val="32"/>
        </w:rPr>
        <w:t>，并</w:t>
      </w:r>
      <w:r w:rsidRPr="00C220CC">
        <w:rPr>
          <w:rFonts w:ascii="仿宋_GB2312" w:eastAsia="仿宋_GB2312" w:hint="eastAsia"/>
          <w:sz w:val="32"/>
          <w:szCs w:val="32"/>
        </w:rPr>
        <w:t>使用基期2001=100的</w:t>
      </w:r>
      <w:r w:rsidR="008C4A9F">
        <w:rPr>
          <w:rFonts w:ascii="仿宋_GB2312" w:eastAsia="仿宋_GB2312" w:hint="eastAsia"/>
          <w:sz w:val="32"/>
          <w:szCs w:val="32"/>
        </w:rPr>
        <w:t>居民</w:t>
      </w:r>
      <w:r w:rsidRPr="00C220CC">
        <w:rPr>
          <w:rFonts w:ascii="仿宋_GB2312" w:eastAsia="仿宋_GB2312" w:hint="eastAsia"/>
          <w:sz w:val="32"/>
          <w:szCs w:val="32"/>
        </w:rPr>
        <w:t>消费价格指数</w:t>
      </w:r>
      <w:r>
        <w:rPr>
          <w:rFonts w:ascii="仿宋_GB2312" w:eastAsia="仿宋_GB2312" w:hint="eastAsia"/>
          <w:sz w:val="32"/>
          <w:szCs w:val="32"/>
        </w:rPr>
        <w:t>对上述5个变量</w:t>
      </w:r>
      <w:r w:rsidRPr="00C220CC">
        <w:rPr>
          <w:rFonts w:ascii="仿宋_GB2312" w:eastAsia="仿宋_GB2312" w:hint="eastAsia"/>
          <w:sz w:val="32"/>
          <w:szCs w:val="32"/>
        </w:rPr>
        <w:t>进行修正，以消除价格影响</w:t>
      </w:r>
      <w:r>
        <w:rPr>
          <w:rFonts w:ascii="仿宋_GB2312" w:eastAsia="仿宋_GB2312" w:hint="eastAsia"/>
          <w:sz w:val="32"/>
          <w:szCs w:val="32"/>
        </w:rPr>
        <w:t>。</w:t>
      </w:r>
      <w:r w:rsidRPr="00C220CC">
        <w:rPr>
          <w:rFonts w:ascii="仿宋_GB2312" w:eastAsia="仿宋_GB2312" w:hint="eastAsia"/>
          <w:sz w:val="32"/>
          <w:szCs w:val="32"/>
        </w:rPr>
        <w:t>由于消费具有棘轮效应，</w:t>
      </w:r>
      <w:r>
        <w:rPr>
          <w:rFonts w:ascii="仿宋_GB2312" w:eastAsia="仿宋_GB2312" w:hint="eastAsia"/>
          <w:sz w:val="32"/>
          <w:szCs w:val="32"/>
        </w:rPr>
        <w:t>在上述回归方程的基础上</w:t>
      </w:r>
      <w:r w:rsidRPr="00C220CC">
        <w:rPr>
          <w:rFonts w:ascii="仿宋_GB2312" w:eastAsia="仿宋_GB2312" w:hint="eastAsia"/>
          <w:sz w:val="32"/>
          <w:szCs w:val="32"/>
        </w:rPr>
        <w:t>引入因变量的一期滞后项作为</w:t>
      </w:r>
      <w:r>
        <w:rPr>
          <w:rFonts w:ascii="仿宋_GB2312" w:eastAsia="仿宋_GB2312" w:hint="eastAsia"/>
          <w:sz w:val="32"/>
          <w:szCs w:val="32"/>
        </w:rPr>
        <w:t>自</w:t>
      </w:r>
      <w:r w:rsidRPr="00C220CC">
        <w:rPr>
          <w:rFonts w:ascii="仿宋_GB2312" w:eastAsia="仿宋_GB2312" w:hint="eastAsia"/>
          <w:sz w:val="32"/>
          <w:szCs w:val="32"/>
        </w:rPr>
        <w:t>变量</w:t>
      </w:r>
      <w:r>
        <w:rPr>
          <w:rFonts w:ascii="仿宋_GB2312" w:eastAsia="仿宋_GB2312" w:hint="eastAsia"/>
          <w:sz w:val="32"/>
          <w:szCs w:val="32"/>
        </w:rPr>
        <w:t>。另外，</w:t>
      </w:r>
      <w:r w:rsidRPr="00C220CC">
        <w:rPr>
          <w:rFonts w:ascii="仿宋_GB2312" w:eastAsia="仿宋_GB2312" w:hint="eastAsia"/>
          <w:sz w:val="32"/>
          <w:szCs w:val="32"/>
        </w:rPr>
        <w:t>自变量与因变量均</w:t>
      </w:r>
      <w:proofErr w:type="gramStart"/>
      <w:r w:rsidRPr="00C220CC">
        <w:rPr>
          <w:rFonts w:ascii="仿宋_GB2312" w:eastAsia="仿宋_GB2312" w:hint="eastAsia"/>
          <w:sz w:val="32"/>
          <w:szCs w:val="32"/>
        </w:rPr>
        <w:t>做对</w:t>
      </w:r>
      <w:proofErr w:type="gramEnd"/>
      <w:r w:rsidRPr="00C220CC">
        <w:rPr>
          <w:rFonts w:ascii="仿宋_GB2312" w:eastAsia="仿宋_GB2312" w:hint="eastAsia"/>
          <w:sz w:val="32"/>
          <w:szCs w:val="32"/>
        </w:rPr>
        <w:t>数处理，以降低数据波动性，消除异方差的影响。</w:t>
      </w:r>
    </w:p>
    <w:p w:rsidR="002C2FFB" w:rsidRPr="002C2FFB" w:rsidRDefault="002C2FFB" w:rsidP="002C2FFB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558D6">
        <w:rPr>
          <w:rFonts w:ascii="仿宋_GB2312" w:eastAsia="仿宋_GB2312" w:hint="eastAsia"/>
          <w:sz w:val="32"/>
          <w:szCs w:val="32"/>
        </w:rPr>
        <w:t>由于缺失2000年之前的住宅商品房平均销售价格</w:t>
      </w:r>
      <w:r>
        <w:rPr>
          <w:rFonts w:ascii="仿宋_GB2312" w:eastAsia="仿宋_GB2312" w:hint="eastAsia"/>
          <w:sz w:val="32"/>
          <w:szCs w:val="32"/>
        </w:rPr>
        <w:t>和</w:t>
      </w:r>
      <w:r>
        <w:rPr>
          <w:rFonts w:ascii="仿宋_GB2312" w:eastAsia="仿宋_GB2312" w:hint="eastAsia"/>
          <w:sz w:val="32"/>
          <w:szCs w:val="32"/>
        </w:rPr>
        <w:lastRenderedPageBreak/>
        <w:t>2</w:t>
      </w:r>
      <w:r>
        <w:rPr>
          <w:rFonts w:ascii="仿宋_GB2312" w:eastAsia="仿宋_GB2312"/>
          <w:sz w:val="32"/>
          <w:szCs w:val="32"/>
        </w:rPr>
        <w:t>001</w:t>
      </w:r>
      <w:r>
        <w:rPr>
          <w:rFonts w:ascii="仿宋_GB2312" w:eastAsia="仿宋_GB2312" w:hint="eastAsia"/>
          <w:sz w:val="32"/>
          <w:szCs w:val="32"/>
        </w:rPr>
        <w:t>年之前的</w:t>
      </w:r>
      <w:r w:rsidRPr="00C220CC">
        <w:rPr>
          <w:rFonts w:ascii="仿宋_GB2312" w:eastAsia="仿宋_GB2312" w:hint="eastAsia"/>
          <w:sz w:val="32"/>
          <w:szCs w:val="32"/>
        </w:rPr>
        <w:t>限额以上</w:t>
      </w:r>
      <w:r>
        <w:rPr>
          <w:rFonts w:ascii="仿宋_GB2312" w:eastAsia="仿宋_GB2312" w:hint="eastAsia"/>
          <w:sz w:val="32"/>
          <w:szCs w:val="32"/>
        </w:rPr>
        <w:t>商品零售值，因此回归模型样本期间为200</w:t>
      </w: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-201</w:t>
      </w:r>
      <w:r>
        <w:rPr>
          <w:rFonts w:ascii="仿宋_GB2312" w:eastAsia="仿宋_GB2312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年。</w:t>
      </w:r>
    </w:p>
    <w:p w:rsidR="00B77E96" w:rsidRPr="00A7246E" w:rsidRDefault="00A73AD9" w:rsidP="00147DCE">
      <w:pPr>
        <w:spacing w:beforeLines="50" w:before="156" w:afterLines="30" w:after="93" w:line="360" w:lineRule="auto"/>
        <w:ind w:firstLineChars="200" w:firstLine="643"/>
        <w:outlineLvl w:val="1"/>
        <w:rPr>
          <w:rFonts w:ascii="楷体" w:eastAsia="楷体" w:hAnsi="楷体"/>
          <w:b/>
          <w:sz w:val="32"/>
          <w:szCs w:val="32"/>
        </w:rPr>
      </w:pPr>
      <w:r w:rsidRPr="00A7246E">
        <w:rPr>
          <w:rFonts w:ascii="楷体" w:eastAsia="楷体" w:hAnsi="楷体" w:hint="eastAsia"/>
          <w:b/>
          <w:sz w:val="32"/>
          <w:szCs w:val="32"/>
        </w:rPr>
        <w:t>（一）对</w:t>
      </w:r>
      <w:r w:rsidR="004005C9">
        <w:rPr>
          <w:rFonts w:ascii="楷体" w:eastAsia="楷体" w:hAnsi="楷体" w:hint="eastAsia"/>
          <w:b/>
          <w:sz w:val="32"/>
          <w:szCs w:val="32"/>
        </w:rPr>
        <w:t>家电</w:t>
      </w:r>
      <w:r w:rsidR="00343485">
        <w:rPr>
          <w:rFonts w:ascii="楷体" w:eastAsia="楷体" w:hAnsi="楷体" w:hint="eastAsia"/>
          <w:b/>
          <w:sz w:val="32"/>
          <w:szCs w:val="32"/>
        </w:rPr>
        <w:t>类</w:t>
      </w:r>
      <w:r w:rsidRPr="00A7246E">
        <w:rPr>
          <w:rFonts w:ascii="楷体" w:eastAsia="楷体" w:hAnsi="楷体" w:hint="eastAsia"/>
          <w:b/>
          <w:sz w:val="32"/>
          <w:szCs w:val="32"/>
        </w:rPr>
        <w:t>商品消费的影响</w:t>
      </w:r>
    </w:p>
    <w:p w:rsidR="00F30645" w:rsidRPr="00236821" w:rsidRDefault="008E3258" w:rsidP="000D4A77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估计结果见</w:t>
      </w:r>
      <w:r w:rsidR="00F30645">
        <w:rPr>
          <w:rFonts w:ascii="仿宋_GB2312" w:eastAsia="仿宋_GB2312" w:hint="eastAsia"/>
          <w:sz w:val="32"/>
          <w:szCs w:val="32"/>
        </w:rPr>
        <w:t>表6，</w:t>
      </w:r>
      <w:bookmarkStart w:id="25" w:name="OLE_LINK12"/>
      <w:bookmarkStart w:id="26" w:name="OLE_LINK42"/>
      <w:r w:rsidR="00AC2CE3" w:rsidRPr="00AB3431">
        <w:rPr>
          <w:rFonts w:ascii="仿宋_GB2312" w:eastAsia="仿宋_GB2312" w:hint="eastAsia"/>
          <w:b/>
          <w:sz w:val="32"/>
          <w:szCs w:val="32"/>
        </w:rPr>
        <w:t>房价上涨对</w:t>
      </w:r>
      <w:r w:rsidR="00236821">
        <w:rPr>
          <w:rFonts w:ascii="仿宋_GB2312" w:eastAsia="仿宋_GB2312" w:hint="eastAsia"/>
          <w:b/>
          <w:sz w:val="32"/>
          <w:szCs w:val="32"/>
        </w:rPr>
        <w:t>家电</w:t>
      </w:r>
      <w:r w:rsidR="006B4119">
        <w:rPr>
          <w:rFonts w:ascii="仿宋_GB2312" w:eastAsia="仿宋_GB2312" w:hint="eastAsia"/>
          <w:b/>
          <w:sz w:val="32"/>
          <w:szCs w:val="32"/>
        </w:rPr>
        <w:t>类</w:t>
      </w:r>
      <w:r w:rsidRPr="00AB3431">
        <w:rPr>
          <w:rFonts w:ascii="仿宋_GB2312" w:eastAsia="仿宋_GB2312" w:hint="eastAsia"/>
          <w:b/>
          <w:sz w:val="32"/>
          <w:szCs w:val="32"/>
        </w:rPr>
        <w:t>商品消费的影响为</w:t>
      </w:r>
      <w:r w:rsidR="00236821">
        <w:rPr>
          <w:rFonts w:ascii="仿宋_GB2312" w:eastAsia="仿宋_GB2312" w:hint="eastAsia"/>
          <w:b/>
          <w:sz w:val="32"/>
          <w:szCs w:val="32"/>
        </w:rPr>
        <w:t>正</w:t>
      </w:r>
      <w:r w:rsidRPr="00AB3431">
        <w:rPr>
          <w:rFonts w:ascii="仿宋_GB2312" w:eastAsia="仿宋_GB2312" w:hint="eastAsia"/>
          <w:b/>
          <w:sz w:val="32"/>
          <w:szCs w:val="32"/>
        </w:rPr>
        <w:t>，弹性系数为</w:t>
      </w:r>
      <w:bookmarkEnd w:id="25"/>
      <w:bookmarkEnd w:id="26"/>
      <w:r w:rsidR="006B4119">
        <w:rPr>
          <w:rFonts w:ascii="仿宋_GB2312" w:eastAsia="仿宋_GB2312"/>
          <w:b/>
          <w:sz w:val="32"/>
          <w:szCs w:val="32"/>
        </w:rPr>
        <w:t>0.</w:t>
      </w:r>
      <w:r w:rsidR="006626E8">
        <w:rPr>
          <w:rFonts w:ascii="仿宋_GB2312" w:eastAsia="仿宋_GB2312"/>
          <w:b/>
          <w:sz w:val="32"/>
          <w:szCs w:val="32"/>
        </w:rPr>
        <w:t>69</w:t>
      </w:r>
      <w:r w:rsidR="008C4A9F">
        <w:rPr>
          <w:rFonts w:ascii="仿宋_GB2312" w:eastAsia="仿宋_GB2312" w:hint="eastAsia"/>
          <w:b/>
          <w:sz w:val="32"/>
          <w:szCs w:val="32"/>
        </w:rPr>
        <w:t>。</w:t>
      </w:r>
      <w:r w:rsidR="001610A3">
        <w:rPr>
          <w:rFonts w:ascii="仿宋_GB2312" w:eastAsia="仿宋_GB2312" w:hint="eastAsia"/>
          <w:b/>
          <w:sz w:val="32"/>
          <w:szCs w:val="32"/>
        </w:rPr>
        <w:t>且t检验的p值为0</w:t>
      </w:r>
      <w:r w:rsidR="001610A3">
        <w:rPr>
          <w:rFonts w:ascii="仿宋_GB2312" w:eastAsia="仿宋_GB2312"/>
          <w:b/>
          <w:sz w:val="32"/>
          <w:szCs w:val="32"/>
        </w:rPr>
        <w:t>.01</w:t>
      </w:r>
      <w:r w:rsidR="001610A3">
        <w:rPr>
          <w:rFonts w:ascii="仿宋_GB2312" w:eastAsia="仿宋_GB2312" w:hint="eastAsia"/>
          <w:b/>
          <w:sz w:val="32"/>
          <w:szCs w:val="32"/>
        </w:rPr>
        <w:t>，小于0</w:t>
      </w:r>
      <w:r w:rsidR="001610A3">
        <w:rPr>
          <w:rFonts w:ascii="仿宋_GB2312" w:eastAsia="仿宋_GB2312"/>
          <w:b/>
          <w:sz w:val="32"/>
          <w:szCs w:val="32"/>
        </w:rPr>
        <w:t>.05</w:t>
      </w:r>
      <w:r w:rsidR="001610A3">
        <w:rPr>
          <w:rFonts w:ascii="仿宋_GB2312" w:eastAsia="仿宋_GB2312" w:hint="eastAsia"/>
          <w:b/>
          <w:sz w:val="32"/>
          <w:szCs w:val="32"/>
        </w:rPr>
        <w:t>，系数显著。</w:t>
      </w:r>
      <w:r w:rsidR="00236821">
        <w:rPr>
          <w:rFonts w:ascii="仿宋_GB2312" w:eastAsia="仿宋_GB2312" w:hint="eastAsia"/>
          <w:b/>
          <w:sz w:val="32"/>
          <w:szCs w:val="32"/>
        </w:rPr>
        <w:t>说明</w:t>
      </w:r>
      <w:r w:rsidR="000A28DD">
        <w:rPr>
          <w:rFonts w:ascii="仿宋_GB2312" w:eastAsia="仿宋_GB2312" w:hint="eastAsia"/>
          <w:b/>
          <w:sz w:val="32"/>
          <w:szCs w:val="32"/>
        </w:rPr>
        <w:t>房价上涨1</w:t>
      </w:r>
      <w:r w:rsidR="000A28DD">
        <w:rPr>
          <w:rFonts w:ascii="仿宋_GB2312" w:eastAsia="仿宋_GB2312"/>
          <w:b/>
          <w:sz w:val="32"/>
          <w:szCs w:val="32"/>
        </w:rPr>
        <w:t>%</w:t>
      </w:r>
      <w:r w:rsidR="000A28DD">
        <w:rPr>
          <w:rFonts w:ascii="仿宋_GB2312" w:eastAsia="仿宋_GB2312" w:hint="eastAsia"/>
          <w:b/>
          <w:sz w:val="32"/>
          <w:szCs w:val="32"/>
        </w:rPr>
        <w:t>，带动</w:t>
      </w:r>
      <w:r w:rsidR="000A28DD" w:rsidRPr="000A28DD">
        <w:rPr>
          <w:rFonts w:ascii="仿宋_GB2312" w:eastAsia="仿宋_GB2312" w:hint="eastAsia"/>
          <w:b/>
          <w:sz w:val="32"/>
          <w:szCs w:val="32"/>
        </w:rPr>
        <w:t>家电类商品</w:t>
      </w:r>
      <w:r w:rsidR="000A28DD">
        <w:rPr>
          <w:rFonts w:ascii="仿宋_GB2312" w:eastAsia="仿宋_GB2312" w:hint="eastAsia"/>
          <w:b/>
          <w:sz w:val="32"/>
          <w:szCs w:val="32"/>
        </w:rPr>
        <w:t>零售额上升0</w:t>
      </w:r>
      <w:r w:rsidR="000A28DD">
        <w:rPr>
          <w:rFonts w:ascii="仿宋_GB2312" w:eastAsia="仿宋_GB2312"/>
          <w:b/>
          <w:sz w:val="32"/>
          <w:szCs w:val="32"/>
        </w:rPr>
        <w:t>.</w:t>
      </w:r>
      <w:r w:rsidR="006626E8">
        <w:rPr>
          <w:rFonts w:ascii="仿宋_GB2312" w:eastAsia="仿宋_GB2312"/>
          <w:b/>
          <w:sz w:val="32"/>
          <w:szCs w:val="32"/>
        </w:rPr>
        <w:t>69</w:t>
      </w:r>
      <w:r w:rsidR="000A28DD">
        <w:rPr>
          <w:rFonts w:ascii="仿宋_GB2312" w:eastAsia="仿宋_GB2312" w:hint="eastAsia"/>
          <w:b/>
          <w:sz w:val="32"/>
          <w:szCs w:val="32"/>
        </w:rPr>
        <w:t>%。</w:t>
      </w:r>
    </w:p>
    <w:p w:rsidR="00F30645" w:rsidRPr="00C22B1A" w:rsidRDefault="00F30645" w:rsidP="00F30645">
      <w:pPr>
        <w:autoSpaceDE w:val="0"/>
        <w:autoSpaceDN w:val="0"/>
        <w:adjustRightInd w:val="0"/>
        <w:jc w:val="center"/>
        <w:rPr>
          <w:rFonts w:asciiTheme="minorEastAsia" w:hAnsiTheme="minorEastAsia"/>
          <w:b/>
          <w:sz w:val="28"/>
          <w:szCs w:val="28"/>
        </w:rPr>
      </w:pPr>
      <w:r w:rsidRPr="00C22B1A">
        <w:rPr>
          <w:rFonts w:asciiTheme="minorEastAsia" w:hAnsiTheme="minorEastAsia" w:hint="eastAsia"/>
          <w:b/>
          <w:sz w:val="28"/>
          <w:szCs w:val="28"/>
        </w:rPr>
        <w:t xml:space="preserve">表6 </w:t>
      </w:r>
      <w:bookmarkStart w:id="27" w:name="OLE_LINK10"/>
      <w:bookmarkStart w:id="28" w:name="OLE_LINK11"/>
      <w:r w:rsidRPr="00C22B1A">
        <w:rPr>
          <w:rFonts w:asciiTheme="minorEastAsia" w:hAnsiTheme="minorEastAsia" w:hint="eastAsia"/>
          <w:b/>
          <w:sz w:val="28"/>
          <w:szCs w:val="28"/>
        </w:rPr>
        <w:t>房价</w:t>
      </w:r>
      <w:r w:rsidR="006B4119">
        <w:rPr>
          <w:rFonts w:asciiTheme="minorEastAsia" w:hAnsiTheme="minorEastAsia" w:hint="eastAsia"/>
          <w:b/>
          <w:sz w:val="28"/>
          <w:szCs w:val="28"/>
        </w:rPr>
        <w:t>对</w:t>
      </w:r>
      <w:bookmarkStart w:id="29" w:name="_Hlk523318853"/>
      <w:r w:rsidR="006B4119">
        <w:rPr>
          <w:rFonts w:asciiTheme="minorEastAsia" w:hAnsiTheme="minorEastAsia" w:hint="eastAsia"/>
          <w:b/>
          <w:sz w:val="28"/>
          <w:szCs w:val="28"/>
        </w:rPr>
        <w:t>家电类</w:t>
      </w:r>
      <w:r w:rsidRPr="00C22B1A">
        <w:rPr>
          <w:rFonts w:asciiTheme="minorEastAsia" w:hAnsiTheme="minorEastAsia" w:hint="eastAsia"/>
          <w:b/>
          <w:sz w:val="28"/>
          <w:szCs w:val="28"/>
        </w:rPr>
        <w:t>商品消费</w:t>
      </w:r>
      <w:bookmarkEnd w:id="29"/>
      <w:r w:rsidRPr="00C22B1A">
        <w:rPr>
          <w:rFonts w:asciiTheme="minorEastAsia" w:hAnsiTheme="minorEastAsia" w:hint="eastAsia"/>
          <w:b/>
          <w:sz w:val="28"/>
          <w:szCs w:val="28"/>
        </w:rPr>
        <w:t>影响估计结果</w:t>
      </w:r>
      <w:bookmarkEnd w:id="27"/>
      <w:bookmarkEnd w:id="28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7"/>
        <w:gridCol w:w="1124"/>
        <w:gridCol w:w="1230"/>
        <w:gridCol w:w="1231"/>
        <w:gridCol w:w="1023"/>
      </w:tblGrid>
      <w:tr w:rsidR="00F30645" w:rsidTr="006626E8">
        <w:trPr>
          <w:trHeight w:hRule="exact" w:val="34"/>
          <w:jc w:val="center"/>
        </w:trPr>
        <w:tc>
          <w:tcPr>
            <w:tcW w:w="20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30645" w:rsidTr="006626E8">
        <w:trPr>
          <w:trHeight w:hRule="exact" w:val="50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30645" w:rsidTr="006626E8">
        <w:trPr>
          <w:trHeight w:val="85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 w:rsidP="001A6C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F30645" w:rsidTr="006626E8">
        <w:trPr>
          <w:trHeight w:hRule="exact" w:val="34"/>
          <w:jc w:val="center"/>
        </w:trPr>
        <w:tc>
          <w:tcPr>
            <w:tcW w:w="20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30645" w:rsidTr="006626E8">
        <w:trPr>
          <w:trHeight w:hRule="exact" w:val="50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626E8" w:rsidTr="006626E8">
        <w:trPr>
          <w:trHeight w:val="85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26E8" w:rsidRPr="00212DDF" w:rsidRDefault="006626E8" w:rsidP="006626E8">
            <w:pPr>
              <w:widowControl/>
              <w:jc w:val="left"/>
              <w:rPr>
                <w:rFonts w:ascii="Arial" w:eastAsia="等线" w:hAnsi="Arial" w:cs="Arial"/>
                <w:color w:val="000000"/>
                <w:sz w:val="18"/>
                <w:szCs w:val="18"/>
              </w:rPr>
            </w:pPr>
            <w:r w:rsidRPr="00212DDF">
              <w:rPr>
                <w:rFonts w:ascii="Arial" w:eastAsia="等线" w:hAnsi="Arial" w:cs="Arial"/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-1.6027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1.3135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-1.22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0.24585</w:t>
            </w:r>
          </w:p>
        </w:tc>
      </w:tr>
      <w:tr w:rsidR="006626E8" w:rsidTr="006626E8">
        <w:trPr>
          <w:trHeight w:val="85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26E8" w:rsidRPr="00212DDF" w:rsidRDefault="006626E8" w:rsidP="006626E8">
            <w:pPr>
              <w:jc w:val="left"/>
              <w:rPr>
                <w:rFonts w:ascii="Arial" w:eastAsia="等线" w:hAnsi="Arial" w:cs="Arial"/>
                <w:color w:val="000000"/>
                <w:sz w:val="18"/>
                <w:szCs w:val="18"/>
              </w:rPr>
            </w:pPr>
            <w:proofErr w:type="gramStart"/>
            <w:r w:rsidRPr="00212DDF">
              <w:rPr>
                <w:rFonts w:ascii="Arial" w:eastAsia="等线" w:hAnsi="Arial" w:cs="Arial"/>
                <w:color w:val="000000"/>
                <w:sz w:val="18"/>
                <w:szCs w:val="18"/>
              </w:rPr>
              <w:t>log(</w:t>
            </w:r>
            <w:proofErr w:type="gramEnd"/>
            <w:r w:rsidRPr="00212DDF">
              <w:rPr>
                <w:rFonts w:ascii="Arial" w:eastAsia="等线" w:hAnsi="Arial" w:cs="Arial"/>
                <w:color w:val="000000"/>
                <w:sz w:val="18"/>
                <w:szCs w:val="18"/>
              </w:rPr>
              <w:t>Income)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-0.4192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0.4041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-1.037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0.32</w:t>
            </w:r>
          </w:p>
        </w:tc>
      </w:tr>
      <w:tr w:rsidR="006626E8" w:rsidTr="006626E8">
        <w:trPr>
          <w:trHeight w:val="85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26E8" w:rsidRPr="00212DDF" w:rsidRDefault="006626E8" w:rsidP="006626E8">
            <w:pPr>
              <w:jc w:val="left"/>
              <w:rPr>
                <w:rFonts w:ascii="Arial" w:eastAsia="等线" w:hAnsi="Arial" w:cs="Arial"/>
                <w:color w:val="000000"/>
                <w:sz w:val="18"/>
                <w:szCs w:val="18"/>
              </w:rPr>
            </w:pPr>
            <w:proofErr w:type="gramStart"/>
            <w:r w:rsidRPr="00212DDF">
              <w:rPr>
                <w:rFonts w:ascii="Arial" w:eastAsia="等线" w:hAnsi="Arial" w:cs="Arial"/>
                <w:color w:val="000000"/>
                <w:sz w:val="18"/>
                <w:szCs w:val="18"/>
              </w:rPr>
              <w:t>log(</w:t>
            </w:r>
            <w:proofErr w:type="spellStart"/>
            <w:proofErr w:type="gramEnd"/>
            <w:r w:rsidRPr="00212DDF">
              <w:rPr>
                <w:rFonts w:ascii="Arial" w:eastAsia="等线" w:hAnsi="Arial" w:cs="Arial"/>
                <w:color w:val="000000"/>
                <w:sz w:val="18"/>
                <w:szCs w:val="18"/>
              </w:rPr>
              <w:t>HousePrice</w:t>
            </w:r>
            <w:proofErr w:type="spellEnd"/>
            <w:r w:rsidRPr="00212DDF">
              <w:rPr>
                <w:rFonts w:ascii="Arial" w:eastAsia="等线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0.688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0.226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3.045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0.01019 *</w:t>
            </w:r>
          </w:p>
        </w:tc>
      </w:tr>
      <w:tr w:rsidR="006626E8" w:rsidTr="006626E8">
        <w:trPr>
          <w:trHeight w:val="85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26E8" w:rsidRPr="00212DDF" w:rsidRDefault="006626E8" w:rsidP="006626E8">
            <w:pPr>
              <w:rPr>
                <w:rFonts w:ascii="Arial" w:eastAsia="等线" w:hAnsi="Arial" w:cs="Arial"/>
                <w:color w:val="000000"/>
                <w:sz w:val="18"/>
                <w:szCs w:val="18"/>
              </w:rPr>
            </w:pPr>
            <w:proofErr w:type="gramStart"/>
            <w:r w:rsidRPr="00212DDF">
              <w:rPr>
                <w:rFonts w:ascii="Arial" w:eastAsia="等线" w:hAnsi="Arial" w:cs="Arial"/>
                <w:color w:val="000000"/>
                <w:sz w:val="18"/>
                <w:szCs w:val="18"/>
              </w:rPr>
              <w:t>log(</w:t>
            </w:r>
            <w:proofErr w:type="gramEnd"/>
            <w:r w:rsidRPr="00212DDF">
              <w:rPr>
                <w:rFonts w:ascii="Arial" w:eastAsia="等线" w:hAnsi="Arial" w:cs="Arial"/>
                <w:color w:val="000000"/>
                <w:sz w:val="18"/>
                <w:szCs w:val="18"/>
              </w:rPr>
              <w:t>Appliance(-1))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0.9841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0.2527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Pr="007E715A" w:rsidRDefault="006626E8" w:rsidP="006626E8">
            <w:r w:rsidRPr="007E715A">
              <w:t>3.895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26E8" w:rsidRDefault="006626E8" w:rsidP="006626E8">
            <w:r w:rsidRPr="007E715A">
              <w:t>0.00213 **</w:t>
            </w:r>
          </w:p>
        </w:tc>
      </w:tr>
      <w:tr w:rsidR="00F30645" w:rsidTr="006626E8">
        <w:trPr>
          <w:trHeight w:hRule="exact" w:val="34"/>
          <w:jc w:val="center"/>
        </w:trPr>
        <w:tc>
          <w:tcPr>
            <w:tcW w:w="20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30645" w:rsidTr="006626E8">
        <w:trPr>
          <w:trHeight w:hRule="exact" w:val="50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B4119" w:rsidTr="006B4119">
        <w:trPr>
          <w:trHeight w:val="404"/>
          <w:jc w:val="center"/>
        </w:trPr>
        <w:tc>
          <w:tcPr>
            <w:tcW w:w="6665" w:type="dxa"/>
            <w:gridSpan w:val="5"/>
            <w:tcBorders>
              <w:top w:val="nil"/>
              <w:left w:val="nil"/>
            </w:tcBorders>
            <w:vAlign w:val="bottom"/>
          </w:tcPr>
          <w:p w:rsidR="006626E8" w:rsidRPr="006626E8" w:rsidRDefault="006626E8" w:rsidP="006626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Residual standard error: 0.04295 on 12 degrees of freedom</w:t>
            </w:r>
          </w:p>
          <w:p w:rsidR="006626E8" w:rsidRDefault="006626E8" w:rsidP="006626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Multiple R-squared:  0.9966</w:t>
            </w:r>
          </w:p>
          <w:p w:rsidR="006B4119" w:rsidRPr="006B4119" w:rsidRDefault="006626E8" w:rsidP="006626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Adjusted R-squared:  0.9957 </w:t>
            </w:r>
          </w:p>
          <w:p w:rsidR="006B4119" w:rsidRDefault="006B4119" w:rsidP="006B411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411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F-statistic: </w:t>
            </w:r>
            <w:r w:rsidR="006626E8"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1163</w:t>
            </w:r>
            <w:r w:rsidRPr="006B411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on 3 and 12 DF</w:t>
            </w:r>
          </w:p>
          <w:p w:rsidR="006B4119" w:rsidRDefault="006B4119" w:rsidP="006B411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B411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p-value: </w:t>
            </w:r>
            <w:r w:rsidR="006626E8"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4.747e-15</w:t>
            </w:r>
          </w:p>
        </w:tc>
      </w:tr>
      <w:tr w:rsidR="00F30645" w:rsidTr="006626E8">
        <w:trPr>
          <w:trHeight w:hRule="exact" w:val="29"/>
          <w:jc w:val="center"/>
        </w:trPr>
        <w:tc>
          <w:tcPr>
            <w:tcW w:w="205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30645" w:rsidTr="006626E8">
        <w:trPr>
          <w:trHeight w:hRule="exact" w:val="50"/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645" w:rsidRDefault="00F306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73AD9" w:rsidRPr="00A7246E" w:rsidRDefault="00A73AD9" w:rsidP="00147DCE">
      <w:pPr>
        <w:spacing w:beforeLines="50" w:before="156" w:afterLines="30" w:after="93" w:line="360" w:lineRule="auto"/>
        <w:ind w:firstLineChars="200" w:firstLine="643"/>
        <w:outlineLvl w:val="1"/>
        <w:rPr>
          <w:rFonts w:ascii="楷体" w:eastAsia="楷体" w:hAnsi="楷体"/>
          <w:b/>
          <w:sz w:val="32"/>
          <w:szCs w:val="32"/>
        </w:rPr>
      </w:pPr>
      <w:r w:rsidRPr="00A7246E">
        <w:rPr>
          <w:rFonts w:ascii="楷体" w:eastAsia="楷体" w:hAnsi="楷体" w:hint="eastAsia"/>
          <w:b/>
          <w:sz w:val="32"/>
          <w:szCs w:val="32"/>
        </w:rPr>
        <w:t>（二）对</w:t>
      </w:r>
      <w:bookmarkStart w:id="30" w:name="_Hlk523320271"/>
      <w:r w:rsidR="00343485">
        <w:rPr>
          <w:rFonts w:ascii="楷体" w:eastAsia="楷体" w:hAnsi="楷体" w:hint="eastAsia"/>
          <w:b/>
          <w:sz w:val="32"/>
          <w:szCs w:val="32"/>
        </w:rPr>
        <w:t>家具类商品</w:t>
      </w:r>
      <w:r w:rsidRPr="00A7246E">
        <w:rPr>
          <w:rFonts w:ascii="楷体" w:eastAsia="楷体" w:hAnsi="楷体" w:hint="eastAsia"/>
          <w:b/>
          <w:sz w:val="32"/>
          <w:szCs w:val="32"/>
        </w:rPr>
        <w:t>消费</w:t>
      </w:r>
      <w:bookmarkEnd w:id="30"/>
      <w:r w:rsidRPr="00A7246E">
        <w:rPr>
          <w:rFonts w:ascii="楷体" w:eastAsia="楷体" w:hAnsi="楷体" w:hint="eastAsia"/>
          <w:b/>
          <w:sz w:val="32"/>
          <w:szCs w:val="32"/>
        </w:rPr>
        <w:t>的影响</w:t>
      </w:r>
    </w:p>
    <w:p w:rsidR="003500F6" w:rsidRDefault="008C4A9F" w:rsidP="000D4A77">
      <w:pPr>
        <w:ind w:firstLineChars="200" w:firstLine="640"/>
        <w:rPr>
          <w:rFonts w:ascii="仿宋_GB2312" w:eastAsia="仿宋_GB2312"/>
          <w:sz w:val="32"/>
          <w:szCs w:val="32"/>
        </w:rPr>
      </w:pPr>
      <w:bookmarkStart w:id="31" w:name="OLE_LINK13"/>
      <w:bookmarkStart w:id="32" w:name="OLE_LINK14"/>
      <w:bookmarkStart w:id="33" w:name="OLE_LINK43"/>
      <w:bookmarkStart w:id="34" w:name="OLE_LINK44"/>
      <w:r>
        <w:rPr>
          <w:rFonts w:ascii="仿宋_GB2312" w:eastAsia="仿宋_GB2312" w:hint="eastAsia"/>
          <w:sz w:val="32"/>
          <w:szCs w:val="32"/>
        </w:rPr>
        <w:t>估计结果见表</w:t>
      </w:r>
      <w:r>
        <w:rPr>
          <w:rFonts w:ascii="仿宋_GB2312" w:eastAsia="仿宋_GB2312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，</w:t>
      </w:r>
      <w:r w:rsidR="00F04C6E" w:rsidRPr="00AB3431">
        <w:rPr>
          <w:rFonts w:ascii="仿宋_GB2312" w:eastAsia="仿宋_GB2312" w:hint="eastAsia"/>
          <w:b/>
          <w:sz w:val="32"/>
          <w:szCs w:val="32"/>
        </w:rPr>
        <w:t>房价上涨对</w:t>
      </w:r>
      <w:r w:rsidR="006B4119">
        <w:rPr>
          <w:rFonts w:ascii="楷体" w:eastAsia="楷体" w:hAnsi="楷体" w:hint="eastAsia"/>
          <w:b/>
          <w:sz w:val="32"/>
          <w:szCs w:val="32"/>
        </w:rPr>
        <w:t>家具类</w:t>
      </w:r>
      <w:r w:rsidR="00F04C6E" w:rsidRPr="00AB3431">
        <w:rPr>
          <w:rFonts w:ascii="仿宋_GB2312" w:eastAsia="仿宋_GB2312" w:hint="eastAsia"/>
          <w:b/>
          <w:sz w:val="32"/>
          <w:szCs w:val="32"/>
        </w:rPr>
        <w:t>商品消费的影响为正，弹性系数为</w:t>
      </w:r>
      <w:r w:rsidR="00212DDF">
        <w:rPr>
          <w:rFonts w:ascii="仿宋_GB2312" w:eastAsia="仿宋_GB2312"/>
          <w:b/>
          <w:sz w:val="32"/>
          <w:szCs w:val="32"/>
        </w:rPr>
        <w:t>1.</w:t>
      </w:r>
      <w:r w:rsidR="006626E8">
        <w:rPr>
          <w:rFonts w:ascii="仿宋_GB2312" w:eastAsia="仿宋_GB2312"/>
          <w:b/>
          <w:sz w:val="32"/>
          <w:szCs w:val="32"/>
        </w:rPr>
        <w:t>99</w:t>
      </w:r>
      <w:r w:rsidR="000A28DD">
        <w:rPr>
          <w:rFonts w:ascii="仿宋_GB2312" w:eastAsia="仿宋_GB2312" w:hint="eastAsia"/>
          <w:b/>
          <w:sz w:val="32"/>
          <w:szCs w:val="32"/>
        </w:rPr>
        <w:t>，</w:t>
      </w:r>
      <w:r>
        <w:rPr>
          <w:rFonts w:ascii="仿宋_GB2312" w:eastAsia="仿宋_GB2312" w:hint="eastAsia"/>
          <w:b/>
          <w:sz w:val="32"/>
          <w:szCs w:val="32"/>
        </w:rPr>
        <w:t>且t检验的p值为0</w:t>
      </w:r>
      <w:r>
        <w:rPr>
          <w:rFonts w:ascii="仿宋_GB2312" w:eastAsia="仿宋_GB2312"/>
          <w:b/>
          <w:sz w:val="32"/>
          <w:szCs w:val="32"/>
        </w:rPr>
        <w:t>.0</w:t>
      </w:r>
      <w:r w:rsidR="001610A3">
        <w:rPr>
          <w:rFonts w:ascii="仿宋_GB2312" w:eastAsia="仿宋_GB2312"/>
          <w:b/>
          <w:sz w:val="32"/>
          <w:szCs w:val="32"/>
        </w:rPr>
        <w:t>05</w:t>
      </w:r>
      <w:r>
        <w:rPr>
          <w:rFonts w:ascii="仿宋_GB2312" w:eastAsia="仿宋_GB2312" w:hint="eastAsia"/>
          <w:b/>
          <w:sz w:val="32"/>
          <w:szCs w:val="32"/>
        </w:rPr>
        <w:t>，小于0</w:t>
      </w:r>
      <w:r>
        <w:rPr>
          <w:rFonts w:ascii="仿宋_GB2312" w:eastAsia="仿宋_GB2312"/>
          <w:b/>
          <w:sz w:val="32"/>
          <w:szCs w:val="32"/>
        </w:rPr>
        <w:t>.05</w:t>
      </w:r>
      <w:r>
        <w:rPr>
          <w:rFonts w:ascii="仿宋_GB2312" w:eastAsia="仿宋_GB2312" w:hint="eastAsia"/>
          <w:b/>
          <w:sz w:val="32"/>
          <w:szCs w:val="32"/>
        </w:rPr>
        <w:t>，该系数显著。</w:t>
      </w:r>
      <w:r w:rsidR="000A28DD">
        <w:rPr>
          <w:rFonts w:ascii="仿宋_GB2312" w:eastAsia="仿宋_GB2312" w:hint="eastAsia"/>
          <w:b/>
          <w:sz w:val="32"/>
          <w:szCs w:val="32"/>
        </w:rPr>
        <w:t>说明房价上涨1</w:t>
      </w:r>
      <w:r w:rsidR="000A28DD">
        <w:rPr>
          <w:rFonts w:ascii="仿宋_GB2312" w:eastAsia="仿宋_GB2312"/>
          <w:b/>
          <w:sz w:val="32"/>
          <w:szCs w:val="32"/>
        </w:rPr>
        <w:t>%</w:t>
      </w:r>
      <w:r w:rsidR="000A28DD">
        <w:rPr>
          <w:rFonts w:ascii="仿宋_GB2312" w:eastAsia="仿宋_GB2312" w:hint="eastAsia"/>
          <w:b/>
          <w:sz w:val="32"/>
          <w:szCs w:val="32"/>
        </w:rPr>
        <w:t>，带动家具</w:t>
      </w:r>
      <w:r w:rsidR="000A28DD" w:rsidRPr="000A28DD">
        <w:rPr>
          <w:rFonts w:ascii="仿宋_GB2312" w:eastAsia="仿宋_GB2312" w:hint="eastAsia"/>
          <w:b/>
          <w:sz w:val="32"/>
          <w:szCs w:val="32"/>
        </w:rPr>
        <w:t>类商品</w:t>
      </w:r>
      <w:r w:rsidR="000A28DD">
        <w:rPr>
          <w:rFonts w:ascii="仿宋_GB2312" w:eastAsia="仿宋_GB2312" w:hint="eastAsia"/>
          <w:b/>
          <w:sz w:val="32"/>
          <w:szCs w:val="32"/>
        </w:rPr>
        <w:t>零售额上升1</w:t>
      </w:r>
      <w:r w:rsidR="000A28DD">
        <w:rPr>
          <w:rFonts w:ascii="仿宋_GB2312" w:eastAsia="仿宋_GB2312"/>
          <w:b/>
          <w:sz w:val="32"/>
          <w:szCs w:val="32"/>
        </w:rPr>
        <w:t>.</w:t>
      </w:r>
      <w:r w:rsidR="006626E8">
        <w:rPr>
          <w:rFonts w:ascii="仿宋_GB2312" w:eastAsia="仿宋_GB2312"/>
          <w:b/>
          <w:sz w:val="32"/>
          <w:szCs w:val="32"/>
        </w:rPr>
        <w:t>99</w:t>
      </w:r>
      <w:r w:rsidR="000A28DD">
        <w:rPr>
          <w:rFonts w:ascii="仿宋_GB2312" w:eastAsia="仿宋_GB2312" w:hint="eastAsia"/>
          <w:b/>
          <w:sz w:val="32"/>
          <w:szCs w:val="32"/>
        </w:rPr>
        <w:t>%</w:t>
      </w:r>
      <w:r w:rsidR="00F04C6E" w:rsidRPr="00AB3431">
        <w:rPr>
          <w:rFonts w:ascii="仿宋_GB2312" w:eastAsia="仿宋_GB2312" w:hint="eastAsia"/>
          <w:b/>
          <w:sz w:val="32"/>
          <w:szCs w:val="32"/>
        </w:rPr>
        <w:t>。</w:t>
      </w:r>
      <w:bookmarkEnd w:id="31"/>
      <w:bookmarkEnd w:id="32"/>
    </w:p>
    <w:bookmarkEnd w:id="33"/>
    <w:bookmarkEnd w:id="34"/>
    <w:p w:rsidR="00F04C6E" w:rsidRPr="00C22B1A" w:rsidRDefault="00F04C6E" w:rsidP="00F04C6E">
      <w:pPr>
        <w:autoSpaceDE w:val="0"/>
        <w:autoSpaceDN w:val="0"/>
        <w:adjustRightInd w:val="0"/>
        <w:jc w:val="center"/>
        <w:rPr>
          <w:rFonts w:asciiTheme="minorEastAsia" w:hAnsiTheme="minorEastAsia"/>
          <w:b/>
          <w:sz w:val="28"/>
          <w:szCs w:val="28"/>
        </w:rPr>
      </w:pPr>
      <w:r w:rsidRPr="00C22B1A">
        <w:rPr>
          <w:rFonts w:asciiTheme="minorEastAsia" w:hAnsiTheme="minorEastAsia" w:hint="eastAsia"/>
          <w:b/>
          <w:sz w:val="28"/>
          <w:szCs w:val="28"/>
        </w:rPr>
        <w:t>表7</w:t>
      </w:r>
      <w:r w:rsidR="00AF72A0" w:rsidRPr="00C22B1A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C22B1A">
        <w:rPr>
          <w:rFonts w:asciiTheme="minorEastAsia" w:hAnsiTheme="minorEastAsia" w:hint="eastAsia"/>
          <w:b/>
          <w:sz w:val="28"/>
          <w:szCs w:val="28"/>
        </w:rPr>
        <w:t>房价对</w:t>
      </w:r>
      <w:r w:rsidR="006B4119" w:rsidRPr="006B4119">
        <w:rPr>
          <w:rFonts w:asciiTheme="minorEastAsia" w:hAnsiTheme="minorEastAsia" w:hint="eastAsia"/>
          <w:b/>
          <w:sz w:val="28"/>
          <w:szCs w:val="28"/>
        </w:rPr>
        <w:t>家具类</w:t>
      </w:r>
      <w:r w:rsidRPr="00C22B1A">
        <w:rPr>
          <w:rFonts w:asciiTheme="minorEastAsia" w:hAnsiTheme="minorEastAsia" w:hint="eastAsia"/>
          <w:b/>
          <w:sz w:val="28"/>
          <w:szCs w:val="28"/>
        </w:rPr>
        <w:t>商品消费影响估计结果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6"/>
        <w:gridCol w:w="1113"/>
        <w:gridCol w:w="1218"/>
        <w:gridCol w:w="1219"/>
        <w:gridCol w:w="1246"/>
      </w:tblGrid>
      <w:tr w:rsidR="00F04C6E" w:rsidTr="00212DDF">
        <w:trPr>
          <w:trHeight w:hRule="exact" w:val="26"/>
          <w:jc w:val="center"/>
        </w:trPr>
        <w:tc>
          <w:tcPr>
            <w:tcW w:w="203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04C6E" w:rsidTr="00212DDF">
        <w:trPr>
          <w:trHeight w:hRule="exact" w:val="39"/>
          <w:jc w:val="center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04C6E" w:rsidTr="00212DDF">
        <w:trPr>
          <w:trHeight w:val="66"/>
          <w:jc w:val="center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 w:rsidP="001A6C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F04C6E" w:rsidTr="00212DDF">
        <w:trPr>
          <w:trHeight w:hRule="exact" w:val="26"/>
          <w:jc w:val="center"/>
        </w:trPr>
        <w:tc>
          <w:tcPr>
            <w:tcW w:w="203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04C6E" w:rsidTr="00212DDF">
        <w:trPr>
          <w:trHeight w:hRule="exact" w:val="39"/>
          <w:jc w:val="center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626E8" w:rsidTr="00212DDF">
        <w:trPr>
          <w:trHeight w:val="66"/>
          <w:jc w:val="center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AD43E5" w:rsidRDefault="006626E8" w:rsidP="006626E8">
            <w:r w:rsidRPr="00AD43E5">
              <w:t>(Intercept)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-4.3506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2.946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-1.477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0.16549</w:t>
            </w:r>
          </w:p>
        </w:tc>
      </w:tr>
      <w:tr w:rsidR="006626E8" w:rsidTr="00212DDF">
        <w:trPr>
          <w:trHeight w:val="66"/>
          <w:jc w:val="center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AD43E5" w:rsidRDefault="006626E8" w:rsidP="006626E8">
            <w:proofErr w:type="gramStart"/>
            <w:r w:rsidRPr="00AD43E5">
              <w:t>log(</w:t>
            </w:r>
            <w:proofErr w:type="gramEnd"/>
            <w:r w:rsidRPr="00AD43E5">
              <w:t>Income)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-1.3428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0.6918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-1.941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proofErr w:type="gramStart"/>
            <w:r w:rsidRPr="00936420">
              <w:t>0.07611 .</w:t>
            </w:r>
            <w:proofErr w:type="gramEnd"/>
          </w:p>
        </w:tc>
      </w:tr>
      <w:tr w:rsidR="006626E8" w:rsidTr="00212DDF">
        <w:trPr>
          <w:trHeight w:val="66"/>
          <w:jc w:val="center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AD43E5" w:rsidRDefault="006626E8" w:rsidP="006626E8">
            <w:proofErr w:type="gramStart"/>
            <w:r w:rsidRPr="00AD43E5">
              <w:lastRenderedPageBreak/>
              <w:t>log(</w:t>
            </w:r>
            <w:proofErr w:type="spellStart"/>
            <w:proofErr w:type="gramEnd"/>
            <w:r w:rsidRPr="00AD43E5">
              <w:t>HousePrice</w:t>
            </w:r>
            <w:proofErr w:type="spellEnd"/>
            <w:r w:rsidRPr="00AD43E5"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1.9922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0.5872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3.393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0.00534 **</w:t>
            </w:r>
          </w:p>
        </w:tc>
      </w:tr>
      <w:tr w:rsidR="006626E8" w:rsidTr="00212DDF">
        <w:trPr>
          <w:trHeight w:val="66"/>
          <w:jc w:val="center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AD43E5" w:rsidRDefault="006626E8" w:rsidP="006626E8">
            <w:proofErr w:type="gramStart"/>
            <w:r w:rsidRPr="00AD43E5">
              <w:t>log(</w:t>
            </w:r>
            <w:proofErr w:type="gramEnd"/>
            <w:r w:rsidRPr="00AD43E5">
              <w:t>Furniture</w:t>
            </w:r>
            <w:r>
              <w:t>(-1</w:t>
            </w:r>
            <w:r w:rsidRPr="00AD43E5">
              <w:t>))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1.0633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0.1785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936420" w:rsidRDefault="006626E8" w:rsidP="006626E8">
            <w:r w:rsidRPr="00936420">
              <w:t>5.957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6626E8" w:rsidRDefault="006626E8" w:rsidP="006626E8">
            <w:r w:rsidRPr="00936420">
              <w:t>6.65e-05 ***</w:t>
            </w:r>
          </w:p>
        </w:tc>
      </w:tr>
      <w:tr w:rsidR="00F04C6E" w:rsidTr="00212DDF">
        <w:trPr>
          <w:trHeight w:hRule="exact" w:val="26"/>
          <w:jc w:val="center"/>
        </w:trPr>
        <w:tc>
          <w:tcPr>
            <w:tcW w:w="203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04C6E" w:rsidTr="00212DDF">
        <w:trPr>
          <w:trHeight w:hRule="exact" w:val="39"/>
          <w:jc w:val="center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12DDF" w:rsidTr="006626E8">
        <w:trPr>
          <w:trHeight w:val="852"/>
          <w:jc w:val="center"/>
        </w:trPr>
        <w:tc>
          <w:tcPr>
            <w:tcW w:w="6832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6626E8" w:rsidRPr="006626E8" w:rsidRDefault="006626E8" w:rsidP="006626E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Residual standard error: 0.1012 on 12 degrees of freedom</w:t>
            </w:r>
          </w:p>
          <w:p w:rsidR="006626E8" w:rsidRDefault="006626E8" w:rsidP="006626E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Multiple R-squared:  0.9949</w:t>
            </w:r>
          </w:p>
          <w:p w:rsidR="006626E8" w:rsidRPr="006626E8" w:rsidRDefault="006626E8" w:rsidP="006626E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Adjusted R-squared:  0.9936 </w:t>
            </w:r>
          </w:p>
          <w:p w:rsidR="006626E8" w:rsidRDefault="006626E8" w:rsidP="00212DDF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F-statistic: 780.1 on 3 and 12 DF</w:t>
            </w:r>
          </w:p>
          <w:p w:rsidR="00212DDF" w:rsidRPr="006626E8" w:rsidRDefault="006626E8" w:rsidP="00212DDF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p-value: 5.157e-14</w:t>
            </w:r>
            <w:r w:rsidR="00212DDF" w:rsidRPr="00212DD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F04C6E" w:rsidTr="006626E8">
        <w:trPr>
          <w:trHeight w:hRule="exact" w:val="73"/>
          <w:jc w:val="center"/>
        </w:trPr>
        <w:tc>
          <w:tcPr>
            <w:tcW w:w="203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04C6E" w:rsidTr="00212DDF">
        <w:trPr>
          <w:trHeight w:hRule="exact" w:val="39"/>
          <w:jc w:val="center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4C6E" w:rsidRDefault="00F04C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73AD9" w:rsidRPr="00A7246E" w:rsidRDefault="00A73AD9" w:rsidP="00147DCE">
      <w:pPr>
        <w:spacing w:beforeLines="50" w:before="156" w:afterLines="30" w:after="93" w:line="360" w:lineRule="auto"/>
        <w:ind w:firstLineChars="200" w:firstLine="643"/>
        <w:outlineLvl w:val="1"/>
        <w:rPr>
          <w:rFonts w:ascii="楷体" w:eastAsia="楷体" w:hAnsi="楷体"/>
          <w:b/>
          <w:sz w:val="32"/>
          <w:szCs w:val="32"/>
        </w:rPr>
      </w:pPr>
      <w:r w:rsidRPr="00A7246E">
        <w:rPr>
          <w:rFonts w:ascii="楷体" w:eastAsia="楷体" w:hAnsi="楷体" w:hint="eastAsia"/>
          <w:b/>
          <w:sz w:val="32"/>
          <w:szCs w:val="32"/>
        </w:rPr>
        <w:t>（三）对</w:t>
      </w:r>
      <w:r w:rsidR="00343485">
        <w:rPr>
          <w:rFonts w:ascii="楷体" w:eastAsia="楷体" w:hAnsi="楷体" w:hint="eastAsia"/>
          <w:b/>
          <w:sz w:val="32"/>
          <w:szCs w:val="32"/>
        </w:rPr>
        <w:t>建筑及装潢材料类</w:t>
      </w:r>
      <w:r w:rsidRPr="00A7246E">
        <w:rPr>
          <w:rFonts w:ascii="楷体" w:eastAsia="楷体" w:hAnsi="楷体" w:hint="eastAsia"/>
          <w:b/>
          <w:sz w:val="32"/>
          <w:szCs w:val="32"/>
        </w:rPr>
        <w:t>商品消费的影响</w:t>
      </w:r>
    </w:p>
    <w:p w:rsidR="007A1A62" w:rsidRPr="00212DDF" w:rsidRDefault="00B6246E" w:rsidP="00212DDF">
      <w:pPr>
        <w:ind w:firstLineChars="200" w:firstLine="640"/>
        <w:rPr>
          <w:rFonts w:ascii="仿宋_GB2312" w:eastAsia="仿宋_GB2312"/>
          <w:b/>
          <w:sz w:val="32"/>
          <w:szCs w:val="32"/>
        </w:rPr>
      </w:pPr>
      <w:bookmarkStart w:id="35" w:name="OLE_LINK15"/>
      <w:bookmarkStart w:id="36" w:name="OLE_LINK16"/>
      <w:r>
        <w:rPr>
          <w:rFonts w:ascii="仿宋_GB2312" w:eastAsia="仿宋_GB2312" w:hint="eastAsia"/>
          <w:sz w:val="32"/>
          <w:szCs w:val="32"/>
        </w:rPr>
        <w:t>估计结果见表8，</w:t>
      </w:r>
      <w:bookmarkStart w:id="37" w:name="OLE_LINK45"/>
      <w:bookmarkStart w:id="38" w:name="OLE_LINK46"/>
      <w:r w:rsidRPr="00AB3431">
        <w:rPr>
          <w:rFonts w:ascii="仿宋_GB2312" w:eastAsia="仿宋_GB2312" w:hint="eastAsia"/>
          <w:b/>
          <w:sz w:val="32"/>
          <w:szCs w:val="32"/>
        </w:rPr>
        <w:t>房价上涨</w:t>
      </w:r>
      <w:proofErr w:type="gramStart"/>
      <w:r w:rsidRPr="00AB3431">
        <w:rPr>
          <w:rFonts w:ascii="仿宋_GB2312" w:eastAsia="仿宋_GB2312" w:hint="eastAsia"/>
          <w:b/>
          <w:sz w:val="32"/>
          <w:szCs w:val="32"/>
        </w:rPr>
        <w:t>对</w:t>
      </w:r>
      <w:r w:rsidR="00357D2D" w:rsidRPr="00AB3431">
        <w:rPr>
          <w:rFonts w:ascii="仿宋_GB2312" w:eastAsia="仿宋_GB2312" w:hint="eastAsia"/>
          <w:b/>
          <w:sz w:val="32"/>
          <w:szCs w:val="32"/>
        </w:rPr>
        <w:t>住</w:t>
      </w:r>
      <w:r w:rsidRPr="00AB3431">
        <w:rPr>
          <w:rFonts w:ascii="仿宋_GB2312" w:eastAsia="仿宋_GB2312" w:hint="eastAsia"/>
          <w:b/>
          <w:sz w:val="32"/>
          <w:szCs w:val="32"/>
        </w:rPr>
        <w:t>类商品</w:t>
      </w:r>
      <w:proofErr w:type="gramEnd"/>
      <w:r w:rsidRPr="00AB3431">
        <w:rPr>
          <w:rFonts w:ascii="仿宋_GB2312" w:eastAsia="仿宋_GB2312" w:hint="eastAsia"/>
          <w:b/>
          <w:sz w:val="32"/>
          <w:szCs w:val="32"/>
        </w:rPr>
        <w:t>消费的影响为正，弹性系数为</w:t>
      </w:r>
      <w:r w:rsidR="00212DDF">
        <w:rPr>
          <w:rFonts w:ascii="仿宋_GB2312" w:eastAsia="仿宋_GB2312" w:hint="eastAsia"/>
          <w:b/>
          <w:sz w:val="32"/>
          <w:szCs w:val="32"/>
        </w:rPr>
        <w:t>2</w:t>
      </w:r>
      <w:r w:rsidR="00212DDF">
        <w:rPr>
          <w:rFonts w:ascii="仿宋_GB2312" w:eastAsia="仿宋_GB2312"/>
          <w:b/>
          <w:sz w:val="32"/>
          <w:szCs w:val="32"/>
        </w:rPr>
        <w:t>.</w:t>
      </w:r>
      <w:r w:rsidR="006626E8">
        <w:rPr>
          <w:rFonts w:ascii="仿宋_GB2312" w:eastAsia="仿宋_GB2312"/>
          <w:b/>
          <w:sz w:val="32"/>
          <w:szCs w:val="32"/>
        </w:rPr>
        <w:t>9</w:t>
      </w:r>
      <w:r w:rsidR="000A28DD" w:rsidRPr="000A28DD">
        <w:rPr>
          <w:rFonts w:ascii="仿宋_GB2312" w:eastAsia="仿宋_GB2312" w:hint="eastAsia"/>
          <w:b/>
          <w:sz w:val="32"/>
          <w:szCs w:val="32"/>
        </w:rPr>
        <w:t>，</w:t>
      </w:r>
      <w:r w:rsidR="008C4A9F">
        <w:rPr>
          <w:rFonts w:ascii="仿宋_GB2312" w:eastAsia="仿宋_GB2312" w:hint="eastAsia"/>
          <w:b/>
          <w:sz w:val="32"/>
          <w:szCs w:val="32"/>
        </w:rPr>
        <w:t>且t检验的p值为0</w:t>
      </w:r>
      <w:r w:rsidR="008C4A9F">
        <w:rPr>
          <w:rFonts w:ascii="仿宋_GB2312" w:eastAsia="仿宋_GB2312"/>
          <w:b/>
          <w:sz w:val="32"/>
          <w:szCs w:val="32"/>
        </w:rPr>
        <w:t>.0</w:t>
      </w:r>
      <w:r w:rsidR="001610A3">
        <w:rPr>
          <w:rFonts w:ascii="仿宋_GB2312" w:eastAsia="仿宋_GB2312"/>
          <w:b/>
          <w:sz w:val="32"/>
          <w:szCs w:val="32"/>
        </w:rPr>
        <w:t>13</w:t>
      </w:r>
      <w:r w:rsidR="008C4A9F">
        <w:rPr>
          <w:rFonts w:ascii="仿宋_GB2312" w:eastAsia="仿宋_GB2312" w:hint="eastAsia"/>
          <w:b/>
          <w:sz w:val="32"/>
          <w:szCs w:val="32"/>
        </w:rPr>
        <w:t>，小于0</w:t>
      </w:r>
      <w:r w:rsidR="008C4A9F">
        <w:rPr>
          <w:rFonts w:ascii="仿宋_GB2312" w:eastAsia="仿宋_GB2312"/>
          <w:b/>
          <w:sz w:val="32"/>
          <w:szCs w:val="32"/>
        </w:rPr>
        <w:t>.05</w:t>
      </w:r>
      <w:r w:rsidR="008C4A9F">
        <w:rPr>
          <w:rFonts w:ascii="仿宋_GB2312" w:eastAsia="仿宋_GB2312" w:hint="eastAsia"/>
          <w:b/>
          <w:sz w:val="32"/>
          <w:szCs w:val="32"/>
        </w:rPr>
        <w:t>，该系数显著。</w:t>
      </w:r>
      <w:r w:rsidR="000A28DD" w:rsidRPr="000A28DD">
        <w:rPr>
          <w:rFonts w:ascii="仿宋_GB2312" w:eastAsia="仿宋_GB2312" w:hint="eastAsia"/>
          <w:b/>
          <w:sz w:val="32"/>
          <w:szCs w:val="32"/>
        </w:rPr>
        <w:t>说明房价上涨1%，带动</w:t>
      </w:r>
      <w:r w:rsidR="000A28DD">
        <w:rPr>
          <w:rFonts w:ascii="楷体" w:eastAsia="楷体" w:hAnsi="楷体" w:hint="eastAsia"/>
          <w:b/>
          <w:sz w:val="32"/>
          <w:szCs w:val="32"/>
        </w:rPr>
        <w:t>建筑及装潢材料类</w:t>
      </w:r>
      <w:r w:rsidR="000A28DD" w:rsidRPr="000A28DD">
        <w:rPr>
          <w:rFonts w:ascii="仿宋_GB2312" w:eastAsia="仿宋_GB2312" w:hint="eastAsia"/>
          <w:b/>
          <w:sz w:val="32"/>
          <w:szCs w:val="32"/>
        </w:rPr>
        <w:t>商品零售额上升</w:t>
      </w:r>
      <w:r w:rsidR="000A28DD">
        <w:rPr>
          <w:rFonts w:ascii="仿宋_GB2312" w:eastAsia="仿宋_GB2312" w:hint="eastAsia"/>
          <w:b/>
          <w:sz w:val="32"/>
          <w:szCs w:val="32"/>
        </w:rPr>
        <w:t>2</w:t>
      </w:r>
      <w:r w:rsidR="000A28DD">
        <w:rPr>
          <w:rFonts w:ascii="仿宋_GB2312" w:eastAsia="仿宋_GB2312"/>
          <w:b/>
          <w:sz w:val="32"/>
          <w:szCs w:val="32"/>
        </w:rPr>
        <w:t>.</w:t>
      </w:r>
      <w:r w:rsidR="006626E8">
        <w:rPr>
          <w:rFonts w:ascii="仿宋_GB2312" w:eastAsia="仿宋_GB2312"/>
          <w:b/>
          <w:sz w:val="32"/>
          <w:szCs w:val="32"/>
        </w:rPr>
        <w:t>9</w:t>
      </w:r>
      <w:r w:rsidR="000A28DD" w:rsidRPr="000A28DD">
        <w:rPr>
          <w:rFonts w:ascii="仿宋_GB2312" w:eastAsia="仿宋_GB2312" w:hint="eastAsia"/>
          <w:b/>
          <w:sz w:val="32"/>
          <w:szCs w:val="32"/>
        </w:rPr>
        <w:t>%</w:t>
      </w:r>
      <w:r w:rsidRPr="00AB3431">
        <w:rPr>
          <w:rFonts w:ascii="仿宋_GB2312" w:eastAsia="仿宋_GB2312" w:hint="eastAsia"/>
          <w:b/>
          <w:sz w:val="32"/>
          <w:szCs w:val="32"/>
        </w:rPr>
        <w:t>。</w:t>
      </w:r>
      <w:bookmarkEnd w:id="35"/>
      <w:bookmarkEnd w:id="36"/>
      <w:bookmarkEnd w:id="37"/>
      <w:bookmarkEnd w:id="38"/>
    </w:p>
    <w:p w:rsidR="00AF72A0" w:rsidRPr="00C22B1A" w:rsidRDefault="00AF72A0" w:rsidP="00AF72A0">
      <w:pPr>
        <w:autoSpaceDE w:val="0"/>
        <w:autoSpaceDN w:val="0"/>
        <w:adjustRightInd w:val="0"/>
        <w:jc w:val="center"/>
        <w:rPr>
          <w:rFonts w:asciiTheme="minorEastAsia" w:hAnsiTheme="minorEastAsia"/>
          <w:b/>
          <w:sz w:val="28"/>
          <w:szCs w:val="28"/>
        </w:rPr>
      </w:pPr>
      <w:r w:rsidRPr="00C22B1A">
        <w:rPr>
          <w:rFonts w:asciiTheme="minorEastAsia" w:hAnsiTheme="minorEastAsia" w:hint="eastAsia"/>
          <w:b/>
          <w:sz w:val="28"/>
          <w:szCs w:val="28"/>
        </w:rPr>
        <w:t>表8</w:t>
      </w:r>
      <w:r w:rsidR="00723F6B" w:rsidRPr="00C22B1A">
        <w:rPr>
          <w:rFonts w:asciiTheme="minorEastAsia" w:hAnsiTheme="minorEastAsia" w:hint="eastAsia"/>
          <w:b/>
          <w:sz w:val="28"/>
          <w:szCs w:val="28"/>
        </w:rPr>
        <w:t xml:space="preserve"> </w:t>
      </w:r>
      <w:bookmarkStart w:id="39" w:name="OLE_LINK17"/>
      <w:bookmarkStart w:id="40" w:name="OLE_LINK18"/>
      <w:r w:rsidRPr="00C22B1A">
        <w:rPr>
          <w:rFonts w:asciiTheme="minorEastAsia" w:hAnsiTheme="minorEastAsia" w:hint="eastAsia"/>
          <w:b/>
          <w:sz w:val="28"/>
          <w:szCs w:val="28"/>
        </w:rPr>
        <w:t>房价</w:t>
      </w:r>
      <w:proofErr w:type="gramStart"/>
      <w:r w:rsidRPr="00C22B1A">
        <w:rPr>
          <w:rFonts w:asciiTheme="minorEastAsia" w:hAnsiTheme="minorEastAsia" w:hint="eastAsia"/>
          <w:b/>
          <w:sz w:val="28"/>
          <w:szCs w:val="28"/>
        </w:rPr>
        <w:t>对住类商品</w:t>
      </w:r>
      <w:proofErr w:type="gramEnd"/>
      <w:r w:rsidRPr="00C22B1A">
        <w:rPr>
          <w:rFonts w:asciiTheme="minorEastAsia" w:hAnsiTheme="minorEastAsia" w:hint="eastAsia"/>
          <w:b/>
          <w:sz w:val="28"/>
          <w:szCs w:val="28"/>
        </w:rPr>
        <w:t>消费影响估计结果</w:t>
      </w:r>
      <w:bookmarkEnd w:id="39"/>
      <w:bookmarkEnd w:id="40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1091"/>
      </w:tblGrid>
      <w:tr w:rsidR="00AF72A0" w:rsidTr="006626E8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F72A0" w:rsidTr="006626E8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 w:rsidP="001A6C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 w:rsidP="001A6C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 w:rsidP="001A6C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 w:rsidP="001A6C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 w:rsidP="001A6C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F72A0" w:rsidTr="006626E8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 w:rsidP="001A6C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 w:rsidP="001A6C6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AF72A0" w:rsidTr="006626E8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F72A0" w:rsidTr="006626E8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626E8" w:rsidTr="006626E8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1E6D2B" w:rsidRDefault="006626E8" w:rsidP="006626E8">
            <w:r w:rsidRPr="001E6D2B">
              <w:t>(Intercept)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-8.066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3.7517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-2.15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proofErr w:type="gramStart"/>
            <w:r w:rsidRPr="00264137">
              <w:t>0.05265 .</w:t>
            </w:r>
            <w:proofErr w:type="gramEnd"/>
          </w:p>
        </w:tc>
      </w:tr>
      <w:tr w:rsidR="006626E8" w:rsidTr="006626E8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1E6D2B" w:rsidRDefault="006626E8" w:rsidP="006626E8">
            <w:proofErr w:type="gramStart"/>
            <w:r w:rsidRPr="001E6D2B">
              <w:t>log(</w:t>
            </w:r>
            <w:proofErr w:type="gramEnd"/>
            <w:r w:rsidRPr="001E6D2B">
              <w:t>Income)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-1.7168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1.0209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-1.682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0.11847</w:t>
            </w:r>
          </w:p>
        </w:tc>
      </w:tr>
      <w:tr w:rsidR="006626E8" w:rsidTr="006626E8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1E6D2B" w:rsidRDefault="006626E8" w:rsidP="006626E8">
            <w:proofErr w:type="gramStart"/>
            <w:r w:rsidRPr="001E6D2B">
              <w:t>log(</w:t>
            </w:r>
            <w:proofErr w:type="spellStart"/>
            <w:proofErr w:type="gramEnd"/>
            <w:r w:rsidRPr="001E6D2B">
              <w:t>HousePrice</w:t>
            </w:r>
            <w:proofErr w:type="spellEnd"/>
            <w:r w:rsidRPr="001E6D2B">
              <w:t>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2.9008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1.0049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2.887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0.01366 *</w:t>
            </w:r>
          </w:p>
        </w:tc>
      </w:tr>
      <w:tr w:rsidR="006626E8" w:rsidTr="006626E8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1E6D2B" w:rsidRDefault="006626E8" w:rsidP="006626E8">
            <w:proofErr w:type="gramStart"/>
            <w:r w:rsidRPr="001E6D2B">
              <w:t>log(</w:t>
            </w:r>
            <w:proofErr w:type="gramEnd"/>
            <w:r w:rsidRPr="001E6D2B">
              <w:t>Decoration</w:t>
            </w:r>
            <w:r>
              <w:t>(-</w:t>
            </w:r>
            <w:r w:rsidRPr="001E6D2B">
              <w:t>1))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1.003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0.2226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626E8" w:rsidRPr="00264137" w:rsidRDefault="006626E8" w:rsidP="006626E8">
            <w:r w:rsidRPr="00264137">
              <w:t>4.505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6626E8" w:rsidRDefault="006626E8" w:rsidP="006626E8">
            <w:r w:rsidRPr="00264137">
              <w:t>0.00072 ***</w:t>
            </w:r>
          </w:p>
        </w:tc>
      </w:tr>
      <w:tr w:rsidR="00AF72A0" w:rsidTr="006626E8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F72A0" w:rsidTr="006626E8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12DDF" w:rsidTr="006626E8">
        <w:trPr>
          <w:trHeight w:val="225"/>
          <w:jc w:val="center"/>
        </w:trPr>
        <w:tc>
          <w:tcPr>
            <w:tcW w:w="66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6E8" w:rsidRPr="006626E8" w:rsidRDefault="006626E8" w:rsidP="006626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Residual standard error: 0.1658 on 12 degrees of freedom</w:t>
            </w:r>
          </w:p>
          <w:p w:rsidR="006626E8" w:rsidRDefault="006626E8" w:rsidP="006626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Multiple R-squared:  0.9868</w:t>
            </w:r>
          </w:p>
          <w:p w:rsidR="006626E8" w:rsidRPr="006626E8" w:rsidRDefault="006626E8" w:rsidP="006626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Adjusted R-squared:  0.9835 </w:t>
            </w:r>
          </w:p>
          <w:p w:rsidR="006626E8" w:rsidRDefault="006626E8" w:rsidP="006626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F-statistic:   299 on 3 and 12 DF</w:t>
            </w:r>
          </w:p>
          <w:p w:rsidR="00212DDF" w:rsidRDefault="006626E8" w:rsidP="006626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626E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p-value: 1.543e-11</w:t>
            </w:r>
          </w:p>
        </w:tc>
      </w:tr>
      <w:tr w:rsidR="00AF72A0" w:rsidTr="006626E8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F72A0" w:rsidTr="006626E8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2A0" w:rsidRDefault="00AF72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765AC" w:rsidRPr="00FA65A7" w:rsidRDefault="004A6670" w:rsidP="004005C9">
      <w:pPr>
        <w:spacing w:beforeLines="50" w:before="156" w:afterLines="30" w:after="93" w:line="360" w:lineRule="auto"/>
        <w:ind w:firstLineChars="200" w:firstLine="643"/>
        <w:outlineLvl w:val="1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</w:t>
      </w:r>
      <w:r w:rsidR="00D765AC" w:rsidRPr="00FA65A7">
        <w:rPr>
          <w:rFonts w:ascii="黑体" w:eastAsia="黑体" w:hAnsi="黑体" w:hint="eastAsia"/>
          <w:b/>
          <w:sz w:val="32"/>
          <w:szCs w:val="32"/>
        </w:rPr>
        <w:t>、主要分析结论</w:t>
      </w:r>
    </w:p>
    <w:p w:rsidR="00FA65A7" w:rsidRDefault="005F6EE2" w:rsidP="00FA65A7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5F6EE2">
        <w:rPr>
          <w:rFonts w:ascii="仿宋_GB2312" w:eastAsia="仿宋_GB2312" w:hint="eastAsia"/>
          <w:sz w:val="32"/>
          <w:szCs w:val="32"/>
        </w:rPr>
        <w:t>住宅价格上涨对居民消费</w:t>
      </w:r>
      <w:r w:rsidR="00D115BA">
        <w:rPr>
          <w:rFonts w:ascii="仿宋_GB2312" w:eastAsia="仿宋_GB2312" w:hint="eastAsia"/>
          <w:sz w:val="32"/>
          <w:szCs w:val="32"/>
        </w:rPr>
        <w:t>的</w:t>
      </w:r>
      <w:r w:rsidRPr="005F6EE2">
        <w:rPr>
          <w:rFonts w:ascii="仿宋_GB2312" w:eastAsia="仿宋_GB2312" w:hint="eastAsia"/>
          <w:sz w:val="32"/>
          <w:szCs w:val="32"/>
        </w:rPr>
        <w:t>挤出效应</w:t>
      </w:r>
      <w:r w:rsidR="00D115BA">
        <w:rPr>
          <w:rFonts w:ascii="仿宋_GB2312" w:eastAsia="仿宋_GB2312" w:hint="eastAsia"/>
          <w:sz w:val="32"/>
          <w:szCs w:val="32"/>
        </w:rPr>
        <w:t>强于财富效应，总体上对消费起抑制作用</w:t>
      </w:r>
      <w:r>
        <w:rPr>
          <w:rFonts w:ascii="仿宋_GB2312" w:eastAsia="仿宋_GB2312" w:hint="eastAsia"/>
          <w:sz w:val="32"/>
          <w:szCs w:val="32"/>
        </w:rPr>
        <w:t>。</w:t>
      </w:r>
      <w:r w:rsidRPr="005F6EE2">
        <w:rPr>
          <w:rFonts w:ascii="仿宋_GB2312" w:eastAsia="仿宋_GB2312" w:hint="eastAsia"/>
          <w:sz w:val="32"/>
          <w:szCs w:val="32"/>
        </w:rPr>
        <w:t>在其他变量不变的条件下，住宅商品房平均销售价格每提高1%，城镇居民人均消费支出就减少0.0</w:t>
      </w:r>
      <w:r w:rsidR="001A6C60">
        <w:rPr>
          <w:rFonts w:ascii="仿宋_GB2312" w:eastAsia="仿宋_GB2312"/>
          <w:sz w:val="32"/>
          <w:szCs w:val="32"/>
        </w:rPr>
        <w:t>9</w:t>
      </w:r>
      <w:r w:rsidRPr="005F6EE2">
        <w:rPr>
          <w:rFonts w:ascii="仿宋_GB2312" w:eastAsia="仿宋_GB2312" w:hint="eastAsia"/>
          <w:sz w:val="32"/>
          <w:szCs w:val="32"/>
        </w:rPr>
        <w:t>%。</w:t>
      </w:r>
    </w:p>
    <w:p w:rsidR="005F6EE2" w:rsidRDefault="00936200" w:rsidP="00FA65A7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>2</w:t>
      </w:r>
      <w:r w:rsidR="005F6EE2">
        <w:rPr>
          <w:rFonts w:ascii="仿宋_GB2312" w:eastAsia="仿宋_GB2312" w:hint="eastAsia"/>
          <w:sz w:val="32"/>
          <w:szCs w:val="32"/>
        </w:rPr>
        <w:t>.</w:t>
      </w:r>
      <w:r w:rsidR="006C2C98">
        <w:rPr>
          <w:rFonts w:ascii="仿宋_GB2312" w:eastAsia="仿宋_GB2312" w:hint="eastAsia"/>
          <w:sz w:val="32"/>
          <w:szCs w:val="32"/>
        </w:rPr>
        <w:t>住宅价格</w:t>
      </w:r>
      <w:r w:rsidR="005F6EE2" w:rsidRPr="005F6EE2">
        <w:rPr>
          <w:rFonts w:ascii="仿宋_GB2312" w:eastAsia="仿宋_GB2312" w:hint="eastAsia"/>
          <w:sz w:val="32"/>
          <w:szCs w:val="32"/>
        </w:rPr>
        <w:t>上涨对</w:t>
      </w:r>
      <w:r w:rsidR="005F6EE2">
        <w:rPr>
          <w:rFonts w:ascii="仿宋_GB2312" w:eastAsia="仿宋_GB2312" w:hint="eastAsia"/>
          <w:sz w:val="32"/>
          <w:szCs w:val="32"/>
        </w:rPr>
        <w:t>社会消费品零售总额</w:t>
      </w:r>
      <w:r w:rsidR="005F6EE2" w:rsidRPr="005F6EE2">
        <w:rPr>
          <w:rFonts w:ascii="仿宋_GB2312" w:eastAsia="仿宋_GB2312" w:hint="eastAsia"/>
          <w:sz w:val="32"/>
          <w:szCs w:val="32"/>
        </w:rPr>
        <w:t>具有</w:t>
      </w:r>
      <w:r w:rsidR="001A6C60">
        <w:rPr>
          <w:rFonts w:ascii="仿宋_GB2312" w:eastAsia="仿宋_GB2312" w:hint="eastAsia"/>
          <w:sz w:val="32"/>
          <w:szCs w:val="32"/>
        </w:rPr>
        <w:t>正向</w:t>
      </w:r>
      <w:r w:rsidR="005F6EE2" w:rsidRPr="005F6EE2">
        <w:rPr>
          <w:rFonts w:ascii="仿宋_GB2312" w:eastAsia="仿宋_GB2312" w:hint="eastAsia"/>
          <w:sz w:val="32"/>
          <w:szCs w:val="32"/>
        </w:rPr>
        <w:t>影响</w:t>
      </w:r>
      <w:r w:rsidR="005F6EE2">
        <w:rPr>
          <w:rFonts w:ascii="仿宋_GB2312" w:eastAsia="仿宋_GB2312" w:hint="eastAsia"/>
          <w:sz w:val="32"/>
          <w:szCs w:val="32"/>
        </w:rPr>
        <w:t>。</w:t>
      </w:r>
      <w:r w:rsidR="005F6EE2" w:rsidRPr="005F6EE2">
        <w:rPr>
          <w:rFonts w:ascii="仿宋_GB2312" w:eastAsia="仿宋_GB2312" w:hint="eastAsia"/>
          <w:sz w:val="32"/>
          <w:szCs w:val="32"/>
        </w:rPr>
        <w:t>在其他变量不变的条件下，住宅商品房平均销售价格上涨1%，导致社会消费品零售总额</w:t>
      </w:r>
      <w:r w:rsidR="001A6C60">
        <w:rPr>
          <w:rFonts w:ascii="仿宋_GB2312" w:eastAsia="仿宋_GB2312" w:hint="eastAsia"/>
          <w:sz w:val="32"/>
          <w:szCs w:val="32"/>
        </w:rPr>
        <w:t>上升</w:t>
      </w:r>
      <w:r w:rsidR="00EE2B86">
        <w:rPr>
          <w:rFonts w:ascii="仿宋_GB2312" w:eastAsia="仿宋_GB2312" w:hint="eastAsia"/>
          <w:sz w:val="32"/>
          <w:szCs w:val="32"/>
        </w:rPr>
        <w:t>0.0</w:t>
      </w:r>
      <w:r w:rsidR="001A6C60">
        <w:rPr>
          <w:rFonts w:ascii="仿宋_GB2312" w:eastAsia="仿宋_GB2312"/>
          <w:sz w:val="32"/>
          <w:szCs w:val="32"/>
        </w:rPr>
        <w:t>8</w:t>
      </w:r>
      <w:r w:rsidR="005F6EE2" w:rsidRPr="005F6EE2">
        <w:rPr>
          <w:rFonts w:ascii="仿宋_GB2312" w:eastAsia="仿宋_GB2312" w:hint="eastAsia"/>
          <w:sz w:val="32"/>
          <w:szCs w:val="32"/>
        </w:rPr>
        <w:t>个百分点。</w:t>
      </w:r>
    </w:p>
    <w:p w:rsidR="00864A1A" w:rsidRDefault="00936200" w:rsidP="00864A1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 w:rsidR="00E9364F">
        <w:rPr>
          <w:rFonts w:ascii="仿宋_GB2312" w:eastAsia="仿宋_GB2312" w:hint="eastAsia"/>
          <w:sz w:val="32"/>
          <w:szCs w:val="32"/>
        </w:rPr>
        <w:t>.</w:t>
      </w:r>
      <w:r w:rsidR="006C2C98">
        <w:rPr>
          <w:rFonts w:ascii="仿宋_GB2312" w:eastAsia="仿宋_GB2312" w:hint="eastAsia"/>
          <w:sz w:val="32"/>
          <w:szCs w:val="32"/>
        </w:rPr>
        <w:t>住宅价格</w:t>
      </w:r>
      <w:r w:rsidR="00864A1A">
        <w:rPr>
          <w:rFonts w:ascii="仿宋_GB2312" w:eastAsia="仿宋_GB2312" w:hint="eastAsia"/>
          <w:sz w:val="32"/>
          <w:szCs w:val="32"/>
        </w:rPr>
        <w:t>上涨</w:t>
      </w:r>
      <w:r w:rsidR="006C2C98">
        <w:rPr>
          <w:rFonts w:ascii="仿宋_GB2312" w:eastAsia="仿宋_GB2312" w:hint="eastAsia"/>
          <w:sz w:val="32"/>
          <w:szCs w:val="32"/>
        </w:rPr>
        <w:t>对不同种类商品消费影响</w:t>
      </w:r>
      <w:r w:rsidR="008C4A9F">
        <w:rPr>
          <w:rFonts w:ascii="仿宋_GB2312" w:eastAsia="仿宋_GB2312" w:hint="eastAsia"/>
          <w:sz w:val="32"/>
          <w:szCs w:val="32"/>
        </w:rPr>
        <w:t>程度</w:t>
      </w:r>
      <w:r w:rsidR="006C2C98">
        <w:rPr>
          <w:rFonts w:ascii="仿宋_GB2312" w:eastAsia="仿宋_GB2312" w:hint="eastAsia"/>
          <w:sz w:val="32"/>
          <w:szCs w:val="32"/>
        </w:rPr>
        <w:t>不同。对</w:t>
      </w:r>
      <w:r w:rsidR="008C4A9F" w:rsidRPr="008C4A9F">
        <w:rPr>
          <w:rFonts w:ascii="仿宋_GB2312" w:eastAsia="仿宋_GB2312" w:hint="eastAsia"/>
          <w:sz w:val="32"/>
          <w:szCs w:val="32"/>
        </w:rPr>
        <w:t>建筑及装潢材料类</w:t>
      </w:r>
      <w:r w:rsidR="008C4A9F">
        <w:rPr>
          <w:rFonts w:ascii="仿宋_GB2312" w:eastAsia="仿宋_GB2312" w:hint="eastAsia"/>
          <w:sz w:val="32"/>
          <w:szCs w:val="32"/>
        </w:rPr>
        <w:t>商品</w:t>
      </w:r>
      <w:r w:rsidR="006C2C98">
        <w:rPr>
          <w:rFonts w:ascii="仿宋_GB2312" w:eastAsia="仿宋_GB2312" w:hint="eastAsia"/>
          <w:sz w:val="32"/>
          <w:szCs w:val="32"/>
        </w:rPr>
        <w:t>消费带动作用最强，</w:t>
      </w:r>
      <w:r w:rsidR="006C2C98" w:rsidRPr="006C2C98">
        <w:rPr>
          <w:rFonts w:ascii="仿宋_GB2312" w:eastAsia="仿宋_GB2312" w:hint="eastAsia"/>
          <w:sz w:val="32"/>
          <w:szCs w:val="32"/>
        </w:rPr>
        <w:t>弹性系数为</w:t>
      </w:r>
      <w:r w:rsidR="008C4A9F">
        <w:rPr>
          <w:rFonts w:ascii="仿宋_GB2312" w:eastAsia="仿宋_GB2312"/>
          <w:sz w:val="32"/>
          <w:szCs w:val="32"/>
        </w:rPr>
        <w:t>2.</w:t>
      </w:r>
      <w:r w:rsidR="006626E8">
        <w:rPr>
          <w:rFonts w:ascii="仿宋_GB2312" w:eastAsia="仿宋_GB2312"/>
          <w:sz w:val="32"/>
          <w:szCs w:val="32"/>
        </w:rPr>
        <w:t>9</w:t>
      </w:r>
      <w:r w:rsidR="006C2C98">
        <w:rPr>
          <w:rFonts w:ascii="仿宋_GB2312" w:eastAsia="仿宋_GB2312" w:hint="eastAsia"/>
          <w:sz w:val="32"/>
          <w:szCs w:val="32"/>
        </w:rPr>
        <w:t>；对</w:t>
      </w:r>
      <w:r w:rsidR="008C4A9F" w:rsidRPr="008C4A9F">
        <w:rPr>
          <w:rFonts w:ascii="仿宋_GB2312" w:eastAsia="仿宋_GB2312" w:hint="eastAsia"/>
          <w:sz w:val="32"/>
          <w:szCs w:val="32"/>
        </w:rPr>
        <w:t>家具类商品消费</w:t>
      </w:r>
      <w:r w:rsidR="008C4A9F">
        <w:rPr>
          <w:rFonts w:ascii="仿宋_GB2312" w:eastAsia="仿宋_GB2312" w:hint="eastAsia"/>
          <w:sz w:val="32"/>
          <w:szCs w:val="32"/>
        </w:rPr>
        <w:t>带动作用次之，弹性系数为1</w:t>
      </w:r>
      <w:r w:rsidR="008C4A9F">
        <w:rPr>
          <w:rFonts w:ascii="仿宋_GB2312" w:eastAsia="仿宋_GB2312"/>
          <w:sz w:val="32"/>
          <w:szCs w:val="32"/>
        </w:rPr>
        <w:t>.</w:t>
      </w:r>
      <w:r w:rsidR="006626E8">
        <w:rPr>
          <w:rFonts w:ascii="仿宋_GB2312" w:eastAsia="仿宋_GB2312"/>
          <w:sz w:val="32"/>
          <w:szCs w:val="32"/>
        </w:rPr>
        <w:t>99</w:t>
      </w:r>
      <w:r w:rsidR="008C4A9F">
        <w:rPr>
          <w:rFonts w:ascii="仿宋_GB2312" w:eastAsia="仿宋_GB2312" w:hint="eastAsia"/>
          <w:sz w:val="32"/>
          <w:szCs w:val="32"/>
        </w:rPr>
        <w:t>；对</w:t>
      </w:r>
      <w:r w:rsidR="008C4A9F" w:rsidRPr="008C4A9F">
        <w:rPr>
          <w:rFonts w:ascii="仿宋_GB2312" w:eastAsia="仿宋_GB2312" w:hint="eastAsia"/>
          <w:sz w:val="32"/>
          <w:szCs w:val="32"/>
        </w:rPr>
        <w:t>家具类商品消费</w:t>
      </w:r>
      <w:r w:rsidR="008C4A9F">
        <w:rPr>
          <w:rFonts w:ascii="仿宋_GB2312" w:eastAsia="仿宋_GB2312" w:hint="eastAsia"/>
          <w:sz w:val="32"/>
          <w:szCs w:val="32"/>
        </w:rPr>
        <w:t>带动作用最弱，弹性系数为</w:t>
      </w:r>
      <w:r w:rsidR="008C4A9F">
        <w:rPr>
          <w:rFonts w:ascii="仿宋_GB2312" w:eastAsia="仿宋_GB2312"/>
          <w:sz w:val="32"/>
          <w:szCs w:val="32"/>
        </w:rPr>
        <w:t>0.</w:t>
      </w:r>
      <w:r w:rsidR="006626E8">
        <w:rPr>
          <w:rFonts w:ascii="仿宋_GB2312" w:eastAsia="仿宋_GB2312"/>
          <w:sz w:val="32"/>
          <w:szCs w:val="32"/>
        </w:rPr>
        <w:t>69</w:t>
      </w:r>
      <w:r w:rsidR="008C4A9F">
        <w:rPr>
          <w:rFonts w:ascii="仿宋_GB2312" w:eastAsia="仿宋_GB2312" w:hint="eastAsia"/>
          <w:sz w:val="32"/>
          <w:szCs w:val="32"/>
        </w:rPr>
        <w:t>。</w:t>
      </w:r>
    </w:p>
    <w:p w:rsidR="00E9364F" w:rsidRDefault="00936200" w:rsidP="008C2647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 w:rsidR="008C2647">
        <w:rPr>
          <w:rFonts w:ascii="仿宋_GB2312" w:eastAsia="仿宋_GB2312" w:hint="eastAsia"/>
          <w:sz w:val="32"/>
          <w:szCs w:val="32"/>
        </w:rPr>
        <w:t>.</w:t>
      </w:r>
      <w:r w:rsidR="008C2647" w:rsidRPr="008C2647">
        <w:rPr>
          <w:rFonts w:ascii="仿宋_GB2312" w:eastAsia="仿宋_GB2312" w:hint="eastAsia"/>
          <w:sz w:val="32"/>
          <w:szCs w:val="32"/>
        </w:rPr>
        <w:t>收入水平是影响居民消费的最主要因素，扩大消费的关键在于提升居民收入水平。其它变量不变条件下，城镇居民人均可支配收入增长1个百分点，会带动城镇居民人均消费支出增长0.7</w:t>
      </w:r>
      <w:r w:rsidR="008C2647">
        <w:rPr>
          <w:rFonts w:ascii="仿宋_GB2312" w:eastAsia="仿宋_GB2312" w:hint="eastAsia"/>
          <w:sz w:val="32"/>
          <w:szCs w:val="32"/>
        </w:rPr>
        <w:t>个百分点。</w:t>
      </w:r>
    </w:p>
    <w:p w:rsidR="004A6670" w:rsidRPr="00530417" w:rsidRDefault="004A6670" w:rsidP="00FB3E0C">
      <w:pPr>
        <w:spacing w:beforeLines="100" w:before="312" w:afterLines="50" w:after="156"/>
        <w:ind w:firstLineChars="200" w:firstLine="643"/>
        <w:outlineLvl w:val="0"/>
        <w:rPr>
          <w:rFonts w:ascii="黑体" w:eastAsia="黑体" w:hAnsi="黑体"/>
          <w:b/>
          <w:sz w:val="32"/>
          <w:szCs w:val="32"/>
        </w:rPr>
      </w:pPr>
      <w:r w:rsidRPr="00530417">
        <w:rPr>
          <w:rFonts w:ascii="黑体" w:eastAsia="黑体" w:hAnsi="黑体" w:hint="eastAsia"/>
          <w:b/>
          <w:sz w:val="32"/>
          <w:szCs w:val="32"/>
        </w:rPr>
        <w:t>五</w:t>
      </w:r>
      <w:r w:rsidRPr="00530417">
        <w:rPr>
          <w:rFonts w:ascii="黑体" w:eastAsia="黑体" w:hAnsi="黑体"/>
          <w:b/>
          <w:sz w:val="32"/>
          <w:szCs w:val="32"/>
        </w:rPr>
        <w:t>、</w:t>
      </w:r>
      <w:r w:rsidR="00530417" w:rsidRPr="00530417">
        <w:rPr>
          <w:rFonts w:ascii="黑体" w:eastAsia="黑体" w:hAnsi="黑体" w:hint="eastAsia"/>
          <w:b/>
          <w:sz w:val="32"/>
          <w:szCs w:val="32"/>
        </w:rPr>
        <w:t>政策</w:t>
      </w:r>
      <w:r w:rsidR="00530417" w:rsidRPr="00530417">
        <w:rPr>
          <w:rFonts w:ascii="黑体" w:eastAsia="黑体" w:hAnsi="黑体"/>
          <w:b/>
          <w:sz w:val="32"/>
          <w:szCs w:val="32"/>
        </w:rPr>
        <w:t>建议</w:t>
      </w:r>
    </w:p>
    <w:p w:rsidR="00530417" w:rsidRPr="00530417" w:rsidRDefault="00530417" w:rsidP="008C2647">
      <w:pPr>
        <w:ind w:firstLineChars="200" w:firstLine="640"/>
        <w:rPr>
          <w:rFonts w:ascii="仿宋_GB2312" w:eastAsia="仿宋_GB2312"/>
          <w:sz w:val="32"/>
          <w:szCs w:val="32"/>
        </w:rPr>
      </w:pPr>
    </w:p>
    <w:sectPr w:rsidR="00530417" w:rsidRPr="00530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66E" w:rsidRDefault="00A6066E" w:rsidP="008A1C04">
      <w:r>
        <w:separator/>
      </w:r>
    </w:p>
  </w:endnote>
  <w:endnote w:type="continuationSeparator" w:id="0">
    <w:p w:rsidR="00A6066E" w:rsidRDefault="00A6066E" w:rsidP="008A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66E" w:rsidRDefault="00A6066E" w:rsidP="008A1C04">
      <w:r>
        <w:separator/>
      </w:r>
    </w:p>
  </w:footnote>
  <w:footnote w:type="continuationSeparator" w:id="0">
    <w:p w:rsidR="00A6066E" w:rsidRDefault="00A6066E" w:rsidP="008A1C04">
      <w:r>
        <w:continuationSeparator/>
      </w:r>
    </w:p>
  </w:footnote>
  <w:footnote w:id="1">
    <w:p w:rsidR="00BB3EFD" w:rsidRPr="00BB3EFD" w:rsidRDefault="00BB3EFD">
      <w:pPr>
        <w:pStyle w:val="ae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2</w:t>
      </w:r>
      <w:r>
        <w:t>004</w:t>
      </w:r>
      <w:r>
        <w:rPr>
          <w:rFonts w:hint="eastAsia"/>
        </w:rPr>
        <w:t>年之前无年初值，用上一</w:t>
      </w:r>
      <w:proofErr w:type="gramStart"/>
      <w:r>
        <w:rPr>
          <w:rFonts w:hint="eastAsia"/>
        </w:rPr>
        <w:t>年年末值代替</w:t>
      </w:r>
      <w:proofErr w:type="gramEnd"/>
    </w:p>
  </w:footnote>
  <w:footnote w:id="2">
    <w:p w:rsidR="00936200" w:rsidRDefault="00936200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因变量滞后二期加入模型后</w:t>
      </w:r>
      <w:r w:rsidRPr="00936200">
        <w:rPr>
          <w:rFonts w:hint="eastAsia"/>
        </w:rPr>
        <w:t>，</w:t>
      </w:r>
      <w:r>
        <w:rPr>
          <w:rFonts w:hint="eastAsia"/>
        </w:rPr>
        <w:t>系数显著，因此采用包含滞后一、二期的模型</w:t>
      </w:r>
      <w:r w:rsidRPr="00936200"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3823"/>
    <w:multiLevelType w:val="hybridMultilevel"/>
    <w:tmpl w:val="927C0E8A"/>
    <w:lvl w:ilvl="0" w:tplc="408CAA7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6B5"/>
    <w:rsid w:val="00005200"/>
    <w:rsid w:val="00013D7E"/>
    <w:rsid w:val="00021021"/>
    <w:rsid w:val="00024AF3"/>
    <w:rsid w:val="00030A23"/>
    <w:rsid w:val="00036FAB"/>
    <w:rsid w:val="00055379"/>
    <w:rsid w:val="000567A2"/>
    <w:rsid w:val="00090B91"/>
    <w:rsid w:val="00091088"/>
    <w:rsid w:val="0009334C"/>
    <w:rsid w:val="000A28DD"/>
    <w:rsid w:val="000A2E46"/>
    <w:rsid w:val="000A4E8F"/>
    <w:rsid w:val="000B6BE9"/>
    <w:rsid w:val="000C0CE4"/>
    <w:rsid w:val="000C3A8E"/>
    <w:rsid w:val="000C3C89"/>
    <w:rsid w:val="000D4A77"/>
    <w:rsid w:val="000E518A"/>
    <w:rsid w:val="000E6AA8"/>
    <w:rsid w:val="000F32E2"/>
    <w:rsid w:val="0010064C"/>
    <w:rsid w:val="001059AD"/>
    <w:rsid w:val="001147B1"/>
    <w:rsid w:val="001147FD"/>
    <w:rsid w:val="00140097"/>
    <w:rsid w:val="00142410"/>
    <w:rsid w:val="00142B79"/>
    <w:rsid w:val="00147DCE"/>
    <w:rsid w:val="00153AB4"/>
    <w:rsid w:val="00153F09"/>
    <w:rsid w:val="0015786D"/>
    <w:rsid w:val="001610A3"/>
    <w:rsid w:val="00163139"/>
    <w:rsid w:val="00172BF7"/>
    <w:rsid w:val="00172EF1"/>
    <w:rsid w:val="00175FDA"/>
    <w:rsid w:val="001843C1"/>
    <w:rsid w:val="001A3C3F"/>
    <w:rsid w:val="001A6C60"/>
    <w:rsid w:val="001B378F"/>
    <w:rsid w:val="001B46F7"/>
    <w:rsid w:val="001B7E30"/>
    <w:rsid w:val="001C2262"/>
    <w:rsid w:val="001C4C6F"/>
    <w:rsid w:val="001C6764"/>
    <w:rsid w:val="001D18E6"/>
    <w:rsid w:val="001E778B"/>
    <w:rsid w:val="001F3EDE"/>
    <w:rsid w:val="001F4179"/>
    <w:rsid w:val="001F5EEA"/>
    <w:rsid w:val="00202733"/>
    <w:rsid w:val="00206CAD"/>
    <w:rsid w:val="00212DDF"/>
    <w:rsid w:val="00215F43"/>
    <w:rsid w:val="0021751E"/>
    <w:rsid w:val="00220DF3"/>
    <w:rsid w:val="002263E7"/>
    <w:rsid w:val="00236821"/>
    <w:rsid w:val="0023787D"/>
    <w:rsid w:val="0024165B"/>
    <w:rsid w:val="00261B5A"/>
    <w:rsid w:val="002665E6"/>
    <w:rsid w:val="002714E6"/>
    <w:rsid w:val="00282593"/>
    <w:rsid w:val="002841EB"/>
    <w:rsid w:val="0028437A"/>
    <w:rsid w:val="002A64FC"/>
    <w:rsid w:val="002B60D3"/>
    <w:rsid w:val="002C2FFB"/>
    <w:rsid w:val="002D58A4"/>
    <w:rsid w:val="002E718A"/>
    <w:rsid w:val="002F15DB"/>
    <w:rsid w:val="00302ABD"/>
    <w:rsid w:val="00303078"/>
    <w:rsid w:val="00322918"/>
    <w:rsid w:val="00331923"/>
    <w:rsid w:val="00343485"/>
    <w:rsid w:val="003500F6"/>
    <w:rsid w:val="003539EF"/>
    <w:rsid w:val="00357D2D"/>
    <w:rsid w:val="00365B08"/>
    <w:rsid w:val="003A0457"/>
    <w:rsid w:val="003A73F3"/>
    <w:rsid w:val="003D0224"/>
    <w:rsid w:val="003D0E0A"/>
    <w:rsid w:val="003D5D70"/>
    <w:rsid w:val="003F346D"/>
    <w:rsid w:val="003F4EA9"/>
    <w:rsid w:val="004005C9"/>
    <w:rsid w:val="00414082"/>
    <w:rsid w:val="00414135"/>
    <w:rsid w:val="00414F22"/>
    <w:rsid w:val="004212B3"/>
    <w:rsid w:val="004242B1"/>
    <w:rsid w:val="00434D90"/>
    <w:rsid w:val="00436FD2"/>
    <w:rsid w:val="0044330E"/>
    <w:rsid w:val="004436A4"/>
    <w:rsid w:val="00463323"/>
    <w:rsid w:val="004635E9"/>
    <w:rsid w:val="004738D2"/>
    <w:rsid w:val="00473A7C"/>
    <w:rsid w:val="004776EF"/>
    <w:rsid w:val="00482280"/>
    <w:rsid w:val="004A10A6"/>
    <w:rsid w:val="004A6670"/>
    <w:rsid w:val="004A78D9"/>
    <w:rsid w:val="004B61AE"/>
    <w:rsid w:val="004C3DD4"/>
    <w:rsid w:val="004D0555"/>
    <w:rsid w:val="004D327A"/>
    <w:rsid w:val="004D75E4"/>
    <w:rsid w:val="004D7A5F"/>
    <w:rsid w:val="004F2A64"/>
    <w:rsid w:val="004F446C"/>
    <w:rsid w:val="00512D65"/>
    <w:rsid w:val="00525634"/>
    <w:rsid w:val="00530417"/>
    <w:rsid w:val="00531FF3"/>
    <w:rsid w:val="00545370"/>
    <w:rsid w:val="00555B73"/>
    <w:rsid w:val="00572590"/>
    <w:rsid w:val="00574F92"/>
    <w:rsid w:val="00583FDB"/>
    <w:rsid w:val="0058434A"/>
    <w:rsid w:val="0058797F"/>
    <w:rsid w:val="005B766D"/>
    <w:rsid w:val="005C002B"/>
    <w:rsid w:val="005D31AD"/>
    <w:rsid w:val="005E0424"/>
    <w:rsid w:val="005E2D97"/>
    <w:rsid w:val="005E5904"/>
    <w:rsid w:val="005F6EE2"/>
    <w:rsid w:val="005F774F"/>
    <w:rsid w:val="00613676"/>
    <w:rsid w:val="00620C71"/>
    <w:rsid w:val="00662065"/>
    <w:rsid w:val="006626E8"/>
    <w:rsid w:val="00670839"/>
    <w:rsid w:val="00671DE0"/>
    <w:rsid w:val="00687C53"/>
    <w:rsid w:val="006A3184"/>
    <w:rsid w:val="006A5F54"/>
    <w:rsid w:val="006B4119"/>
    <w:rsid w:val="006B4DE8"/>
    <w:rsid w:val="006C0099"/>
    <w:rsid w:val="006C2060"/>
    <w:rsid w:val="006C2C98"/>
    <w:rsid w:val="006C671E"/>
    <w:rsid w:val="006E3EED"/>
    <w:rsid w:val="006E7F3A"/>
    <w:rsid w:val="00701D2E"/>
    <w:rsid w:val="00702F29"/>
    <w:rsid w:val="00706B72"/>
    <w:rsid w:val="00713904"/>
    <w:rsid w:val="007177B9"/>
    <w:rsid w:val="007204E9"/>
    <w:rsid w:val="00723F6B"/>
    <w:rsid w:val="007262DC"/>
    <w:rsid w:val="00751623"/>
    <w:rsid w:val="007529C0"/>
    <w:rsid w:val="007532AA"/>
    <w:rsid w:val="00753A81"/>
    <w:rsid w:val="0075684B"/>
    <w:rsid w:val="00764979"/>
    <w:rsid w:val="0077126E"/>
    <w:rsid w:val="007729E6"/>
    <w:rsid w:val="0077684D"/>
    <w:rsid w:val="0078268A"/>
    <w:rsid w:val="007838FF"/>
    <w:rsid w:val="00783B59"/>
    <w:rsid w:val="00784075"/>
    <w:rsid w:val="00796F74"/>
    <w:rsid w:val="007A1A62"/>
    <w:rsid w:val="007A6700"/>
    <w:rsid w:val="007B4D87"/>
    <w:rsid w:val="007B73F1"/>
    <w:rsid w:val="007C74E1"/>
    <w:rsid w:val="007E3E10"/>
    <w:rsid w:val="008028FF"/>
    <w:rsid w:val="00802C8D"/>
    <w:rsid w:val="00832212"/>
    <w:rsid w:val="00837696"/>
    <w:rsid w:val="008407A9"/>
    <w:rsid w:val="00845B7E"/>
    <w:rsid w:val="008566BA"/>
    <w:rsid w:val="008573C2"/>
    <w:rsid w:val="00857D27"/>
    <w:rsid w:val="00861712"/>
    <w:rsid w:val="00864A1A"/>
    <w:rsid w:val="00865388"/>
    <w:rsid w:val="00875079"/>
    <w:rsid w:val="008A1C04"/>
    <w:rsid w:val="008B4103"/>
    <w:rsid w:val="008C2647"/>
    <w:rsid w:val="008C4A9F"/>
    <w:rsid w:val="008D4422"/>
    <w:rsid w:val="008E0B01"/>
    <w:rsid w:val="008E3258"/>
    <w:rsid w:val="008E4777"/>
    <w:rsid w:val="00910FC1"/>
    <w:rsid w:val="0091269F"/>
    <w:rsid w:val="00924D8F"/>
    <w:rsid w:val="00936200"/>
    <w:rsid w:val="00941149"/>
    <w:rsid w:val="00944258"/>
    <w:rsid w:val="009541C0"/>
    <w:rsid w:val="009926E3"/>
    <w:rsid w:val="00994862"/>
    <w:rsid w:val="009A6A5D"/>
    <w:rsid w:val="009B68FA"/>
    <w:rsid w:val="009B7FF7"/>
    <w:rsid w:val="009C51FA"/>
    <w:rsid w:val="009D3DD4"/>
    <w:rsid w:val="009E796C"/>
    <w:rsid w:val="009E7F3C"/>
    <w:rsid w:val="009F331D"/>
    <w:rsid w:val="009F6A89"/>
    <w:rsid w:val="00A04B9C"/>
    <w:rsid w:val="00A15B7D"/>
    <w:rsid w:val="00A17B63"/>
    <w:rsid w:val="00A216B5"/>
    <w:rsid w:val="00A2227C"/>
    <w:rsid w:val="00A2233E"/>
    <w:rsid w:val="00A27D79"/>
    <w:rsid w:val="00A372EC"/>
    <w:rsid w:val="00A3743D"/>
    <w:rsid w:val="00A44D70"/>
    <w:rsid w:val="00A6066E"/>
    <w:rsid w:val="00A60D57"/>
    <w:rsid w:val="00A7246E"/>
    <w:rsid w:val="00A73AD9"/>
    <w:rsid w:val="00A73D52"/>
    <w:rsid w:val="00A83D9F"/>
    <w:rsid w:val="00A87AA2"/>
    <w:rsid w:val="00A91B54"/>
    <w:rsid w:val="00A96475"/>
    <w:rsid w:val="00A967A6"/>
    <w:rsid w:val="00AA4FF4"/>
    <w:rsid w:val="00AA743B"/>
    <w:rsid w:val="00AB3431"/>
    <w:rsid w:val="00AB462E"/>
    <w:rsid w:val="00AB5E27"/>
    <w:rsid w:val="00AB67D5"/>
    <w:rsid w:val="00AB71CB"/>
    <w:rsid w:val="00AC2CE3"/>
    <w:rsid w:val="00AC5AA9"/>
    <w:rsid w:val="00AD49CF"/>
    <w:rsid w:val="00AE0884"/>
    <w:rsid w:val="00AE1A10"/>
    <w:rsid w:val="00AE2AC7"/>
    <w:rsid w:val="00AF4D84"/>
    <w:rsid w:val="00AF6010"/>
    <w:rsid w:val="00AF72A0"/>
    <w:rsid w:val="00B0123F"/>
    <w:rsid w:val="00B02AC9"/>
    <w:rsid w:val="00B16FE7"/>
    <w:rsid w:val="00B213AA"/>
    <w:rsid w:val="00B231FA"/>
    <w:rsid w:val="00B353AC"/>
    <w:rsid w:val="00B478E6"/>
    <w:rsid w:val="00B528E7"/>
    <w:rsid w:val="00B6246E"/>
    <w:rsid w:val="00B75A41"/>
    <w:rsid w:val="00B77E96"/>
    <w:rsid w:val="00B82B1D"/>
    <w:rsid w:val="00B85F98"/>
    <w:rsid w:val="00B87872"/>
    <w:rsid w:val="00B93627"/>
    <w:rsid w:val="00BA72C7"/>
    <w:rsid w:val="00BB1DC3"/>
    <w:rsid w:val="00BB3EFD"/>
    <w:rsid w:val="00BB51F1"/>
    <w:rsid w:val="00BC48BA"/>
    <w:rsid w:val="00BC785A"/>
    <w:rsid w:val="00BD6F65"/>
    <w:rsid w:val="00BE441E"/>
    <w:rsid w:val="00BE6550"/>
    <w:rsid w:val="00BE7BBF"/>
    <w:rsid w:val="00C05C72"/>
    <w:rsid w:val="00C151E0"/>
    <w:rsid w:val="00C163F6"/>
    <w:rsid w:val="00C1728F"/>
    <w:rsid w:val="00C220CC"/>
    <w:rsid w:val="00C22B1A"/>
    <w:rsid w:val="00C30475"/>
    <w:rsid w:val="00C34418"/>
    <w:rsid w:val="00C46AF7"/>
    <w:rsid w:val="00C52390"/>
    <w:rsid w:val="00C64448"/>
    <w:rsid w:val="00C66225"/>
    <w:rsid w:val="00C80DCC"/>
    <w:rsid w:val="00C86588"/>
    <w:rsid w:val="00C95108"/>
    <w:rsid w:val="00CA2BFA"/>
    <w:rsid w:val="00CA522C"/>
    <w:rsid w:val="00CB058F"/>
    <w:rsid w:val="00CB1F0F"/>
    <w:rsid w:val="00CB33AD"/>
    <w:rsid w:val="00CC1369"/>
    <w:rsid w:val="00CD30AA"/>
    <w:rsid w:val="00CE7038"/>
    <w:rsid w:val="00CF3658"/>
    <w:rsid w:val="00CF49DA"/>
    <w:rsid w:val="00D115BA"/>
    <w:rsid w:val="00D1413B"/>
    <w:rsid w:val="00D30BE1"/>
    <w:rsid w:val="00D41120"/>
    <w:rsid w:val="00D55D13"/>
    <w:rsid w:val="00D63563"/>
    <w:rsid w:val="00D635D4"/>
    <w:rsid w:val="00D6621B"/>
    <w:rsid w:val="00D765AC"/>
    <w:rsid w:val="00D830E1"/>
    <w:rsid w:val="00D9164D"/>
    <w:rsid w:val="00D961AB"/>
    <w:rsid w:val="00DA59A1"/>
    <w:rsid w:val="00DB21C2"/>
    <w:rsid w:val="00DB3AC4"/>
    <w:rsid w:val="00DB672D"/>
    <w:rsid w:val="00DC1694"/>
    <w:rsid w:val="00DD2CF1"/>
    <w:rsid w:val="00DE72F6"/>
    <w:rsid w:val="00DF0135"/>
    <w:rsid w:val="00E00EDA"/>
    <w:rsid w:val="00E1597F"/>
    <w:rsid w:val="00E17DB5"/>
    <w:rsid w:val="00E2170D"/>
    <w:rsid w:val="00E22FF7"/>
    <w:rsid w:val="00E23FDD"/>
    <w:rsid w:val="00E24146"/>
    <w:rsid w:val="00E3295F"/>
    <w:rsid w:val="00E36330"/>
    <w:rsid w:val="00E46021"/>
    <w:rsid w:val="00E4681C"/>
    <w:rsid w:val="00E4745D"/>
    <w:rsid w:val="00E54B49"/>
    <w:rsid w:val="00E54F30"/>
    <w:rsid w:val="00E6570A"/>
    <w:rsid w:val="00E66C18"/>
    <w:rsid w:val="00E715E2"/>
    <w:rsid w:val="00E74241"/>
    <w:rsid w:val="00E76D3F"/>
    <w:rsid w:val="00E9364F"/>
    <w:rsid w:val="00EB2B39"/>
    <w:rsid w:val="00EB3C63"/>
    <w:rsid w:val="00ED441F"/>
    <w:rsid w:val="00EE2B86"/>
    <w:rsid w:val="00EE5CC7"/>
    <w:rsid w:val="00F04C6E"/>
    <w:rsid w:val="00F11245"/>
    <w:rsid w:val="00F27812"/>
    <w:rsid w:val="00F30645"/>
    <w:rsid w:val="00F43289"/>
    <w:rsid w:val="00F4719B"/>
    <w:rsid w:val="00F558D6"/>
    <w:rsid w:val="00F562DD"/>
    <w:rsid w:val="00F57967"/>
    <w:rsid w:val="00F71A9D"/>
    <w:rsid w:val="00F76FE6"/>
    <w:rsid w:val="00F9114A"/>
    <w:rsid w:val="00FA57D2"/>
    <w:rsid w:val="00FA65A7"/>
    <w:rsid w:val="00FA7F25"/>
    <w:rsid w:val="00FB3E0C"/>
    <w:rsid w:val="00FD5895"/>
    <w:rsid w:val="00FD7419"/>
    <w:rsid w:val="00FF5E3D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C441F"/>
  <w15:docId w15:val="{E122D022-390D-458B-82CE-BE0B8C90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1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B5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01D2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1D2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01D2E"/>
    <w:rPr>
      <w:sz w:val="18"/>
      <w:szCs w:val="18"/>
    </w:rPr>
  </w:style>
  <w:style w:type="table" w:styleId="a7">
    <w:name w:val="Table Grid"/>
    <w:basedOn w:val="a1"/>
    <w:uiPriority w:val="59"/>
    <w:rsid w:val="0078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A1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A1C0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A1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A1C04"/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E217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E2170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217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170D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362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6200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936200"/>
  </w:style>
  <w:style w:type="paragraph" w:styleId="ae">
    <w:name w:val="footnote text"/>
    <w:basedOn w:val="a"/>
    <w:link w:val="af"/>
    <w:uiPriority w:val="99"/>
    <w:semiHidden/>
    <w:unhideWhenUsed/>
    <w:rsid w:val="00936200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36200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9362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934A1-A070-4654-9C50-FB596B76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10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司徒</dc:creator>
  <cp:keywords/>
  <dc:description/>
  <cp:lastModifiedBy>Administrator</cp:lastModifiedBy>
  <cp:revision>1376</cp:revision>
  <dcterms:created xsi:type="dcterms:W3CDTF">2017-05-08T01:12:00Z</dcterms:created>
  <dcterms:modified xsi:type="dcterms:W3CDTF">2018-08-30T01:58:00Z</dcterms:modified>
</cp:coreProperties>
</file>