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92E" w:rsidRDefault="00C7092E">
      <w:r>
        <w:t>Risk Factors.</w:t>
      </w:r>
    </w:p>
    <w:p w:rsidR="00C7092E" w:rsidRDefault="00C7092E">
      <w:r>
        <w:t>The risk factors that affect our portfolio and their different asset classes are the following:</w:t>
      </w:r>
    </w:p>
    <w:p w:rsidR="00C7092E" w:rsidRDefault="00C7092E" w:rsidP="00C7092E">
      <w:pPr>
        <w:pStyle w:val="Prrafodelista"/>
        <w:numPr>
          <w:ilvl w:val="0"/>
          <w:numId w:val="2"/>
        </w:numPr>
      </w:pPr>
      <w:r>
        <w:t>Stocks</w:t>
      </w:r>
      <w:r w:rsidR="00FC1FD9">
        <w:rPr>
          <w:rStyle w:val="Refdenotaalpie"/>
        </w:rPr>
        <w:footnoteReference w:id="1"/>
      </w:r>
    </w:p>
    <w:p w:rsidR="00C7092E" w:rsidRDefault="00C7092E" w:rsidP="00C7092E">
      <w:pPr>
        <w:pStyle w:val="Prrafodelista"/>
        <w:numPr>
          <w:ilvl w:val="0"/>
          <w:numId w:val="2"/>
        </w:numPr>
      </w:pPr>
      <w:r>
        <w:t>Underlying</w:t>
      </w:r>
      <w:r w:rsidR="00FC1FD9">
        <w:t xml:space="preserve"> </w:t>
      </w:r>
      <w:r>
        <w:t>Option’s Stocks</w:t>
      </w:r>
      <w:r w:rsidR="00FC1FD9">
        <w:rPr>
          <w:rStyle w:val="Refdenotaalpie"/>
        </w:rPr>
        <w:footnoteReference w:id="2"/>
      </w:r>
    </w:p>
    <w:p w:rsidR="00C7092E" w:rsidRDefault="004E3DAE" w:rsidP="00C7092E">
      <w:pPr>
        <w:pStyle w:val="Prrafodelista"/>
        <w:numPr>
          <w:ilvl w:val="0"/>
          <w:numId w:val="2"/>
        </w:numPr>
      </w:pPr>
      <w:r>
        <w:t>Foreign Exchange</w:t>
      </w:r>
      <w:r>
        <w:rPr>
          <w:rStyle w:val="Refdenotaalpie"/>
        </w:rPr>
        <w:footnoteReference w:id="3"/>
      </w:r>
    </w:p>
    <w:p w:rsidR="00C7092E" w:rsidRDefault="00C7092E" w:rsidP="00C7092E">
      <w:pPr>
        <w:pStyle w:val="Prrafodelista"/>
        <w:numPr>
          <w:ilvl w:val="0"/>
          <w:numId w:val="2"/>
        </w:numPr>
      </w:pPr>
      <w:r>
        <w:t xml:space="preserve">USD </w:t>
      </w:r>
      <w:r w:rsidR="004E3DAE">
        <w:t xml:space="preserve">Zero </w:t>
      </w:r>
      <w:r>
        <w:t>Rates (</w:t>
      </w:r>
      <w:r w:rsidR="004E3DAE">
        <w:t xml:space="preserve"> US Treasury Active Curve </w:t>
      </w:r>
      <w:r>
        <w:t>and the correspondent term structure</w:t>
      </w:r>
      <w:r w:rsidR="00EB4775">
        <w:t xml:space="preserve"> with 15</w:t>
      </w:r>
      <w:r>
        <w:t xml:space="preserve"> points</w:t>
      </w:r>
      <w:r w:rsidR="00EB4775">
        <w:rPr>
          <w:rStyle w:val="Refdenotaalpie"/>
        </w:rPr>
        <w:footnoteReference w:id="4"/>
      </w:r>
      <w:r>
        <w:t>)</w:t>
      </w:r>
    </w:p>
    <w:p w:rsidR="00C7092E" w:rsidRDefault="00C7092E" w:rsidP="00C7092E">
      <w:pPr>
        <w:pStyle w:val="Prrafodelista"/>
        <w:numPr>
          <w:ilvl w:val="0"/>
          <w:numId w:val="2"/>
        </w:numPr>
      </w:pPr>
      <w:r>
        <w:t xml:space="preserve">CAD </w:t>
      </w:r>
      <w:r w:rsidR="004E3DAE">
        <w:t xml:space="preserve">Zero </w:t>
      </w:r>
      <w:r>
        <w:t>Rates (</w:t>
      </w:r>
      <w:r w:rsidR="004E3DAE">
        <w:t xml:space="preserve">Canada Sovereign Curve </w:t>
      </w:r>
      <w:r>
        <w:t>and the correspondent term structure</w:t>
      </w:r>
      <w:r w:rsidR="00EB4775">
        <w:t xml:space="preserve"> with 15</w:t>
      </w:r>
      <w:r>
        <w:t xml:space="preserve"> points</w:t>
      </w:r>
      <w:r w:rsidR="00EB4775">
        <w:rPr>
          <w:rStyle w:val="Refdenotaalpie"/>
        </w:rPr>
        <w:footnoteReference w:id="5"/>
      </w:r>
      <w:r>
        <w:t>)</w:t>
      </w:r>
    </w:p>
    <w:p w:rsidR="00C7092E" w:rsidRDefault="00C7092E" w:rsidP="00C7092E">
      <w:pPr>
        <w:pStyle w:val="Prrafodelista"/>
        <w:numPr>
          <w:ilvl w:val="0"/>
          <w:numId w:val="2"/>
        </w:numPr>
      </w:pPr>
      <w:r>
        <w:t xml:space="preserve">EUR </w:t>
      </w:r>
      <w:r w:rsidR="004E3DAE">
        <w:t xml:space="preserve">Zero </w:t>
      </w:r>
      <w:r>
        <w:t>Rates (</w:t>
      </w:r>
      <w:r w:rsidR="004E3DAE">
        <w:t xml:space="preserve">German Sovereign Curve </w:t>
      </w:r>
      <w:r>
        <w:t>and the correspondent term structure</w:t>
      </w:r>
      <w:r w:rsidR="00EB4775">
        <w:t xml:space="preserve"> with 15</w:t>
      </w:r>
      <w:r>
        <w:t xml:space="preserve"> points</w:t>
      </w:r>
      <w:r w:rsidR="00EB4775">
        <w:rPr>
          <w:rStyle w:val="Refdenotaalpie"/>
        </w:rPr>
        <w:footnoteReference w:id="6"/>
      </w:r>
      <w:r>
        <w:t>)</w:t>
      </w:r>
    </w:p>
    <w:p w:rsidR="00C7092E" w:rsidRDefault="00B77FEA" w:rsidP="00C7092E">
      <w:pPr>
        <w:pStyle w:val="Prrafodelista"/>
        <w:numPr>
          <w:ilvl w:val="0"/>
          <w:numId w:val="2"/>
        </w:numPr>
      </w:pPr>
      <w:r>
        <w:t>Hazard Rates for the CDS (eight-point term structure)</w:t>
      </w:r>
      <w:r>
        <w:rPr>
          <w:rStyle w:val="Refdenotaalpie"/>
        </w:rPr>
        <w:footnoteReference w:id="7"/>
      </w:r>
    </w:p>
    <w:p w:rsidR="00C7092E" w:rsidRDefault="000544F2">
      <w:r>
        <w:t>The following bonds are considered as benchmark for the zero rates needed for the calculations. The points are considered using a bootstrapping method.</w:t>
      </w:r>
    </w:p>
    <w:p w:rsidR="000544F2" w:rsidRDefault="000544F2">
      <w:r w:rsidRPr="000544F2">
        <w:drawing>
          <wp:inline distT="0" distB="0" distL="0" distR="0">
            <wp:extent cx="4648200" cy="3248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248025"/>
                    </a:xfrm>
                    <a:prstGeom prst="rect">
                      <a:avLst/>
                    </a:prstGeom>
                    <a:noFill/>
                    <a:ln>
                      <a:noFill/>
                    </a:ln>
                  </pic:spPr>
                </pic:pic>
              </a:graphicData>
            </a:graphic>
          </wp:inline>
        </w:drawing>
      </w:r>
    </w:p>
    <w:p w:rsidR="000544F2" w:rsidRDefault="00B77FEA">
      <w:r>
        <w:t>For the hazard rates, we obtain the spreads of the following CDS, and transform them to hazard rates with the following equation:</w:t>
      </w:r>
    </w:p>
    <w:p w:rsidR="00B77FEA" w:rsidRDefault="00A23F88">
      <m:oMathPara>
        <m:oMath>
          <m:r>
            <w:rPr>
              <w:rFonts w:ascii="Cambria Math" w:hAnsi="Cambria Math"/>
            </w:rPr>
            <m:t>λ</m:t>
          </m:r>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s</m:t>
              </m:r>
              <m:r>
                <w:rPr>
                  <w:rFonts w:ascii="Cambria Math" w:hAnsi="Cambria Math"/>
                </w:rPr>
                <m:t>(t)</m:t>
              </m:r>
            </m:num>
            <m:den>
              <m:r>
                <w:rPr>
                  <w:rFonts w:ascii="Cambria Math" w:hAnsi="Cambria Math"/>
                </w:rPr>
                <m:t>1-R</m:t>
              </m:r>
            </m:den>
          </m:f>
        </m:oMath>
      </m:oMathPara>
    </w:p>
    <w:p w:rsidR="000544F2" w:rsidRDefault="000544F2"/>
    <w:p w:rsidR="000544F2" w:rsidRDefault="002E46D0" w:rsidP="002E46D0">
      <w:r>
        <w:t>The following CDS spreads were used to obtain the lambdas:</w:t>
      </w:r>
    </w:p>
    <w:p w:rsidR="002E46D0" w:rsidRDefault="002E46D0" w:rsidP="002E46D0">
      <w:r w:rsidRPr="002E46D0">
        <w:drawing>
          <wp:inline distT="0" distB="0" distL="0" distR="0">
            <wp:extent cx="5505450" cy="1724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2E46D0" w:rsidRDefault="002E46D0" w:rsidP="002E46D0">
      <w:r w:rsidRPr="002E46D0">
        <w:drawing>
          <wp:inline distT="0" distB="0" distL="0" distR="0">
            <wp:extent cx="5505450" cy="1724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2E46D0" w:rsidRDefault="002E46D0" w:rsidP="002E46D0">
      <w:r w:rsidRPr="002E46D0">
        <w:drawing>
          <wp:inline distT="0" distB="0" distL="0" distR="0">
            <wp:extent cx="5505450" cy="1724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2E46D0" w:rsidRDefault="002E46D0" w:rsidP="002E46D0">
      <w:r w:rsidRPr="002E46D0">
        <w:drawing>
          <wp:inline distT="0" distB="0" distL="0" distR="0">
            <wp:extent cx="5505450" cy="1724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2E46D0" w:rsidRDefault="002E46D0" w:rsidP="002E46D0">
      <w:r w:rsidRPr="002E46D0">
        <w:lastRenderedPageBreak/>
        <w:drawing>
          <wp:inline distT="0" distB="0" distL="0" distR="0">
            <wp:extent cx="5505450" cy="17240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2E46D0" w:rsidRDefault="002E46D0" w:rsidP="002E46D0">
      <w:r w:rsidRPr="002E46D0">
        <w:drawing>
          <wp:inline distT="0" distB="0" distL="0" distR="0">
            <wp:extent cx="5505450" cy="1724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2E46D0" w:rsidRDefault="002E46D0" w:rsidP="002E46D0">
      <w:r w:rsidRPr="002E46D0">
        <w:drawing>
          <wp:inline distT="0" distB="0" distL="0" distR="0">
            <wp:extent cx="5505450" cy="1724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2E46D0" w:rsidRDefault="002E46D0" w:rsidP="002E46D0">
      <w:r w:rsidRPr="002E46D0">
        <w:drawing>
          <wp:inline distT="0" distB="0" distL="0" distR="0">
            <wp:extent cx="5505450" cy="1724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2E46D0" w:rsidRDefault="002E46D0" w:rsidP="002E46D0">
      <w:r w:rsidRPr="002E46D0">
        <w:lastRenderedPageBreak/>
        <w:drawing>
          <wp:inline distT="0" distB="0" distL="0" distR="0">
            <wp:extent cx="5505450" cy="1724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2E46D0" w:rsidRDefault="002E46D0" w:rsidP="002E46D0">
      <w:r>
        <w:t xml:space="preserve">Notice that for our initial position in Huntsman Int. there is no public information about the spreads. So we found a similar company with similar ratings to obtain the spreads to use; that was Dow Chemicals. </w:t>
      </w:r>
    </w:p>
    <w:p w:rsidR="002E46D0" w:rsidRDefault="008E3C61" w:rsidP="002E46D0">
      <w:r>
        <w:t>The explanation of the risk factors is the following:</w:t>
      </w:r>
    </w:p>
    <w:p w:rsidR="008E3C61" w:rsidRDefault="008E3C61" w:rsidP="008E3C61">
      <w:pPr>
        <w:pStyle w:val="Prrafodelista"/>
        <w:numPr>
          <w:ilvl w:val="0"/>
          <w:numId w:val="2"/>
        </w:numPr>
      </w:pPr>
      <w:r>
        <w:t>The stocks are needed to simulate the future prices and losses that can occur in the fall of the prices of our positions.</w:t>
      </w:r>
    </w:p>
    <w:p w:rsidR="008E3C61" w:rsidRDefault="008E3C61" w:rsidP="008E3C61">
      <w:pPr>
        <w:pStyle w:val="Prrafodelista"/>
        <w:numPr>
          <w:ilvl w:val="0"/>
          <w:numId w:val="2"/>
        </w:numPr>
      </w:pPr>
      <w:r>
        <w:t>The underlying in the options is the main factor that changes the prices of the options.</w:t>
      </w:r>
    </w:p>
    <w:p w:rsidR="008E3C61" w:rsidRDefault="008E3C61" w:rsidP="008E3C61">
      <w:pPr>
        <w:pStyle w:val="Prrafodelista"/>
        <w:numPr>
          <w:ilvl w:val="0"/>
          <w:numId w:val="2"/>
        </w:numPr>
      </w:pPr>
      <w:r>
        <w:t>The FX can derive in changes in our portfolio, according to the original currency in which our assets are issued and how they are measured against the CAD; in the portfolio we have assets in USD, CAD and EUR. So the currencies that are not in CAD we are exposed to risks</w:t>
      </w:r>
    </w:p>
    <w:p w:rsidR="005B0E53" w:rsidRDefault="008E3C61" w:rsidP="008E3C61">
      <w:pPr>
        <w:pStyle w:val="Prrafodelista"/>
        <w:numPr>
          <w:ilvl w:val="0"/>
          <w:numId w:val="2"/>
        </w:numPr>
      </w:pPr>
      <w:r>
        <w:t xml:space="preserve">The zero curve rates, as most of our positions are exposed to interest rates changes that may change the price of the portfolio. As mentioned previously, </w:t>
      </w:r>
      <w:r w:rsidR="005B0E53">
        <w:t xml:space="preserve">each currency has its own </w:t>
      </w:r>
      <w:r>
        <w:t>issuing</w:t>
      </w:r>
      <w:r w:rsidR="005B0E53">
        <w:t xml:space="preserve"> rate structure that can affect the price of options, CDS and corporate bonds</w:t>
      </w:r>
    </w:p>
    <w:p w:rsidR="008E3C61" w:rsidRDefault="005B0E53" w:rsidP="008E3C61">
      <w:pPr>
        <w:pStyle w:val="Prrafodelista"/>
        <w:numPr>
          <w:ilvl w:val="0"/>
          <w:numId w:val="2"/>
        </w:numPr>
      </w:pPr>
      <w:r>
        <w:t>Hazard Rates, are included for each different CDS. Calculated from the spreads, are the most important risk factors of our CDS’s.</w:t>
      </w:r>
    </w:p>
    <w:p w:rsidR="0004502F" w:rsidRDefault="00690E24">
      <w:r>
        <w:t>Data gathering and information.</w:t>
      </w:r>
    </w:p>
    <w:p w:rsidR="00690E24" w:rsidRDefault="00690E24">
      <w:r>
        <w:t xml:space="preserve">For the available historic data, we extracted the information from Bloomberg. For the missing data in the calculations of the different </w:t>
      </w:r>
      <w:proofErr w:type="spellStart"/>
      <w:r>
        <w:t>VaR</w:t>
      </w:r>
      <w:proofErr w:type="spellEnd"/>
      <w:r>
        <w:t xml:space="preserve"> methods (period 2014-2016), we unified the dates. And if some data was missing (not in a lot of cases), we decided to eliminate that date.</w:t>
      </w:r>
    </w:p>
    <w:p w:rsidR="00690E24" w:rsidRDefault="00690E24">
      <w:r>
        <w:t>For all of our assets, we could find the correct information in Bloomberg in that period of time. Just for the following we proceeded differently:</w:t>
      </w:r>
    </w:p>
    <w:p w:rsidR="00690E24" w:rsidRDefault="00690E24" w:rsidP="00690E24">
      <w:pPr>
        <w:pStyle w:val="Prrafodelista"/>
        <w:numPr>
          <w:ilvl w:val="0"/>
          <w:numId w:val="1"/>
        </w:numPr>
      </w:pPr>
      <w:r>
        <w:t>CDS</w:t>
      </w:r>
      <w:r w:rsidR="00292544">
        <w:t xml:space="preserve">: as mentioned previously, the CDS from </w:t>
      </w:r>
      <w:r w:rsidR="00292544">
        <w:t>Huntsman Int. there is no public information about the spreads. So we found a similar company with similar ratings to obtain the spreads to use; that was Dow Chemicals.</w:t>
      </w:r>
    </w:p>
    <w:p w:rsidR="00690E24" w:rsidRDefault="00690E24">
      <w:r>
        <w:t xml:space="preserve">  </w:t>
      </w:r>
    </w:p>
    <w:p w:rsidR="00690E24" w:rsidRDefault="00690E24">
      <w:r>
        <w:t xml:space="preserve">For the Stressed period in 2007-2009, we were able to find all the information required for our risk factors, except for the lambdas. </w:t>
      </w:r>
      <w:r w:rsidR="00E2243A">
        <w:t>In that case we decided to do a linear regression of the following indexes of CDS:</w:t>
      </w:r>
    </w:p>
    <w:p w:rsidR="00E2243A" w:rsidRDefault="00E2243A" w:rsidP="00E2243A">
      <w:pPr>
        <w:pStyle w:val="Prrafodelista"/>
        <w:numPr>
          <w:ilvl w:val="0"/>
          <w:numId w:val="1"/>
        </w:numPr>
      </w:pPr>
      <w:r>
        <w:t>ABD HY</w:t>
      </w:r>
    </w:p>
    <w:p w:rsidR="00E2243A" w:rsidRDefault="00E2243A" w:rsidP="00E2243A">
      <w:pPr>
        <w:pStyle w:val="Prrafodelista"/>
        <w:numPr>
          <w:ilvl w:val="0"/>
          <w:numId w:val="1"/>
        </w:numPr>
      </w:pPr>
      <w:r>
        <w:t>ABC IG</w:t>
      </w:r>
    </w:p>
    <w:p w:rsidR="00E2243A" w:rsidRDefault="00E2243A" w:rsidP="00E2243A">
      <w:r>
        <w:lastRenderedPageBreak/>
        <w:t>So, we did a linear regression t</w:t>
      </w:r>
      <w:r w:rsidR="00E46B08">
        <w:t>o obtain the spreads of the CDS, and transform them into the hazard rates (with an assumption of 40% recovery rate given in Bloomberg).</w:t>
      </w:r>
      <w:r>
        <w:t xml:space="preserve"> </w:t>
      </w:r>
    </w:p>
    <w:p w:rsidR="00292544" w:rsidRDefault="00292544" w:rsidP="00E2243A">
      <w:r>
        <w:t>Stress Testing Scenarios</w:t>
      </w:r>
    </w:p>
    <w:p w:rsidR="00292544" w:rsidRDefault="00292544" w:rsidP="00E2243A">
      <w:r>
        <w:t>To create different scenarios can help us determine the amount of risk we may be exposed; driven by different changes in the risk factors. We need to consider also that for this part of the report, we can assume different historical scenarios to see what happens with our risk measures. The scenarios we considered are the following:</w:t>
      </w:r>
    </w:p>
    <w:p w:rsidR="00292544" w:rsidRDefault="00CF15E4" w:rsidP="00E2243A">
      <w:r w:rsidRPr="00CF15E4">
        <w:drawing>
          <wp:inline distT="0" distB="0" distL="0" distR="0">
            <wp:extent cx="5943600" cy="4875452"/>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75452"/>
                    </a:xfrm>
                    <a:prstGeom prst="rect">
                      <a:avLst/>
                    </a:prstGeom>
                    <a:noFill/>
                    <a:ln>
                      <a:noFill/>
                    </a:ln>
                  </pic:spPr>
                </pic:pic>
              </a:graphicData>
            </a:graphic>
          </wp:inline>
        </w:drawing>
      </w:r>
    </w:p>
    <w:p w:rsidR="00CF15E4" w:rsidRDefault="00CF15E4" w:rsidP="00CF15E4">
      <w:pPr>
        <w:pStyle w:val="Prrafodelista"/>
        <w:numPr>
          <w:ilvl w:val="0"/>
          <w:numId w:val="1"/>
        </w:numPr>
      </w:pPr>
      <w:r>
        <w:t>LTCM default and Russian Crisis Default (1998)</w:t>
      </w:r>
    </w:p>
    <w:p w:rsidR="00CF15E4" w:rsidRDefault="00CF15E4" w:rsidP="00CF15E4">
      <w:pPr>
        <w:pStyle w:val="Prrafodelista"/>
        <w:numPr>
          <w:ilvl w:val="0"/>
          <w:numId w:val="1"/>
        </w:numPr>
      </w:pPr>
      <w:r>
        <w:t>Credit Crisis and Lehman Brothers (2008)</w:t>
      </w:r>
    </w:p>
    <w:p w:rsidR="00CF15E4" w:rsidRDefault="00CF15E4" w:rsidP="00CF15E4">
      <w:pPr>
        <w:pStyle w:val="Prrafodelista"/>
        <w:numPr>
          <w:ilvl w:val="0"/>
          <w:numId w:val="1"/>
        </w:numPr>
      </w:pPr>
      <w:r>
        <w:t>Greece (2010)</w:t>
      </w:r>
    </w:p>
    <w:p w:rsidR="00CF15E4" w:rsidRDefault="00CF15E4" w:rsidP="00CF15E4">
      <w:pPr>
        <w:pStyle w:val="Prrafodelista"/>
        <w:numPr>
          <w:ilvl w:val="0"/>
          <w:numId w:val="1"/>
        </w:numPr>
      </w:pPr>
      <w:r>
        <w:t>Debt Ceiling Crisis and Downgrade US (2011)</w:t>
      </w:r>
    </w:p>
    <w:p w:rsidR="00CF15E4" w:rsidRDefault="00CF15E4" w:rsidP="00CF15E4">
      <w:pPr>
        <w:pStyle w:val="Prrafodelista"/>
        <w:numPr>
          <w:ilvl w:val="0"/>
          <w:numId w:val="1"/>
        </w:numPr>
      </w:pPr>
      <w:r>
        <w:t>Own Scenario</w:t>
      </w:r>
    </w:p>
    <w:p w:rsidR="00292544" w:rsidRDefault="008960B5" w:rsidP="00E2243A">
      <w:r>
        <w:t>The following graphs show the losses driven by the following stressed scenarios considered:</w:t>
      </w:r>
    </w:p>
    <w:p w:rsidR="00CF15E4" w:rsidRDefault="00CF15E4" w:rsidP="00E2243A"/>
    <w:p w:rsidR="008960B5" w:rsidRDefault="008960B5" w:rsidP="00E2243A">
      <w:r>
        <w:rPr>
          <w:noProof/>
        </w:rPr>
        <w:lastRenderedPageBreak/>
        <w:drawing>
          <wp:inline distT="0" distB="0" distL="0" distR="0">
            <wp:extent cx="5400040" cy="40284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028440"/>
                    </a:xfrm>
                    <a:prstGeom prst="rect">
                      <a:avLst/>
                    </a:prstGeom>
                    <a:noFill/>
                    <a:ln>
                      <a:noFill/>
                    </a:ln>
                  </pic:spPr>
                </pic:pic>
              </a:graphicData>
            </a:graphic>
          </wp:inline>
        </w:drawing>
      </w:r>
    </w:p>
    <w:p w:rsidR="008960B5" w:rsidRDefault="008960B5" w:rsidP="00E2243A">
      <w:r>
        <w:t>First Scenario:</w:t>
      </w:r>
    </w:p>
    <w:p w:rsidR="008960B5" w:rsidRDefault="008960B5" w:rsidP="00E2243A">
      <w:r>
        <w:rPr>
          <w:noProof/>
        </w:rPr>
        <w:drawing>
          <wp:inline distT="0" distB="0" distL="0" distR="0">
            <wp:extent cx="4330700" cy="33985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0700" cy="3398520"/>
                    </a:xfrm>
                    <a:prstGeom prst="rect">
                      <a:avLst/>
                    </a:prstGeom>
                    <a:noFill/>
                    <a:ln>
                      <a:noFill/>
                    </a:ln>
                  </pic:spPr>
                </pic:pic>
              </a:graphicData>
            </a:graphic>
          </wp:inline>
        </w:drawing>
      </w:r>
    </w:p>
    <w:p w:rsidR="008960B5" w:rsidRDefault="008960B5" w:rsidP="00E2243A">
      <w:r>
        <w:t>Second Scenario:</w:t>
      </w:r>
    </w:p>
    <w:p w:rsidR="008960B5" w:rsidRDefault="008960B5" w:rsidP="00E2243A">
      <w:r>
        <w:rPr>
          <w:noProof/>
        </w:rPr>
        <w:lastRenderedPageBreak/>
        <w:drawing>
          <wp:inline distT="0" distB="0" distL="0" distR="0">
            <wp:extent cx="4494530" cy="3424555"/>
            <wp:effectExtent l="0" t="0" r="127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530" cy="3424555"/>
                    </a:xfrm>
                    <a:prstGeom prst="rect">
                      <a:avLst/>
                    </a:prstGeom>
                    <a:noFill/>
                    <a:ln>
                      <a:noFill/>
                    </a:ln>
                  </pic:spPr>
                </pic:pic>
              </a:graphicData>
            </a:graphic>
          </wp:inline>
        </w:drawing>
      </w:r>
    </w:p>
    <w:p w:rsidR="008960B5" w:rsidRDefault="008960B5" w:rsidP="00E2243A">
      <w:r>
        <w:t>Third scenario:</w:t>
      </w:r>
    </w:p>
    <w:p w:rsidR="008960B5" w:rsidRDefault="008960B5" w:rsidP="00E2243A">
      <w:r>
        <w:rPr>
          <w:noProof/>
        </w:rPr>
        <w:drawing>
          <wp:inline distT="0" distB="0" distL="0" distR="0">
            <wp:extent cx="4459605" cy="34505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9605" cy="3450590"/>
                    </a:xfrm>
                    <a:prstGeom prst="rect">
                      <a:avLst/>
                    </a:prstGeom>
                    <a:noFill/>
                    <a:ln>
                      <a:noFill/>
                    </a:ln>
                  </pic:spPr>
                </pic:pic>
              </a:graphicData>
            </a:graphic>
          </wp:inline>
        </w:drawing>
      </w:r>
    </w:p>
    <w:p w:rsidR="008960B5" w:rsidRDefault="008960B5" w:rsidP="00E2243A">
      <w:r>
        <w:t>Fourth scenario:</w:t>
      </w:r>
    </w:p>
    <w:p w:rsidR="008960B5" w:rsidRDefault="008960B5" w:rsidP="00E2243A">
      <w:r>
        <w:rPr>
          <w:noProof/>
        </w:rPr>
        <w:lastRenderedPageBreak/>
        <w:drawing>
          <wp:inline distT="0" distB="0" distL="0" distR="0">
            <wp:extent cx="4373880" cy="344170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880" cy="3441700"/>
                    </a:xfrm>
                    <a:prstGeom prst="rect">
                      <a:avLst/>
                    </a:prstGeom>
                    <a:noFill/>
                    <a:ln>
                      <a:noFill/>
                    </a:ln>
                  </pic:spPr>
                </pic:pic>
              </a:graphicData>
            </a:graphic>
          </wp:inline>
        </w:drawing>
      </w:r>
    </w:p>
    <w:p w:rsidR="008960B5" w:rsidRDefault="008960B5" w:rsidP="00E2243A">
      <w:r>
        <w:t>Fifth scenario:</w:t>
      </w:r>
    </w:p>
    <w:p w:rsidR="008960B5" w:rsidRDefault="008960B5" w:rsidP="00E2243A">
      <w:r>
        <w:rPr>
          <w:noProof/>
        </w:rPr>
        <w:drawing>
          <wp:inline distT="0" distB="0" distL="0" distR="0">
            <wp:extent cx="4382135" cy="339026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2135" cy="3390265"/>
                    </a:xfrm>
                    <a:prstGeom prst="rect">
                      <a:avLst/>
                    </a:prstGeom>
                    <a:noFill/>
                    <a:ln>
                      <a:noFill/>
                    </a:ln>
                  </pic:spPr>
                </pic:pic>
              </a:graphicData>
            </a:graphic>
          </wp:inline>
        </w:drawing>
      </w:r>
    </w:p>
    <w:p w:rsidR="00D91C1A" w:rsidRDefault="00D91C1A" w:rsidP="00E2243A">
      <w:r>
        <w:t>Basel Regulatory Capital</w:t>
      </w:r>
    </w:p>
    <w:p w:rsidR="00D91C1A" w:rsidRDefault="00D91C1A" w:rsidP="00E2243A">
      <w:r>
        <w:t>On Basel Regulatory Capital there are two principal components required to obtain the capital requirements: one market component and one risk component.</w:t>
      </w:r>
    </w:p>
    <w:p w:rsidR="00D91C1A" w:rsidRDefault="00D91C1A" w:rsidP="00E2243A">
      <w:r>
        <w:lastRenderedPageBreak/>
        <w:t>Market Regulatory Capital</w:t>
      </w:r>
    </w:p>
    <w:p w:rsidR="00D91C1A" w:rsidRDefault="00D91C1A" w:rsidP="00E2243A">
      <w:r>
        <w:t>Based on the Basel 2.5 document, the following formula needs to be used to calculate our market risk regulatory capital:</w:t>
      </w:r>
    </w:p>
    <w:p w:rsidR="00D91C1A" w:rsidRPr="00AC66F5" w:rsidRDefault="00D91C1A" w:rsidP="00E2243A">
      <w:pPr>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rsidR="00AC66F5" w:rsidRDefault="00AC66F5" w:rsidP="00E2243A">
      <w:pPr>
        <w:rPr>
          <w:rFonts w:eastAsiaTheme="minorEastAsia"/>
        </w:rPr>
      </w:pPr>
      <w:r>
        <w:rPr>
          <w:rFonts w:eastAsiaTheme="minorEastAsia"/>
        </w:rPr>
        <w:t>Where:</w:t>
      </w:r>
    </w:p>
    <w:p w:rsidR="00AC66F5" w:rsidRDefault="00AC66F5" w:rsidP="00E2243A">
      <w:pPr>
        <w:rPr>
          <w:rFonts w:eastAsiaTheme="minorEastAsia"/>
        </w:rPr>
      </w:pPr>
      <w:proofErr w:type="gramStart"/>
      <w:r>
        <w:rPr>
          <w:rFonts w:eastAsiaTheme="minorEastAsia"/>
        </w:rPr>
        <w:t>K :</w:t>
      </w:r>
      <w:proofErr w:type="gramEnd"/>
      <w:r>
        <w:rPr>
          <w:rFonts w:eastAsiaTheme="minorEastAsia"/>
        </w:rPr>
        <w:t xml:space="preserve"> is the regulatory capital</w:t>
      </w:r>
    </w:p>
    <w:p w:rsidR="00AC66F5" w:rsidRDefault="00AC66F5" w:rsidP="00E2243A">
      <w:pPr>
        <w:rPr>
          <w:rFonts w:eastAsiaTheme="minorEastAsia"/>
        </w:rPr>
      </w:pPr>
      <w:proofErr w:type="spellStart"/>
      <w:r>
        <w:rPr>
          <w:rFonts w:eastAsiaTheme="minorEastAsia"/>
        </w:rPr>
        <w:t>VaR</w:t>
      </w:r>
      <w:proofErr w:type="spellEnd"/>
      <w:r>
        <w:rPr>
          <w:rFonts w:eastAsiaTheme="minorEastAsia"/>
        </w:rPr>
        <w:t>: Value at Risk with 10-day horizon and 99% certainty</w:t>
      </w:r>
    </w:p>
    <w:p w:rsidR="00AC66F5" w:rsidRDefault="00AC66F5" w:rsidP="00E2243A">
      <w:pPr>
        <w:rPr>
          <w:rFonts w:eastAsiaTheme="minorEastAsia"/>
        </w:rPr>
      </w:pPr>
      <w:proofErr w:type="gramStart"/>
      <w:r>
        <w:rPr>
          <w:rFonts w:eastAsiaTheme="minorEastAsia"/>
        </w:rPr>
        <w:t>mc :</w:t>
      </w:r>
      <w:proofErr w:type="gramEnd"/>
      <w:r>
        <w:rPr>
          <w:rFonts w:eastAsiaTheme="minorEastAsia"/>
        </w:rPr>
        <w:t xml:space="preserve"> regulatory constant, that the minimum number is a 3, and the maximum is 4 (depending to the regulatory authority). We are assuming a 3.1 (as </w:t>
      </w:r>
      <w:proofErr w:type="gramStart"/>
      <w:r>
        <w:rPr>
          <w:rFonts w:eastAsiaTheme="minorEastAsia"/>
        </w:rPr>
        <w:t>a</w:t>
      </w:r>
      <w:proofErr w:type="gramEnd"/>
      <w:r>
        <w:rPr>
          <w:rFonts w:eastAsiaTheme="minorEastAsia"/>
        </w:rPr>
        <w:t xml:space="preserve"> AA company with no major changes to be done in the structure of our company).</w:t>
      </w:r>
    </w:p>
    <w:p w:rsidR="00FA66F0" w:rsidRDefault="00FA66F0" w:rsidP="00E2243A">
      <w:pPr>
        <w:rPr>
          <w:rFonts w:eastAsiaTheme="minorEastAsia"/>
        </w:rPr>
      </w:pPr>
      <w:proofErr w:type="spellStart"/>
      <w:r>
        <w:rPr>
          <w:rFonts w:eastAsiaTheme="minorEastAsia"/>
        </w:rPr>
        <w:t>SVaR</w:t>
      </w:r>
      <w:proofErr w:type="spellEnd"/>
      <w:r>
        <w:rPr>
          <w:rFonts w:eastAsiaTheme="minorEastAsia"/>
        </w:rPr>
        <w:t xml:space="preserve">: Stressed Value at Risk for a time horizon predetermined, over 2 years. In our case, we are considering the time frame between March 2007 and </w:t>
      </w:r>
      <w:r w:rsidR="00302AA5">
        <w:rPr>
          <w:rFonts w:eastAsiaTheme="minorEastAsia"/>
        </w:rPr>
        <w:t xml:space="preserve">December 2009, where the </w:t>
      </w:r>
      <w:proofErr w:type="spellStart"/>
      <w:r w:rsidR="00302AA5">
        <w:rPr>
          <w:rFonts w:eastAsiaTheme="minorEastAsia"/>
        </w:rPr>
        <w:t>VaR</w:t>
      </w:r>
      <w:proofErr w:type="spellEnd"/>
      <w:r w:rsidR="00302AA5">
        <w:rPr>
          <w:rFonts w:eastAsiaTheme="minorEastAsia"/>
        </w:rPr>
        <w:t xml:space="preserve"> calculation is higher. In our case it is from March 2007 to March 2009. </w:t>
      </w:r>
    </w:p>
    <w:p w:rsidR="00FA66F0" w:rsidRPr="005C42F9" w:rsidRDefault="005C42F9" w:rsidP="00E2243A">
      <w:pPr>
        <w:rPr>
          <w:rFonts w:eastAsiaTheme="minorEastAsia"/>
        </w:rPr>
      </w:pPr>
      <w:proofErr w:type="spellStart"/>
      <w:proofErr w:type="gramStart"/>
      <w:r>
        <w:rPr>
          <w:rFonts w:eastAsiaTheme="minorEastAsia"/>
        </w:rPr>
        <w:t>VaR</w:t>
      </w:r>
      <w:r>
        <w:rPr>
          <w:rFonts w:eastAsiaTheme="minorEastAsia"/>
          <w:vertAlign w:val="subscript"/>
        </w:rPr>
        <w:t>avr</w:t>
      </w:r>
      <w:proofErr w:type="spellEnd"/>
      <w:r>
        <w:rPr>
          <w:rFonts w:eastAsiaTheme="minorEastAsia"/>
          <w:vertAlign w:val="subscript"/>
        </w:rPr>
        <w:t xml:space="preserve"> </w:t>
      </w:r>
      <w:r>
        <w:rPr>
          <w:rFonts w:eastAsiaTheme="minorEastAsia"/>
        </w:rPr>
        <w:t>:</w:t>
      </w:r>
      <w:proofErr w:type="gramEnd"/>
      <w:r>
        <w:rPr>
          <w:rFonts w:eastAsiaTheme="minorEastAsia"/>
        </w:rPr>
        <w:t xml:space="preserve"> </w:t>
      </w:r>
      <w:r w:rsidR="00CE4D4C">
        <w:rPr>
          <w:rFonts w:eastAsiaTheme="minorEastAsia"/>
        </w:rPr>
        <w:t xml:space="preserve">Consider </w:t>
      </w:r>
      <w:r w:rsidR="00302AA5">
        <w:rPr>
          <w:rFonts w:eastAsiaTheme="minorEastAsia"/>
        </w:rPr>
        <w:t xml:space="preserve">the average of the last 60 days of the </w:t>
      </w:r>
      <w:proofErr w:type="spellStart"/>
      <w:r w:rsidR="00302AA5">
        <w:rPr>
          <w:rFonts w:eastAsiaTheme="minorEastAsia"/>
        </w:rPr>
        <w:t>VaR</w:t>
      </w:r>
      <w:proofErr w:type="spellEnd"/>
      <w:r w:rsidR="00302AA5">
        <w:rPr>
          <w:rFonts w:eastAsiaTheme="minorEastAsia"/>
        </w:rPr>
        <w:t xml:space="preserve"> calculation.</w:t>
      </w:r>
    </w:p>
    <w:p w:rsidR="00302AA5" w:rsidRDefault="00302AA5" w:rsidP="00E2243A">
      <w:pPr>
        <w:rPr>
          <w:rFonts w:eastAsiaTheme="minorEastAsia"/>
        </w:rPr>
      </w:pPr>
      <w:proofErr w:type="spellStart"/>
      <w:proofErr w:type="gramStart"/>
      <w:r>
        <w:rPr>
          <w:rFonts w:eastAsiaTheme="minorEastAsia"/>
        </w:rPr>
        <w:t>S</w:t>
      </w:r>
      <w:r>
        <w:rPr>
          <w:rFonts w:eastAsiaTheme="minorEastAsia"/>
        </w:rPr>
        <w:t>VaR</w:t>
      </w:r>
      <w:r>
        <w:rPr>
          <w:rFonts w:eastAsiaTheme="minorEastAsia"/>
          <w:vertAlign w:val="subscript"/>
        </w:rPr>
        <w:t>avr</w:t>
      </w:r>
      <w:proofErr w:type="spellEnd"/>
      <w:r>
        <w:rPr>
          <w:rFonts w:eastAsiaTheme="minorEastAsia"/>
          <w:vertAlign w:val="subscript"/>
        </w:rPr>
        <w:t xml:space="preserve"> </w:t>
      </w:r>
      <w:r>
        <w:rPr>
          <w:rFonts w:eastAsiaTheme="minorEastAsia"/>
        </w:rPr>
        <w:t>:</w:t>
      </w:r>
      <w:proofErr w:type="gramEnd"/>
      <w:r>
        <w:rPr>
          <w:rFonts w:eastAsiaTheme="minorEastAsia"/>
        </w:rPr>
        <w:t xml:space="preserve"> Consider the average of the last 60 days of the </w:t>
      </w:r>
      <w:r>
        <w:rPr>
          <w:rFonts w:eastAsiaTheme="minorEastAsia"/>
        </w:rPr>
        <w:t xml:space="preserve">Stressed </w:t>
      </w:r>
      <w:proofErr w:type="spellStart"/>
      <w:r>
        <w:rPr>
          <w:rFonts w:eastAsiaTheme="minorEastAsia"/>
        </w:rPr>
        <w:t>VaR</w:t>
      </w:r>
      <w:proofErr w:type="spellEnd"/>
      <w:r>
        <w:rPr>
          <w:rFonts w:eastAsiaTheme="minorEastAsia"/>
        </w:rPr>
        <w:t xml:space="preserve"> calculation.</w:t>
      </w:r>
    </w:p>
    <w:p w:rsidR="00FA66F0" w:rsidRDefault="00FA66F0" w:rsidP="00E2243A">
      <w:pPr>
        <w:rPr>
          <w:rFonts w:eastAsiaTheme="minorEastAsia"/>
        </w:rPr>
      </w:pPr>
      <w:r>
        <w:rPr>
          <w:rFonts w:eastAsiaTheme="minorEastAsia"/>
        </w:rPr>
        <w:t xml:space="preserve">To make this calculation, we decided to calculate it in a conservative way, so we are taking the historic </w:t>
      </w:r>
      <w:proofErr w:type="spellStart"/>
      <w:r>
        <w:rPr>
          <w:rFonts w:eastAsiaTheme="minorEastAsia"/>
        </w:rPr>
        <w:t>VaR</w:t>
      </w:r>
      <w:proofErr w:type="spellEnd"/>
      <w:r>
        <w:rPr>
          <w:rFonts w:eastAsiaTheme="minorEastAsia"/>
        </w:rPr>
        <w:t xml:space="preserve"> method (that is higher than the Monte Carlo simulation). </w:t>
      </w:r>
    </w:p>
    <w:p w:rsidR="005C42F9" w:rsidRDefault="005C42F9" w:rsidP="00E2243A">
      <w:pPr>
        <w:rPr>
          <w:rFonts w:eastAsiaTheme="minorEastAsia"/>
        </w:rPr>
      </w:pPr>
      <w:r>
        <w:rPr>
          <w:rFonts w:eastAsiaTheme="minorEastAsia"/>
        </w:rPr>
        <w:t>In addition, we are not considering the 60</w:t>
      </w:r>
      <w:r w:rsidR="00302AA5">
        <w:rPr>
          <w:rFonts w:eastAsiaTheme="minorEastAsia"/>
        </w:rPr>
        <w:t xml:space="preserve"> average, although it is a requirement.</w:t>
      </w:r>
    </w:p>
    <w:p w:rsidR="00302AA5" w:rsidRDefault="00302AA5" w:rsidP="00E2243A">
      <w:pPr>
        <w:rPr>
          <w:rFonts w:eastAsiaTheme="minorEastAsia"/>
        </w:rPr>
      </w:pPr>
      <w:r>
        <w:rPr>
          <w:rFonts w:eastAsiaTheme="minorEastAsia"/>
        </w:rPr>
        <w:t>The capital regulatory is the following:</w:t>
      </w:r>
    </w:p>
    <w:p w:rsidR="00302AA5" w:rsidRPr="001D293F" w:rsidRDefault="001D293F" w:rsidP="00E2243A">
      <w:pPr>
        <w:rPr>
          <w:rFonts w:eastAsiaTheme="minorEastAsia"/>
        </w:rPr>
      </w:pPr>
      <m:oMathPara>
        <m:oMath>
          <m:r>
            <w:rPr>
              <w:rFonts w:ascii="Cambria Math" w:eastAsiaTheme="minorEastAsia" w:hAnsi="Cambria Math"/>
            </w:rPr>
            <m:t>K=73.7 MUSD</m:t>
          </m:r>
        </m:oMath>
      </m:oMathPara>
    </w:p>
    <w:p w:rsidR="001D293F" w:rsidRDefault="001D293F" w:rsidP="00E2243A">
      <w:pPr>
        <w:rPr>
          <w:rFonts w:eastAsiaTheme="minorEastAsia"/>
        </w:rPr>
      </w:pPr>
    </w:p>
    <w:p w:rsidR="00CA6E21" w:rsidRDefault="00CA6E21" w:rsidP="00CA6E21">
      <w:r>
        <w:t>Credit</w:t>
      </w:r>
      <w:r>
        <w:t xml:space="preserve"> Regulatory Capital</w:t>
      </w:r>
    </w:p>
    <w:p w:rsidR="00CA6E21" w:rsidRDefault="00CA6E21" w:rsidP="008D00E4">
      <w:r>
        <w:t xml:space="preserve">Based on the Basel 2.5 document, </w:t>
      </w:r>
      <w:r>
        <w:t xml:space="preserve">we need to compute the Incremental Risk Charge (IRC). It is a complement for the </w:t>
      </w:r>
      <w:proofErr w:type="spellStart"/>
      <w:r>
        <w:t>VaR</w:t>
      </w:r>
      <w:proofErr w:type="spellEnd"/>
      <w:r>
        <w:t xml:space="preserve"> framework that includes the effect</w:t>
      </w:r>
      <w:r w:rsidR="00DE3729">
        <w:t xml:space="preserve"> of the credit rating migration;</w:t>
      </w:r>
      <w:r>
        <w:t xml:space="preserve"> </w:t>
      </w:r>
      <w:r w:rsidR="00DE3729">
        <w:t>d</w:t>
      </w:r>
      <w:r>
        <w:t xml:space="preserve">owngrades are also considered in credit risk modeling. </w:t>
      </w:r>
      <w:r w:rsidR="00DE3729">
        <w:t>We are considering the same transition matrix for corporate bonds and CDS.</w:t>
      </w:r>
      <w:r w:rsidR="008D00E4">
        <w:t xml:space="preserve"> We are considering S&amp;P 2015 matrix for one year. </w:t>
      </w:r>
    </w:p>
    <w:p w:rsidR="00CA6E21" w:rsidRDefault="00CA6E21" w:rsidP="00CA6E21">
      <w:proofErr w:type="spellStart"/>
      <w:r>
        <w:t>CreditMetrics</w:t>
      </w:r>
      <w:proofErr w:type="spellEnd"/>
      <w:r>
        <w:t xml:space="preserve"> methodology as well as Gaussian copulas is used to</w:t>
      </w:r>
      <w:r w:rsidR="008D00E4">
        <w:t xml:space="preserve"> </w:t>
      </w:r>
      <w:r>
        <w:t xml:space="preserve">model the rating transitions. The one-year 99.9% </w:t>
      </w:r>
      <w:proofErr w:type="spellStart"/>
      <w:r>
        <w:t>VaR</w:t>
      </w:r>
      <w:proofErr w:type="spellEnd"/>
      <w:r>
        <w:t xml:space="preserve"> is calculated</w:t>
      </w:r>
      <w:r w:rsidR="00442309">
        <w:t xml:space="preserve"> </w:t>
      </w:r>
      <w:r>
        <w:t>using 10000 MC simulations:</w:t>
      </w:r>
    </w:p>
    <w:p w:rsidR="00CA6E21" w:rsidRPr="00442309" w:rsidRDefault="00442309" w:rsidP="00CA6E21">
      <w:pPr>
        <w:rPr>
          <w:rFonts w:eastAsiaTheme="minorEastAsia"/>
        </w:rPr>
      </w:pPr>
      <m:oMathPara>
        <m:oMath>
          <m:r>
            <w:rPr>
              <w:rFonts w:ascii="Cambria Math" w:hAnsi="Cambria Math"/>
            </w:rPr>
            <m:t xml:space="preserve">IRC </m:t>
          </m:r>
          <m:r>
            <w:rPr>
              <w:rFonts w:ascii="Cambria Math" w:hAnsi="Cambria Math"/>
            </w:rPr>
            <m:t>K</m:t>
          </m:r>
          <m:r>
            <w:rPr>
              <w:rFonts w:ascii="Cambria Math" w:hAnsi="Cambria Math"/>
            </w:rPr>
            <m:t>=</m:t>
          </m:r>
          <m:r>
            <m:rPr>
              <m:sty m:val="p"/>
            </m:rPr>
            <w:rPr>
              <w:rFonts w:ascii="Cambria Math" w:hAnsi="Cambria Math"/>
            </w:rPr>
            <m:t>⁡</m:t>
          </m:r>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1Y</m:t>
              </m:r>
              <m:r>
                <w:rPr>
                  <w:rFonts w:ascii="Cambria Math" w:hAnsi="Cambria Math"/>
                </w:rPr>
                <m:t xml:space="preserve"> 99</m:t>
              </m:r>
              <m:r>
                <w:rPr>
                  <w:rFonts w:ascii="Cambria Math" w:hAnsi="Cambria Math"/>
                </w:rPr>
                <m:t>.9</m:t>
              </m:r>
              <m:r>
                <w:rPr>
                  <w:rFonts w:ascii="Cambria Math" w:hAnsi="Cambria Math"/>
                </w:rPr>
                <m:t>%</m:t>
              </m:r>
            </m:sub>
          </m:sSub>
        </m:oMath>
      </m:oMathPara>
    </w:p>
    <w:p w:rsidR="00442309" w:rsidRDefault="00442309" w:rsidP="00CA6E21">
      <w:pPr>
        <w:rPr>
          <w:rFonts w:eastAsiaTheme="minorEastAsia"/>
        </w:rPr>
      </w:pPr>
      <m:oMathPara>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1Y 99.9%</m:t>
              </m:r>
            </m:sub>
          </m:sSub>
          <m:r>
            <w:rPr>
              <w:rFonts w:ascii="Cambria Math" w:eastAsiaTheme="minorEastAsia" w:hAnsi="Cambria Math"/>
            </w:rPr>
            <m:t xml:space="preserve">=5.06 MUSD  </m:t>
          </m:r>
        </m:oMath>
      </m:oMathPara>
    </w:p>
    <w:p w:rsidR="001D293F" w:rsidRDefault="00442309" w:rsidP="00E2243A">
      <w:pPr>
        <w:rPr>
          <w:rFonts w:eastAsiaTheme="minorEastAsia"/>
        </w:rPr>
      </w:pPr>
      <w:r>
        <w:rPr>
          <w:rFonts w:eastAsiaTheme="minorEastAsia"/>
        </w:rPr>
        <w:t xml:space="preserve">In this example, we are not considering the CDS’s for time issues. But, if considered, the capital requirement needs to </w:t>
      </w:r>
      <w:r w:rsidR="00C628E3">
        <w:rPr>
          <w:rFonts w:eastAsiaTheme="minorEastAsia"/>
        </w:rPr>
        <w:t>increase considerably, to around 10MUSD.</w:t>
      </w:r>
    </w:p>
    <w:p w:rsidR="00302AA5" w:rsidRDefault="00302AA5" w:rsidP="00E2243A"/>
    <w:p w:rsidR="00743252" w:rsidRDefault="00743252" w:rsidP="00E2243A">
      <w:r>
        <w:lastRenderedPageBreak/>
        <w:t>Rest of capital requirements</w:t>
      </w:r>
    </w:p>
    <w:p w:rsidR="00743252" w:rsidRDefault="00743252" w:rsidP="00E2243A">
      <w:r>
        <w:t>The following formulas are needed to compute the economic capital. For time constraints we were not able to finish them.</w:t>
      </w:r>
    </w:p>
    <w:p w:rsidR="00743252" w:rsidRDefault="00743252" w:rsidP="00E2243A">
      <w:r>
        <w:t>Economic Capital:</w:t>
      </w:r>
    </w:p>
    <w:p w:rsidR="00743252" w:rsidRDefault="00743252" w:rsidP="00743252">
      <w:r>
        <w:t>The Economic Capital is the Capital designated to cover unexpected Market losses. The Economic Capital provides a forward looking</w:t>
      </w:r>
      <w:r>
        <w:t xml:space="preserve"> </w:t>
      </w:r>
      <w:r>
        <w:t>estimate of the difference in the maximum potential loss and our ex</w:t>
      </w:r>
      <w:r>
        <w:t>pected loss:</w:t>
      </w:r>
    </w:p>
    <w:p w:rsidR="00743252" w:rsidRPr="00743252" w:rsidRDefault="00743252" w:rsidP="00743252">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rsidR="00743252" w:rsidRDefault="00292544" w:rsidP="00743252">
      <w:r>
        <w:t>Counterparty Credit Risk (CCR):</w:t>
      </w:r>
    </w:p>
    <w:p w:rsidR="00292544" w:rsidRDefault="00292544" w:rsidP="00292544">
      <w:r>
        <w:t>CCR is the risk associated with the counterparty</w:t>
      </w:r>
      <w:r>
        <w:t xml:space="preserve"> </w:t>
      </w:r>
      <w:r>
        <w:t>default</w:t>
      </w:r>
      <w:r>
        <w:t>ing</w:t>
      </w:r>
      <w:r>
        <w:t>. The default risk component is calculated</w:t>
      </w:r>
      <w:r>
        <w:t xml:space="preserve"> </w:t>
      </w:r>
      <w:r>
        <w:t xml:space="preserve">using the Standard </w:t>
      </w:r>
      <w:r>
        <w:t xml:space="preserve">or IRB approach according Basel </w:t>
      </w:r>
      <w:r>
        <w:t>framework. Credit Va</w:t>
      </w:r>
      <w:r>
        <w:t xml:space="preserve">lue Adjustment (CVA) capital is </w:t>
      </w:r>
      <w:r>
        <w:t>to mitigate the MTM losses on the expected CCR for</w:t>
      </w:r>
      <w:r>
        <w:t xml:space="preserve"> </w:t>
      </w:r>
      <w:r>
        <w:t>derivatives.</w:t>
      </w:r>
    </w:p>
    <w:p w:rsidR="00292544" w:rsidRDefault="00292544" w:rsidP="00292544"/>
    <w:p w:rsidR="00292544" w:rsidRDefault="00292544" w:rsidP="00292544">
      <w:r>
        <w:t>Standardized Approach</w:t>
      </w:r>
      <w:r>
        <w:t>:</w:t>
      </w:r>
    </w:p>
    <w:p w:rsidR="00292544" w:rsidRDefault="00292544" w:rsidP="00292544">
      <w:r>
        <w:t>The capital allocation is based on the following formula</w:t>
      </w:r>
      <w:r w:rsidR="00CF15E4">
        <w:t xml:space="preserve"> proposed in Basel 1</w:t>
      </w:r>
      <w:r>
        <w:t xml:space="preserve">, where the weights and credit equivalent add-on factors </w:t>
      </w:r>
      <w:r w:rsidR="00CF15E4">
        <w:t xml:space="preserve">are: </w:t>
      </w:r>
    </w:p>
    <w:p w:rsidR="00CF15E4" w:rsidRPr="00CF15E4" w:rsidRDefault="00CF15E4" w:rsidP="00292544">
      <w:pPr>
        <w:rPr>
          <w:rFonts w:eastAsiaTheme="minorEastAsia"/>
        </w:rPr>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rsidR="00CF15E4" w:rsidRDefault="00CF15E4" w:rsidP="00292544">
      <w:pPr>
        <w:rPr>
          <w:rFonts w:eastAsiaTheme="minorEastAsia"/>
        </w:rPr>
      </w:pPr>
      <w:r>
        <w:rPr>
          <w:rFonts w:eastAsiaTheme="minorEastAsia"/>
        </w:rPr>
        <w:t>Where the ratings on the credits pay an important part on the weights to affect the debt:</w:t>
      </w:r>
    </w:p>
    <w:p w:rsidR="00CF15E4" w:rsidRDefault="00CF15E4" w:rsidP="00292544">
      <w:r>
        <w:rPr>
          <w:noProof/>
        </w:rPr>
        <w:drawing>
          <wp:inline distT="0" distB="0" distL="0" distR="0">
            <wp:extent cx="5702300" cy="7588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2300" cy="758825"/>
                    </a:xfrm>
                    <a:prstGeom prst="rect">
                      <a:avLst/>
                    </a:prstGeom>
                    <a:noFill/>
                    <a:ln>
                      <a:noFill/>
                    </a:ln>
                  </pic:spPr>
                </pic:pic>
              </a:graphicData>
            </a:graphic>
          </wp:inline>
        </w:drawing>
      </w:r>
    </w:p>
    <w:p w:rsidR="00CF15E4" w:rsidRDefault="008960B5" w:rsidP="00292544">
      <w:r>
        <w:t>And the RWA categories are according to the following</w:t>
      </w:r>
      <w:r>
        <w:rPr>
          <w:rStyle w:val="Refdenotaalpie"/>
        </w:rPr>
        <w:footnoteReference w:id="8"/>
      </w:r>
      <w:r>
        <w:t>:</w:t>
      </w:r>
    </w:p>
    <w:p w:rsidR="008960B5" w:rsidRDefault="008A3819" w:rsidP="008960B5">
      <w:pPr>
        <w:ind w:firstLine="720"/>
      </w:pPr>
      <w:r>
        <w:rPr>
          <w:noProof/>
        </w:rPr>
        <w:drawing>
          <wp:inline distT="0" distB="0" distL="0" distR="0">
            <wp:extent cx="4511675" cy="1802765"/>
            <wp:effectExtent l="0" t="0" r="3175"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1675" cy="1802765"/>
                    </a:xfrm>
                    <a:prstGeom prst="rect">
                      <a:avLst/>
                    </a:prstGeom>
                    <a:noFill/>
                    <a:ln>
                      <a:noFill/>
                    </a:ln>
                  </pic:spPr>
                </pic:pic>
              </a:graphicData>
            </a:graphic>
          </wp:inline>
        </w:drawing>
      </w:r>
    </w:p>
    <w:p w:rsidR="008A3819" w:rsidRDefault="008A3819" w:rsidP="00A81618">
      <w:r>
        <w:lastRenderedPageBreak/>
        <w:t>Internal Rating Based Approach (IRB):</w:t>
      </w:r>
    </w:p>
    <w:p w:rsidR="008A3819" w:rsidRDefault="008A3819" w:rsidP="00A81618">
      <w:r>
        <w:t>The IRB approach is more advanced than the standardized approach</w:t>
      </w:r>
      <w:r>
        <w:t xml:space="preserve"> </w:t>
      </w:r>
      <w:r>
        <w:t xml:space="preserve">and is based on the </w:t>
      </w:r>
      <w:proofErr w:type="spellStart"/>
      <w:r>
        <w:t>Vasicek</w:t>
      </w:r>
      <w:proofErr w:type="spellEnd"/>
      <w:r>
        <w:t xml:space="preserve"> model of the portfolio. In IRB the </w:t>
      </w:r>
      <w:proofErr w:type="spellStart"/>
      <w:r>
        <w:t>VaR</w:t>
      </w:r>
      <w:proofErr w:type="spellEnd"/>
      <w:r>
        <w:t xml:space="preserve"> is</w:t>
      </w:r>
      <w:r>
        <w:t xml:space="preserve"> </w:t>
      </w:r>
      <w:r>
        <w:t>based on the one year 99.9% confidence interval. The default</w:t>
      </w:r>
      <w:r>
        <w:t xml:space="preserve"> </w:t>
      </w:r>
      <w:r>
        <w:t>probabilities are calculated based on the CDS spread of the</w:t>
      </w:r>
      <w:r>
        <w:t xml:space="preserve"> </w:t>
      </w:r>
      <w:r>
        <w:t>c</w:t>
      </w:r>
      <w:r>
        <w:t>ounterparties. The formulas and e</w:t>
      </w:r>
      <w:r>
        <w:t>xplanations of the rest of the</w:t>
      </w:r>
      <w:r>
        <w:t xml:space="preserve"> </w:t>
      </w:r>
      <w:r>
        <w:t xml:space="preserve">parameters can be found in our documentation. </w:t>
      </w:r>
    </w:p>
    <w:p w:rsidR="008A3819" w:rsidRDefault="008A3819" w:rsidP="008A3819">
      <w:pPr>
        <w:ind w:firstLine="720"/>
      </w:pPr>
      <w:r>
        <w:rPr>
          <w:noProof/>
        </w:rPr>
        <w:drawing>
          <wp:inline distT="0" distB="0" distL="0" distR="0">
            <wp:extent cx="2932981" cy="1734921"/>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7250" cy="1737446"/>
                    </a:xfrm>
                    <a:prstGeom prst="rect">
                      <a:avLst/>
                    </a:prstGeom>
                    <a:noFill/>
                    <a:ln>
                      <a:noFill/>
                    </a:ln>
                  </pic:spPr>
                </pic:pic>
              </a:graphicData>
            </a:graphic>
          </wp:inline>
        </w:drawing>
      </w:r>
    </w:p>
    <w:p w:rsidR="00A81618" w:rsidRDefault="00A81618" w:rsidP="008A3819">
      <w:pPr>
        <w:ind w:firstLine="720"/>
      </w:pPr>
    </w:p>
    <w:p w:rsidR="00A81618" w:rsidRDefault="00A81618" w:rsidP="00A81618">
      <w:r>
        <w:t>Standardized CVA Capital:</w:t>
      </w:r>
    </w:p>
    <w:p w:rsidR="00A81618" w:rsidRDefault="00A81618" w:rsidP="00A81618">
      <w:r w:rsidRPr="00A81618">
        <w:t>In the standardized approach, the portfolio CVA capital charge is calculated using the following formula</w:t>
      </w:r>
      <w:r>
        <w:t>:</w:t>
      </w:r>
    </w:p>
    <w:p w:rsidR="00A81618" w:rsidRDefault="00A81618" w:rsidP="00A81618">
      <w:bookmarkStart w:id="0" w:name="_GoBack"/>
      <w:bookmarkEnd w:id="0"/>
    </w:p>
    <w:p w:rsidR="00A81618" w:rsidRDefault="00A81618" w:rsidP="00A81618"/>
    <w:p w:rsidR="00A81618" w:rsidRDefault="00A81618" w:rsidP="008A3819">
      <w:pPr>
        <w:ind w:firstLine="720"/>
      </w:pPr>
    </w:p>
    <w:sectPr w:rsidR="00A81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80B" w:rsidRDefault="0085080B" w:rsidP="00EB4775">
      <w:pPr>
        <w:spacing w:after="0" w:line="240" w:lineRule="auto"/>
      </w:pPr>
      <w:r>
        <w:separator/>
      </w:r>
    </w:p>
  </w:endnote>
  <w:endnote w:type="continuationSeparator" w:id="0">
    <w:p w:rsidR="0085080B" w:rsidRDefault="0085080B" w:rsidP="00EB4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80B" w:rsidRDefault="0085080B" w:rsidP="00EB4775">
      <w:pPr>
        <w:spacing w:after="0" w:line="240" w:lineRule="auto"/>
      </w:pPr>
      <w:r>
        <w:separator/>
      </w:r>
    </w:p>
  </w:footnote>
  <w:footnote w:type="continuationSeparator" w:id="0">
    <w:p w:rsidR="0085080B" w:rsidRDefault="0085080B" w:rsidP="00EB4775">
      <w:pPr>
        <w:spacing w:after="0" w:line="240" w:lineRule="auto"/>
      </w:pPr>
      <w:r>
        <w:continuationSeparator/>
      </w:r>
    </w:p>
  </w:footnote>
  <w:footnote w:id="1">
    <w:p w:rsidR="00FC1FD9" w:rsidRPr="00FC1FD9" w:rsidRDefault="00FC1FD9">
      <w:pPr>
        <w:pStyle w:val="Textonotapie"/>
        <w:rPr>
          <w:lang w:val="es-419"/>
        </w:rPr>
      </w:pPr>
      <w:r>
        <w:rPr>
          <w:rStyle w:val="Refdenotaalpie"/>
        </w:rPr>
        <w:footnoteRef/>
      </w:r>
      <w:r w:rsidRPr="00FC1FD9">
        <w:rPr>
          <w:lang w:val="es-419"/>
        </w:rPr>
        <w:t xml:space="preserve"> </w:t>
      </w:r>
      <w:r>
        <w:t>GS, GILD, IBM</w:t>
      </w:r>
    </w:p>
  </w:footnote>
  <w:footnote w:id="2">
    <w:p w:rsidR="00FC1FD9" w:rsidRPr="004E3DAE" w:rsidRDefault="00FC1FD9">
      <w:pPr>
        <w:pStyle w:val="Textonotapie"/>
        <w:rPr>
          <w:lang w:val="es-419"/>
        </w:rPr>
      </w:pPr>
      <w:r>
        <w:rPr>
          <w:rStyle w:val="Refdenotaalpie"/>
        </w:rPr>
        <w:footnoteRef/>
      </w:r>
      <w:r w:rsidRPr="004E3DAE">
        <w:rPr>
          <w:lang w:val="es-419"/>
        </w:rPr>
        <w:t xml:space="preserve"> MET, LMT, MRK</w:t>
      </w:r>
    </w:p>
  </w:footnote>
  <w:footnote w:id="3">
    <w:p w:rsidR="004E3DAE" w:rsidRPr="004E3DAE" w:rsidRDefault="004E3DAE">
      <w:pPr>
        <w:pStyle w:val="Textonotapie"/>
      </w:pPr>
      <w:r>
        <w:rPr>
          <w:rStyle w:val="Refdenotaalpie"/>
        </w:rPr>
        <w:footnoteRef/>
      </w:r>
      <w:r>
        <w:t xml:space="preserve"> USDCAD and EURCAD</w:t>
      </w:r>
    </w:p>
  </w:footnote>
  <w:footnote w:id="4">
    <w:p w:rsidR="00EB4775" w:rsidRPr="00EB4775" w:rsidRDefault="00EB4775">
      <w:pPr>
        <w:pStyle w:val="Textonotapie"/>
        <w:rPr>
          <w:lang w:val="es-419"/>
        </w:rPr>
      </w:pPr>
      <w:r>
        <w:rPr>
          <w:rStyle w:val="Refdenotaalpie"/>
        </w:rPr>
        <w:footnoteRef/>
      </w:r>
      <w:r w:rsidRPr="00EB4775">
        <w:rPr>
          <w:lang w:val="es-419"/>
        </w:rPr>
        <w:t xml:space="preserve"> </w:t>
      </w:r>
      <w:proofErr w:type="spellStart"/>
      <w:r w:rsidRPr="00EB4775">
        <w:rPr>
          <w:lang w:val="es-419"/>
        </w:rPr>
        <w:t>The</w:t>
      </w:r>
      <w:proofErr w:type="spellEnd"/>
      <w:r w:rsidRPr="00EB4775">
        <w:rPr>
          <w:lang w:val="es-419"/>
        </w:rPr>
        <w:t xml:space="preserve"> 15 </w:t>
      </w:r>
      <w:proofErr w:type="spellStart"/>
      <w:r w:rsidRPr="00EB4775">
        <w:rPr>
          <w:lang w:val="es-419"/>
        </w:rPr>
        <w:t>term</w:t>
      </w:r>
      <w:proofErr w:type="spellEnd"/>
      <w:r w:rsidRPr="00EB4775">
        <w:rPr>
          <w:lang w:val="es-419"/>
        </w:rPr>
        <w:t xml:space="preserve"> </w:t>
      </w:r>
      <w:proofErr w:type="spellStart"/>
      <w:r w:rsidRPr="00EB4775">
        <w:rPr>
          <w:lang w:val="es-419"/>
        </w:rPr>
        <w:t>structure</w:t>
      </w:r>
      <w:proofErr w:type="spellEnd"/>
      <w:r w:rsidRPr="00EB4775">
        <w:rPr>
          <w:lang w:val="es-419"/>
        </w:rPr>
        <w:t xml:space="preserve"> </w:t>
      </w:r>
      <w:proofErr w:type="spellStart"/>
      <w:r w:rsidRPr="00EB4775">
        <w:rPr>
          <w:lang w:val="es-419"/>
        </w:rPr>
        <w:t>points</w:t>
      </w:r>
      <w:proofErr w:type="spellEnd"/>
      <w:r w:rsidRPr="00EB4775">
        <w:rPr>
          <w:lang w:val="es-419"/>
        </w:rPr>
        <w:t xml:space="preserve"> are </w:t>
      </w:r>
      <w:proofErr w:type="spellStart"/>
      <w:r w:rsidRPr="00EB4775">
        <w:rPr>
          <w:lang w:val="es-419"/>
        </w:rPr>
        <w:t>the</w:t>
      </w:r>
      <w:proofErr w:type="spellEnd"/>
      <w:r w:rsidRPr="00EB4775">
        <w:rPr>
          <w:lang w:val="es-419"/>
        </w:rPr>
        <w:t xml:space="preserve"> </w:t>
      </w:r>
      <w:proofErr w:type="spellStart"/>
      <w:r w:rsidRPr="00EB4775">
        <w:rPr>
          <w:lang w:val="es-419"/>
        </w:rPr>
        <w:t>following</w:t>
      </w:r>
      <w:proofErr w:type="spellEnd"/>
      <w:r w:rsidRPr="00EB4775">
        <w:rPr>
          <w:lang w:val="es-419"/>
        </w:rPr>
        <w:t>: 3M, 6M, 1Y, 2Y, 3Y, 4Y, 5Y, 6Y, 7Y, 8Y, 9Y, 10Y, 15Y, 20Y, 30Y</w:t>
      </w:r>
    </w:p>
  </w:footnote>
  <w:footnote w:id="5">
    <w:p w:rsidR="00EB4775" w:rsidRPr="00EB4775" w:rsidRDefault="00EB4775">
      <w:pPr>
        <w:pStyle w:val="Textonotapie"/>
        <w:rPr>
          <w:lang w:val="es-419"/>
        </w:rPr>
      </w:pPr>
      <w:r>
        <w:rPr>
          <w:rStyle w:val="Refdenotaalpie"/>
        </w:rPr>
        <w:footnoteRef/>
      </w:r>
      <w:r w:rsidRPr="00EB4775">
        <w:rPr>
          <w:lang w:val="es-419"/>
        </w:rPr>
        <w:t xml:space="preserve"> </w:t>
      </w:r>
      <w:proofErr w:type="spellStart"/>
      <w:r w:rsidRPr="00EB4775">
        <w:rPr>
          <w:lang w:val="es-419"/>
        </w:rPr>
        <w:t>The</w:t>
      </w:r>
      <w:proofErr w:type="spellEnd"/>
      <w:r w:rsidRPr="00EB4775">
        <w:rPr>
          <w:lang w:val="es-419"/>
        </w:rPr>
        <w:t xml:space="preserve"> 15 </w:t>
      </w:r>
      <w:proofErr w:type="spellStart"/>
      <w:r w:rsidRPr="00EB4775">
        <w:rPr>
          <w:lang w:val="es-419"/>
        </w:rPr>
        <w:t>term</w:t>
      </w:r>
      <w:proofErr w:type="spellEnd"/>
      <w:r w:rsidRPr="00EB4775">
        <w:rPr>
          <w:lang w:val="es-419"/>
        </w:rPr>
        <w:t xml:space="preserve"> </w:t>
      </w:r>
      <w:proofErr w:type="spellStart"/>
      <w:r w:rsidRPr="00EB4775">
        <w:rPr>
          <w:lang w:val="es-419"/>
        </w:rPr>
        <w:t>structure</w:t>
      </w:r>
      <w:proofErr w:type="spellEnd"/>
      <w:r w:rsidRPr="00EB4775">
        <w:rPr>
          <w:lang w:val="es-419"/>
        </w:rPr>
        <w:t xml:space="preserve"> </w:t>
      </w:r>
      <w:proofErr w:type="spellStart"/>
      <w:r w:rsidRPr="00EB4775">
        <w:rPr>
          <w:lang w:val="es-419"/>
        </w:rPr>
        <w:t>points</w:t>
      </w:r>
      <w:proofErr w:type="spellEnd"/>
      <w:r w:rsidRPr="00EB4775">
        <w:rPr>
          <w:lang w:val="es-419"/>
        </w:rPr>
        <w:t xml:space="preserve"> are </w:t>
      </w:r>
      <w:proofErr w:type="spellStart"/>
      <w:r w:rsidRPr="00EB4775">
        <w:rPr>
          <w:lang w:val="es-419"/>
        </w:rPr>
        <w:t>the</w:t>
      </w:r>
      <w:proofErr w:type="spellEnd"/>
      <w:r w:rsidRPr="00EB4775">
        <w:rPr>
          <w:lang w:val="es-419"/>
        </w:rPr>
        <w:t xml:space="preserve"> </w:t>
      </w:r>
      <w:proofErr w:type="spellStart"/>
      <w:r w:rsidRPr="00EB4775">
        <w:rPr>
          <w:lang w:val="es-419"/>
        </w:rPr>
        <w:t>following</w:t>
      </w:r>
      <w:proofErr w:type="spellEnd"/>
      <w:r w:rsidRPr="00EB4775">
        <w:rPr>
          <w:lang w:val="es-419"/>
        </w:rPr>
        <w:t>: 3M, 6M, 1Y, 2Y, 3Y, 4Y, 5Y, 6Y, 7Y, 8Y, 9Y, 10Y, 15Y, 20Y, 30Y</w:t>
      </w:r>
    </w:p>
  </w:footnote>
  <w:footnote w:id="6">
    <w:p w:rsidR="00EB4775" w:rsidRPr="00EB4775" w:rsidRDefault="00EB4775">
      <w:pPr>
        <w:pStyle w:val="Textonotapie"/>
        <w:rPr>
          <w:lang w:val="es-419"/>
        </w:rPr>
      </w:pPr>
      <w:r>
        <w:rPr>
          <w:rStyle w:val="Refdenotaalpie"/>
        </w:rPr>
        <w:footnoteRef/>
      </w:r>
      <w:r w:rsidRPr="00EB4775">
        <w:rPr>
          <w:lang w:val="es-419"/>
        </w:rPr>
        <w:t xml:space="preserve"> </w:t>
      </w:r>
      <w:proofErr w:type="spellStart"/>
      <w:r w:rsidRPr="00EB4775">
        <w:rPr>
          <w:lang w:val="es-419"/>
        </w:rPr>
        <w:t>The</w:t>
      </w:r>
      <w:proofErr w:type="spellEnd"/>
      <w:r w:rsidRPr="00EB4775">
        <w:rPr>
          <w:lang w:val="es-419"/>
        </w:rPr>
        <w:t xml:space="preserve"> 15 </w:t>
      </w:r>
      <w:proofErr w:type="spellStart"/>
      <w:r w:rsidRPr="00EB4775">
        <w:rPr>
          <w:lang w:val="es-419"/>
        </w:rPr>
        <w:t>term</w:t>
      </w:r>
      <w:proofErr w:type="spellEnd"/>
      <w:r w:rsidRPr="00EB4775">
        <w:rPr>
          <w:lang w:val="es-419"/>
        </w:rPr>
        <w:t xml:space="preserve"> </w:t>
      </w:r>
      <w:proofErr w:type="spellStart"/>
      <w:r w:rsidRPr="00EB4775">
        <w:rPr>
          <w:lang w:val="es-419"/>
        </w:rPr>
        <w:t>structure</w:t>
      </w:r>
      <w:proofErr w:type="spellEnd"/>
      <w:r w:rsidRPr="00EB4775">
        <w:rPr>
          <w:lang w:val="es-419"/>
        </w:rPr>
        <w:t xml:space="preserve"> </w:t>
      </w:r>
      <w:proofErr w:type="spellStart"/>
      <w:r w:rsidRPr="00EB4775">
        <w:rPr>
          <w:lang w:val="es-419"/>
        </w:rPr>
        <w:t>points</w:t>
      </w:r>
      <w:proofErr w:type="spellEnd"/>
      <w:r w:rsidRPr="00EB4775">
        <w:rPr>
          <w:lang w:val="es-419"/>
        </w:rPr>
        <w:t xml:space="preserve"> are </w:t>
      </w:r>
      <w:proofErr w:type="spellStart"/>
      <w:r w:rsidRPr="00EB4775">
        <w:rPr>
          <w:lang w:val="es-419"/>
        </w:rPr>
        <w:t>the</w:t>
      </w:r>
      <w:proofErr w:type="spellEnd"/>
      <w:r w:rsidRPr="00EB4775">
        <w:rPr>
          <w:lang w:val="es-419"/>
        </w:rPr>
        <w:t xml:space="preserve"> </w:t>
      </w:r>
      <w:proofErr w:type="spellStart"/>
      <w:r w:rsidRPr="00EB4775">
        <w:rPr>
          <w:lang w:val="es-419"/>
        </w:rPr>
        <w:t>following</w:t>
      </w:r>
      <w:proofErr w:type="spellEnd"/>
      <w:r w:rsidRPr="00EB4775">
        <w:rPr>
          <w:lang w:val="es-419"/>
        </w:rPr>
        <w:t>: 3M, 6M, 1Y, 2Y, 3Y, 4Y, 5Y, 6Y, 7Y, 8Y, 9Y, 10Y, 15Y, 20Y, 30Y</w:t>
      </w:r>
    </w:p>
  </w:footnote>
  <w:footnote w:id="7">
    <w:p w:rsidR="00B77FEA" w:rsidRDefault="00B77FEA">
      <w:pPr>
        <w:pStyle w:val="Textonotapie"/>
      </w:pPr>
      <w:r>
        <w:rPr>
          <w:rStyle w:val="Refdenotaalpie"/>
        </w:rPr>
        <w:footnoteRef/>
      </w:r>
      <w:r>
        <w:t xml:space="preserve"> The 8 term structure points are the following: 6M, 1Y, 2Y, 3Y, 4Y, 5Y, 7Y, 10Y</w:t>
      </w:r>
    </w:p>
  </w:footnote>
  <w:footnote w:id="8">
    <w:p w:rsidR="008960B5" w:rsidRDefault="008960B5">
      <w:pPr>
        <w:pStyle w:val="Textonotapie"/>
      </w:pPr>
      <w:r>
        <w:rPr>
          <w:rStyle w:val="Refdenotaalpie"/>
        </w:rPr>
        <w:footnoteRef/>
      </w:r>
      <w:r>
        <w:t xml:space="preserve"> </w:t>
      </w:r>
      <w:r w:rsidR="007A443D" w:rsidRPr="007A443D">
        <w:t>http://www.investopedia.com/articles/07/baselcapitalaccord.asp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2086A"/>
    <w:multiLevelType w:val="hybridMultilevel"/>
    <w:tmpl w:val="27F4030C"/>
    <w:lvl w:ilvl="0" w:tplc="E3CCB8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43EB4"/>
    <w:multiLevelType w:val="hybridMultilevel"/>
    <w:tmpl w:val="921E313E"/>
    <w:lvl w:ilvl="0" w:tplc="58FA09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24"/>
    <w:rsid w:val="0004502F"/>
    <w:rsid w:val="000544F2"/>
    <w:rsid w:val="001D293F"/>
    <w:rsid w:val="00292544"/>
    <w:rsid w:val="002E46D0"/>
    <w:rsid w:val="00302AA5"/>
    <w:rsid w:val="00442309"/>
    <w:rsid w:val="004E3DAE"/>
    <w:rsid w:val="005B0E53"/>
    <w:rsid w:val="005C42F9"/>
    <w:rsid w:val="00690E24"/>
    <w:rsid w:val="00743252"/>
    <w:rsid w:val="00753B6A"/>
    <w:rsid w:val="007A443D"/>
    <w:rsid w:val="0085080B"/>
    <w:rsid w:val="008960B5"/>
    <w:rsid w:val="008A3819"/>
    <w:rsid w:val="008D00E4"/>
    <w:rsid w:val="008E3C61"/>
    <w:rsid w:val="00A23F88"/>
    <w:rsid w:val="00A81618"/>
    <w:rsid w:val="00A95F28"/>
    <w:rsid w:val="00AC66F5"/>
    <w:rsid w:val="00B77FEA"/>
    <w:rsid w:val="00C628E3"/>
    <w:rsid w:val="00C7092E"/>
    <w:rsid w:val="00CA6E21"/>
    <w:rsid w:val="00CE4D4C"/>
    <w:rsid w:val="00CF15E4"/>
    <w:rsid w:val="00D5516C"/>
    <w:rsid w:val="00D91C1A"/>
    <w:rsid w:val="00DE3729"/>
    <w:rsid w:val="00E2243A"/>
    <w:rsid w:val="00E46B08"/>
    <w:rsid w:val="00EB4775"/>
    <w:rsid w:val="00FA66F0"/>
    <w:rsid w:val="00FC1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F321B-3FD5-4A57-B256-C9D2C513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0E24"/>
    <w:pPr>
      <w:ind w:left="720"/>
      <w:contextualSpacing/>
    </w:pPr>
  </w:style>
  <w:style w:type="paragraph" w:styleId="Textonotapie">
    <w:name w:val="footnote text"/>
    <w:basedOn w:val="Normal"/>
    <w:link w:val="TextonotapieCar"/>
    <w:uiPriority w:val="99"/>
    <w:semiHidden/>
    <w:unhideWhenUsed/>
    <w:rsid w:val="00EB47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4775"/>
    <w:rPr>
      <w:sz w:val="20"/>
      <w:szCs w:val="20"/>
    </w:rPr>
  </w:style>
  <w:style w:type="character" w:styleId="Refdenotaalpie">
    <w:name w:val="footnote reference"/>
    <w:basedOn w:val="Fuentedeprrafopredeter"/>
    <w:uiPriority w:val="99"/>
    <w:semiHidden/>
    <w:unhideWhenUsed/>
    <w:rsid w:val="00EB4775"/>
    <w:rPr>
      <w:vertAlign w:val="superscript"/>
    </w:rPr>
  </w:style>
  <w:style w:type="character" w:styleId="Textodelmarcadordeposicin">
    <w:name w:val="Placeholder Text"/>
    <w:basedOn w:val="Fuentedeprrafopredeter"/>
    <w:uiPriority w:val="99"/>
    <w:semiHidden/>
    <w:rsid w:val="00A23F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BD50-9A64-41B4-ACEE-9C4F82B3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11</Pages>
  <Words>1147</Words>
  <Characters>6544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Saad Canales</dc:creator>
  <cp:keywords/>
  <dc:description/>
  <cp:lastModifiedBy>Jose Saad Canales</cp:lastModifiedBy>
  <cp:revision>10</cp:revision>
  <dcterms:created xsi:type="dcterms:W3CDTF">2016-07-09T22:30:00Z</dcterms:created>
  <dcterms:modified xsi:type="dcterms:W3CDTF">2016-07-10T05:25:00Z</dcterms:modified>
</cp:coreProperties>
</file>