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CF1DDE" w:rsidRDefault="00E95607">
                  <w:pPr>
                    <w:pStyle w:val="Header-Details"/>
                    <w:rPr>
                      <w:sz w:val="20"/>
                      <w:szCs w:val="20"/>
                    </w:rPr>
                  </w:pPr>
                  <w:r w:rsidRPr="00CF1DDE">
                    <w:rPr>
                      <w:sz w:val="20"/>
                      <w:szCs w:val="20"/>
                    </w:rPr>
                    <w:t>Pantelis Isaiah – 995354593</w:t>
                  </w:r>
                </w:p>
                <w:p w14:paraId="07C36EDC" w14:textId="1EAAEEC4" w:rsidR="00E95607" w:rsidRPr="00CF1DDE" w:rsidRDefault="00E95607">
                  <w:pPr>
                    <w:pStyle w:val="Header-Details"/>
                    <w:rPr>
                      <w:sz w:val="20"/>
                      <w:szCs w:val="20"/>
                      <w:lang w:val="uz-Cyrl-UZ"/>
                    </w:rPr>
                  </w:pPr>
                  <w:r w:rsidRPr="00CF1DDE">
                    <w:rPr>
                      <w:sz w:val="20"/>
                      <w:szCs w:val="20"/>
                      <w:lang w:val="uz-Cyrl-UZ"/>
                    </w:rPr>
                    <w:t>Sergio Ortiz Orendain</w:t>
                  </w:r>
                  <w:r w:rsidR="008F3522" w:rsidRPr="00CF1DDE">
                    <w:rPr>
                      <w:sz w:val="20"/>
                      <w:szCs w:val="20"/>
                      <w:lang w:val="uz-Cyrl-UZ"/>
                    </w:rPr>
                    <w:t xml:space="preserve"> - 1002248533</w:t>
                  </w:r>
                </w:p>
                <w:p w14:paraId="6F80A18B" w14:textId="4A145C1D" w:rsidR="00E95607" w:rsidRPr="00CF1DDE" w:rsidRDefault="00E95607">
                  <w:pPr>
                    <w:pStyle w:val="Header-Details"/>
                    <w:rPr>
                      <w:sz w:val="20"/>
                      <w:szCs w:val="20"/>
                      <w:lang w:val="uz-Cyrl-UZ"/>
                    </w:rPr>
                  </w:pPr>
                  <w:r w:rsidRPr="00CF1DDE">
                    <w:rPr>
                      <w:sz w:val="20"/>
                      <w:szCs w:val="20"/>
                      <w:lang w:val="uz-Cyrl-UZ"/>
                    </w:rPr>
                    <w:t>José Saad Canales</w:t>
                  </w:r>
                  <w:r w:rsidR="004904DD" w:rsidRPr="00CF1DDE">
                    <w:rPr>
                      <w:sz w:val="20"/>
                      <w:szCs w:val="20"/>
                      <w:lang w:val="uz-Cyrl-UZ"/>
                    </w:rPr>
                    <w:t xml:space="preserve"> - 999048392</w:t>
                  </w:r>
                </w:p>
                <w:p w14:paraId="1EA267BE" w14:textId="73BB9E8F" w:rsidR="00E95607" w:rsidRDefault="00E95607">
                  <w:pPr>
                    <w:pStyle w:val="Header-Details"/>
                  </w:pPr>
                  <w:r w:rsidRPr="00CF1DDE">
                    <w:rPr>
                      <w:sz w:val="20"/>
                      <w:szCs w:val="20"/>
                    </w:rPr>
                    <w:t xml:space="preserve">Ryan </w:t>
                  </w:r>
                  <w:proofErr w:type="spellStart"/>
                  <w:r w:rsidRPr="00CF1DDE">
                    <w:rPr>
                      <w:sz w:val="20"/>
                      <w:szCs w:val="20"/>
                    </w:rPr>
                    <w:t>Shrott</w:t>
                  </w:r>
                  <w:proofErr w:type="spellEnd"/>
                  <w:r w:rsidR="004904DD" w:rsidRPr="00CF1DDE">
                    <w:rPr>
                      <w:sz w:val="20"/>
                      <w:szCs w:val="20"/>
                    </w:rPr>
                    <w:t xml:space="preserve"> - </w:t>
                  </w:r>
                  <w:r w:rsidR="00E43087" w:rsidRPr="00CF1DDE">
                    <w:rPr>
                      <w:sz w:val="20"/>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EC19A7" w:rsidP="00DE4492"/>
      </w:sdtContent>
    </w:sdt>
    <w:sdt>
      <w:sdtPr>
        <w:id w:val="6002714"/>
        <w:placeholder>
          <w:docPart w:val="92880EB4D8A6454AABAC70FB2504D645"/>
        </w:placeholder>
      </w:sdtPr>
      <w:sdtContent>
        <w:sdt>
          <w:sdtPr>
            <w:id w:val="765115665"/>
            <w:placeholder>
              <w:docPart w:val="3E94E90A42B9154E8917F9818716AAC0"/>
            </w:placeholder>
          </w:sdtPr>
          <w:sdtContent>
            <w:p w14:paraId="4DDF3861" w14:textId="55F351A3" w:rsidR="004169F9" w:rsidRDefault="004169F9" w:rsidP="004169F9">
              <w:pPr>
                <w:pStyle w:val="BodyText"/>
                <w:spacing w:after="120"/>
              </w:pPr>
              <w:r>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EC19A7"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5C84FBB1" w14:textId="68AE3A5C" w:rsidR="004169F9" w:rsidRPr="004169F9" w:rsidRDefault="00EC19A7">
          <w:pPr>
            <w:pStyle w:val="Heading1"/>
            <w:rPr>
              <w:rStyle w:val="BodyTextChar"/>
            </w:rPr>
          </w:pPr>
          <w:sdt>
            <w:sdtPr>
              <w:id w:val="-148377740"/>
              <w:placeholder>
                <w:docPart w:val="B6D72F6AEA404C47AC2188BC588810E7"/>
              </w:placeholder>
            </w:sdtPr>
            <w:sdtEndPr>
              <w:rPr>
                <w:rStyle w:val="BodyTextChar"/>
                <w:rFonts w:ascii="Cambria" w:hAnsi="Cambria"/>
                <w:color w:val="000000" w:themeColor="text1"/>
                <w:sz w:val="20"/>
              </w:rPr>
            </w:sdtEndPr>
            <w:sdtContent>
              <w:r w:rsidR="004169F9" w:rsidRPr="004169F9">
                <w:rPr>
                  <w:rStyle w:val="BodyTextChar"/>
                </w:rPr>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4D5B7CEC" w14:textId="77777777" w:rsidR="004169F9" w:rsidRDefault="004169F9" w:rsidP="004169F9">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169F9">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0" w:name="_GoBack"/>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bookmarkEnd w:id="0" w:displacedByCustomXml="next"/>
      </w:sdtContent>
    </w:sdt>
    <w:p w14:paraId="66D7B009" w14:textId="7B892966" w:rsidR="009C7B6D" w:rsidRDefault="009C7B6D" w:rsidP="006447F6">
      <w:pPr>
        <w:pStyle w:val="Heading1"/>
      </w:pPr>
      <w:r>
        <w:t>Sensitivities</w:t>
      </w:r>
    </w:p>
    <w:p w14:paraId="39D3239D" w14:textId="52464718" w:rsidR="004169F9" w:rsidRDefault="004169F9" w:rsidP="00E0612C">
      <w:pPr>
        <w:pStyle w:val="BodyText"/>
      </w:pPr>
      <w:r>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52061A">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52061A">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43AC8">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43AC8">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43AC8">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43AC8">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43AC8">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43AC8">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43AC8">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43AC8">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09E17594" w14:textId="4F9FEB9E" w:rsidR="009109D0" w:rsidRDefault="00C44A2C" w:rsidP="00C44A2C">
      <w:pPr>
        <w:pStyle w:val="BodyText"/>
      </w:pPr>
      <w:r>
        <w:t xml:space="preserve">Under Basel II.5, Regulatory Value-at-Risk (VaR) is the estimate of the potential decline in the value of a position/portfolio under normal market conditions. We will consider a 10-day time VaR at the 99th percentile for all our estimations, however in the table below we present values for different confidence level and time horizon.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w:t>
      </w:r>
      <w:proofErr w:type="spellStart"/>
      <w:r>
        <w:t>VaR.</w:t>
      </w:r>
      <w:proofErr w:type="spellEnd"/>
      <w:r>
        <w:t xml:space="preserve"> The following table illustrates the values obtained for these measures:</w:t>
      </w:r>
    </w:p>
    <w:p w14:paraId="451EE3D7" w14:textId="77777777" w:rsidR="00C44A2C" w:rsidRPr="0044105F" w:rsidRDefault="00C44A2C" w:rsidP="00C44A2C">
      <w:pPr>
        <w:pStyle w:val="BodyText"/>
      </w:pP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743AC8"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743AC8" w:rsidRDefault="002076DE" w:rsidP="00743AC8">
            <w:pPr>
              <w:pStyle w:val="tabletextheader"/>
              <w:rPr>
                <w:b/>
              </w:rPr>
            </w:pPr>
            <w:r w:rsidRPr="00743AC8">
              <w:rPr>
                <w:b/>
              </w:rPr>
              <w:t>VaR</w:t>
            </w:r>
          </w:p>
        </w:tc>
        <w:tc>
          <w:tcPr>
            <w:tcW w:w="2393" w:type="dxa"/>
            <w:gridSpan w:val="2"/>
            <w:tcBorders>
              <w:bottom w:val="single" w:sz="4" w:space="0" w:color="auto"/>
            </w:tcBorders>
            <w:vAlign w:val="center"/>
          </w:tcPr>
          <w:p w14:paraId="0B4BBAA8" w14:textId="54F54D6F" w:rsidR="004E155E" w:rsidRPr="00743AC8" w:rsidRDefault="004E155E"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2393" w:type="dxa"/>
            <w:gridSpan w:val="2"/>
            <w:tcBorders>
              <w:bottom w:val="single" w:sz="4" w:space="0" w:color="auto"/>
            </w:tcBorders>
            <w:vAlign w:val="center"/>
          </w:tcPr>
          <w:p w14:paraId="73447221" w14:textId="61A86C05" w:rsidR="004E155E" w:rsidRPr="00743AC8" w:rsidRDefault="004E155E"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2.68</w:t>
            </w:r>
            <w:r w:rsidR="00D144C3" w:rsidRPr="00E2493E">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1.09%</w:t>
            </w:r>
          </w:p>
        </w:tc>
        <w:tc>
          <w:tcPr>
            <w:tcW w:w="1196" w:type="dxa"/>
            <w:tcBorders>
              <w:left w:val="single" w:sz="4" w:space="0" w:color="auto"/>
            </w:tcBorders>
            <w:shd w:val="clear" w:color="auto" w:fill="ACCAE9"/>
            <w:vAlign w:val="center"/>
          </w:tcPr>
          <w:p w14:paraId="0EC231E1" w14:textId="4CE9DD0F"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743AC8">
            <w:pPr>
              <w:pStyle w:val="tabletext"/>
            </w:pPr>
            <w:r w:rsidRPr="00A06C5A">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8.48</w:t>
            </w:r>
            <w:r w:rsidR="00D144C3" w:rsidRPr="00E2493E">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743AC8">
            <w:pPr>
              <w:pStyle w:val="tabletext"/>
              <w:cnfStyle w:val="000000010000" w:firstRow="0" w:lastRow="0" w:firstColumn="0" w:lastColumn="0" w:oddVBand="0" w:evenVBand="0" w:oddHBand="0" w:evenHBand="1" w:firstRowFirstColumn="0" w:firstRowLastColumn="0" w:lastRowFirstColumn="0" w:lastRowLastColumn="0"/>
            </w:pPr>
            <w:r w:rsidRPr="00E2493E">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743AC8">
            <w:pPr>
              <w:pStyle w:val="tabletext"/>
            </w:pPr>
            <w:r w:rsidRPr="00A06C5A">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31.87%</w:t>
            </w:r>
          </w:p>
        </w:tc>
      </w:tr>
      <w:tr w:rsidR="0036367B" w:rsidRPr="00743AC8"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743AC8" w:rsidRDefault="002076DE" w:rsidP="00743AC8">
            <w:pPr>
              <w:pStyle w:val="tabletextheader"/>
              <w:rPr>
                <w:b/>
              </w:rPr>
            </w:pPr>
            <w:r w:rsidRPr="00743AC8">
              <w:rPr>
                <w:b/>
              </w:rPr>
              <w:t>C</w:t>
            </w:r>
            <w:r w:rsidR="0036367B" w:rsidRPr="00743AC8">
              <w:rPr>
                <w:b/>
              </w:rPr>
              <w:t>V</w:t>
            </w:r>
            <w:r w:rsidRPr="00743AC8">
              <w:rPr>
                <w:b/>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743AC8" w:rsidRDefault="002076DE"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2393" w:type="dxa"/>
            <w:gridSpan w:val="2"/>
            <w:tcBorders>
              <w:bottom w:val="single" w:sz="4" w:space="0" w:color="auto"/>
            </w:tcBorders>
            <w:shd w:val="clear" w:color="auto" w:fill="20507E" w:themeFill="accent2"/>
            <w:vAlign w:val="center"/>
          </w:tcPr>
          <w:p w14:paraId="4DCB1F13" w14:textId="637FB81B" w:rsidR="002076DE" w:rsidRPr="00743AC8" w:rsidRDefault="002076DE"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4.33M</w:t>
            </w:r>
          </w:p>
        </w:tc>
        <w:tc>
          <w:tcPr>
            <w:tcW w:w="1197" w:type="dxa"/>
            <w:tcBorders>
              <w:left w:val="single" w:sz="4" w:space="0" w:color="auto"/>
            </w:tcBorders>
            <w:shd w:val="clear" w:color="auto" w:fill="auto"/>
            <w:vAlign w:val="center"/>
          </w:tcPr>
          <w:p w14:paraId="683C2A68" w14:textId="6FECF843" w:rsidR="00BB798C" w:rsidRPr="00E2493E" w:rsidRDefault="00724C8F" w:rsidP="00743AC8">
            <w:pPr>
              <w:pStyle w:val="tabletext"/>
              <w:cnfStyle w:val="000000100000" w:firstRow="0" w:lastRow="0" w:firstColumn="0" w:lastColumn="0" w:oddVBand="0" w:evenVBand="0" w:oddHBand="1" w:evenHBand="0" w:firstRowFirstColumn="0" w:firstRowLastColumn="0" w:lastRowFirstColumn="0" w:lastRowLastColumn="0"/>
            </w:pPr>
            <w:r w:rsidRPr="00E2493E">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743AC8">
            <w:pPr>
              <w:pStyle w:val="tabletext"/>
            </w:pPr>
            <w: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86.84M</w:t>
            </w:r>
          </w:p>
        </w:tc>
        <w:tc>
          <w:tcPr>
            <w:tcW w:w="1197" w:type="dxa"/>
            <w:tcBorders>
              <w:left w:val="single" w:sz="4" w:space="0" w:color="auto"/>
            </w:tcBorders>
            <w:shd w:val="clear" w:color="auto" w:fill="auto"/>
            <w:vAlign w:val="center"/>
          </w:tcPr>
          <w:p w14:paraId="4A71C63E" w14:textId="6F24659E" w:rsidR="0036367B" w:rsidRPr="00E2493E" w:rsidRDefault="00F13076" w:rsidP="00743AC8">
            <w:pPr>
              <w:pStyle w:val="tabletext"/>
              <w:cnfStyle w:val="000000010000" w:firstRow="0" w:lastRow="0" w:firstColumn="0" w:lastColumn="0" w:oddVBand="0" w:evenVBand="0" w:oddHBand="0" w:evenHBand="1" w:firstRowFirstColumn="0" w:firstRowLastColumn="0" w:lastRowFirstColumn="0" w:lastRowLastColumn="0"/>
            </w:pPr>
            <w:r w:rsidRPr="00E2493E">
              <w:t>35.31%</w:t>
            </w:r>
          </w:p>
        </w:tc>
      </w:tr>
    </w:tbl>
    <w:p w14:paraId="4735E5B1" w14:textId="77777777" w:rsidR="00C44A2C" w:rsidRDefault="00C44A2C" w:rsidP="00C44A2C">
      <w:pPr>
        <w:pStyle w:val="BodyText"/>
      </w:pPr>
    </w:p>
    <w:p w14:paraId="0CF1C66B" w14:textId="0A645C4E" w:rsidR="009109D0" w:rsidRDefault="00C44A2C" w:rsidP="00C44A2C">
      <w:pPr>
        <w:pStyle w:val="BodyText"/>
        <w:rPr>
          <w:b/>
          <w:bCs/>
        </w:rPr>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 xml:space="preserve">to linear risk factors we </w:t>
      </w:r>
      <w:r w:rsidRPr="004A3C39">
        <w:lastRenderedPageBreak/>
        <w:t>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79B98A78" w14:textId="5E020F42" w:rsidR="00C44A2C" w:rsidRPr="00C44A2C" w:rsidRDefault="00C44A2C" w:rsidP="00C44A2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743AC8"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7C44329D" w:rsidR="009109D0" w:rsidRPr="00E2493E" w:rsidRDefault="00D92AA3" w:rsidP="00743AC8">
            <w:pPr>
              <w:pStyle w:val="tabletext"/>
            </w:pPr>
            <w:r>
              <w:t>B</w:t>
            </w:r>
            <w:r w:rsidR="009109D0" w:rsidRPr="00E2493E">
              <w:t>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743AC8">
            <w:pPr>
              <w:pStyle w:val="tabletext"/>
              <w:cnfStyle w:val="000000100000" w:firstRow="0" w:lastRow="0" w:firstColumn="0" w:lastColumn="0" w:oddVBand="0" w:evenVBand="0" w:oddHBand="1" w:evenHBand="0" w:firstRowFirstColumn="0" w:firstRowLastColumn="0" w:lastRowFirstColumn="0" w:lastRowLastColumn="0"/>
            </w:pPr>
            <w:r w:rsidRPr="00553A2E">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743AC8">
            <w:pPr>
              <w:pStyle w:val="tabletext"/>
              <w:cnfStyle w:val="000000100000" w:firstRow="0" w:lastRow="0" w:firstColumn="0" w:lastColumn="0" w:oddVBand="0" w:evenVBand="0" w:oddHBand="1" w:evenHBand="0" w:firstRowFirstColumn="0" w:firstRowLastColumn="0" w:lastRowFirstColumn="0" w:lastRowLastColumn="0"/>
            </w:pPr>
            <w:r w:rsidRPr="00553A2E">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43AC8">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743AC8">
            <w:pPr>
              <w:pStyle w:val="tabletext"/>
              <w:cnfStyle w:val="000000010000" w:firstRow="0" w:lastRow="0" w:firstColumn="0" w:lastColumn="0" w:oddVBand="0" w:evenVBand="0" w:oddHBand="0" w:evenHBand="1" w:firstRowFirstColumn="0" w:firstRowLastColumn="0" w:lastRowFirstColumn="0" w:lastRowLastColumn="0"/>
            </w:pPr>
            <w:r w:rsidRPr="00553A2E">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743AC8">
            <w:pPr>
              <w:pStyle w:val="tabletext"/>
              <w:cnfStyle w:val="000000010000" w:firstRow="0" w:lastRow="0" w:firstColumn="0" w:lastColumn="0" w:oddVBand="0" w:evenVBand="0" w:oddHBand="0" w:evenHBand="1" w:firstRowFirstColumn="0" w:firstRowLastColumn="0" w:lastRowFirstColumn="0" w:lastRowLastColumn="0"/>
            </w:pPr>
            <w:r w:rsidRPr="00553A2E">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743AC8">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743AC8">
            <w:pPr>
              <w:pStyle w:val="tabletext"/>
              <w:cnfStyle w:val="000000100000" w:firstRow="0" w:lastRow="0" w:firstColumn="0" w:lastColumn="0" w:oddVBand="0" w:evenVBand="0" w:oddHBand="1" w:evenHBand="0" w:firstRowFirstColumn="0" w:firstRowLastColumn="0" w:lastRowFirstColumn="0" w:lastRowLastColumn="0"/>
            </w:pPr>
            <w:r w:rsidRPr="00553A2E">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743AC8">
            <w:pPr>
              <w:pStyle w:val="tabletext"/>
              <w:cnfStyle w:val="000000100000" w:firstRow="0" w:lastRow="0" w:firstColumn="0" w:lastColumn="0" w:oddVBand="0" w:evenVBand="0" w:oddHBand="1" w:evenHBand="0" w:firstRowFirstColumn="0" w:firstRowLastColumn="0" w:lastRowFirstColumn="0" w:lastRowLastColumn="0"/>
            </w:pPr>
            <w:r w:rsidRPr="00553A2E">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743AC8"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743AC8" w:rsidRDefault="009A05C2" w:rsidP="00743AC8">
            <w:pPr>
              <w:pStyle w:val="tabletextheader"/>
              <w:rPr>
                <w:b/>
              </w:rPr>
            </w:pPr>
            <w:r w:rsidRPr="00743AC8">
              <w:rPr>
                <w:b/>
              </w:rPr>
              <w:t>1-day 99% IV</w:t>
            </w:r>
            <w:r w:rsidR="00C00A57" w:rsidRPr="00743AC8">
              <w:rPr>
                <w:b/>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743AC8">
            <w:pPr>
              <w:pStyle w:val="tabletext"/>
            </w:pPr>
            <w:proofErr w:type="gramStart"/>
            <w:r w:rsidRPr="00E2493E">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743AC8">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743AC8">
            <w:pPr>
              <w:pStyle w:val="tabletext"/>
            </w:pPr>
            <w:proofErr w:type="gramStart"/>
            <w:r w:rsidRPr="00E2493E">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743AC8">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743AC8">
            <w:pPr>
              <w:pStyle w:val="tabletext"/>
            </w:pPr>
            <w:proofErr w:type="gramStart"/>
            <w:r w:rsidRPr="00E2493E">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743AC8">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49794E1E" w14:textId="1EBA03F6"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743AC8"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743AC8" w:rsidRDefault="00423377" w:rsidP="00743AC8">
            <w:pPr>
              <w:pStyle w:val="tabletextheader"/>
              <w:rPr>
                <w:b/>
              </w:rPr>
            </w:pPr>
            <w:r w:rsidRPr="00743AC8">
              <w:rPr>
                <w:b/>
              </w:rPr>
              <w:t>VaR</w:t>
            </w:r>
          </w:p>
        </w:tc>
        <w:tc>
          <w:tcPr>
            <w:tcW w:w="2393" w:type="dxa"/>
            <w:gridSpan w:val="2"/>
            <w:tcBorders>
              <w:bottom w:val="single" w:sz="4" w:space="0" w:color="auto"/>
            </w:tcBorders>
            <w:vAlign w:val="center"/>
          </w:tcPr>
          <w:p w14:paraId="19F0F782" w14:textId="77777777" w:rsidR="00423377" w:rsidRPr="00743AC8" w:rsidRDefault="00423377"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2393" w:type="dxa"/>
            <w:gridSpan w:val="2"/>
            <w:tcBorders>
              <w:bottom w:val="single" w:sz="4" w:space="0" w:color="auto"/>
            </w:tcBorders>
            <w:vAlign w:val="center"/>
          </w:tcPr>
          <w:p w14:paraId="4C53F252" w14:textId="77777777" w:rsidR="00423377" w:rsidRPr="00743AC8" w:rsidRDefault="00423377" w:rsidP="00743AC8">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1.19%</w:t>
            </w:r>
          </w:p>
        </w:tc>
        <w:tc>
          <w:tcPr>
            <w:tcW w:w="1196" w:type="dxa"/>
            <w:tcBorders>
              <w:left w:val="single" w:sz="4" w:space="0" w:color="auto"/>
            </w:tcBorders>
            <w:shd w:val="clear" w:color="auto" w:fill="ACCAE9"/>
            <w:vAlign w:val="center"/>
          </w:tcPr>
          <w:p w14:paraId="38F38F09" w14:textId="72EDC4B2"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743AC8">
            <w:pPr>
              <w:pStyle w:val="tabletext"/>
              <w:cnfStyle w:val="000000100000" w:firstRow="0" w:lastRow="0" w:firstColumn="0" w:lastColumn="0" w:oddVBand="0" w:evenVBand="0" w:oddHBand="1" w:evenHBand="0" w:firstRowFirstColumn="0" w:firstRowLastColumn="0" w:lastRowFirstColumn="0" w:lastRowLastColumn="0"/>
            </w:pPr>
            <w:r w:rsidRPr="00672C3A">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743AC8">
            <w:pPr>
              <w:pStyle w:val="tabletext"/>
            </w:pPr>
            <w:r w:rsidRPr="00A06C5A">
              <w:lastRenderedPageBreak/>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743AC8">
            <w:pPr>
              <w:pStyle w:val="tabletext"/>
              <w:cnfStyle w:val="000000010000" w:firstRow="0" w:lastRow="0" w:firstColumn="0" w:lastColumn="0" w:oddVBand="0" w:evenVBand="0" w:oddHBand="0" w:evenHBand="1" w:firstRowFirstColumn="0" w:firstRowLastColumn="0" w:lastRowFirstColumn="0" w:lastRowLastColumn="0"/>
            </w:pPr>
            <w:r w:rsidRPr="00672C3A">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743AC8">
            <w:pPr>
              <w:pStyle w:val="tabletext"/>
            </w:pPr>
            <w:r w:rsidRPr="00A06C5A">
              <w:t>1-year</w:t>
            </w:r>
            <w:r w:rsidR="00EE2EC3">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743AC8">
            <w:pPr>
              <w:pStyle w:val="tabletext"/>
              <w:cnfStyle w:val="000000100000" w:firstRow="0" w:lastRow="0" w:firstColumn="0" w:lastColumn="0" w:oddVBand="0" w:evenVBand="0" w:oddHBand="1" w:evenHBand="0" w:firstRowFirstColumn="0" w:firstRowLastColumn="0" w:lastRowFirstColumn="0" w:lastRowLastColumn="0"/>
            </w:pPr>
            <w:r w:rsidRPr="00672C3A">
              <w:t>29.22%</w:t>
            </w:r>
          </w:p>
        </w:tc>
      </w:tr>
      <w:tr w:rsidR="00423377" w:rsidRPr="00743AC8"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743AC8" w:rsidRDefault="00423377" w:rsidP="00743AC8">
            <w:pPr>
              <w:pStyle w:val="tabletextheader"/>
              <w:rPr>
                <w:b/>
              </w:rPr>
            </w:pPr>
            <w:r w:rsidRPr="00743AC8">
              <w:rPr>
                <w:b/>
              </w:rPr>
              <w:t>CVaR</w:t>
            </w:r>
          </w:p>
        </w:tc>
        <w:tc>
          <w:tcPr>
            <w:tcW w:w="2393" w:type="dxa"/>
            <w:gridSpan w:val="2"/>
            <w:tcBorders>
              <w:bottom w:val="single" w:sz="4" w:space="0" w:color="auto"/>
            </w:tcBorders>
            <w:shd w:val="clear" w:color="auto" w:fill="20507E" w:themeFill="accent2"/>
            <w:vAlign w:val="center"/>
          </w:tcPr>
          <w:p w14:paraId="594BF3C7" w14:textId="77777777" w:rsidR="00423377" w:rsidRPr="00743AC8" w:rsidRDefault="00423377"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2393" w:type="dxa"/>
            <w:gridSpan w:val="2"/>
            <w:tcBorders>
              <w:bottom w:val="single" w:sz="4" w:space="0" w:color="auto"/>
            </w:tcBorders>
            <w:shd w:val="clear" w:color="auto" w:fill="20507E" w:themeFill="accent2"/>
            <w:vAlign w:val="center"/>
          </w:tcPr>
          <w:p w14:paraId="51D3F022" w14:textId="77777777" w:rsidR="00423377" w:rsidRPr="00743AC8" w:rsidRDefault="00423377" w:rsidP="00743AC8">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743AC8">
            <w:pPr>
              <w:pStyle w:val="tabletext"/>
            </w:pPr>
            <w:r w:rsidRPr="00A06C5A">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5.40</w:t>
            </w:r>
            <w:r w:rsidR="00674B3A">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11.33</w:t>
            </w:r>
            <w:r w:rsidR="00674B3A">
              <w:t>M</w:t>
            </w:r>
          </w:p>
        </w:tc>
        <w:tc>
          <w:tcPr>
            <w:tcW w:w="1197" w:type="dxa"/>
            <w:tcBorders>
              <w:left w:val="single" w:sz="4" w:space="0" w:color="auto"/>
            </w:tcBorders>
            <w:shd w:val="clear" w:color="auto" w:fill="auto"/>
            <w:vAlign w:val="center"/>
          </w:tcPr>
          <w:p w14:paraId="0C804043" w14:textId="38CD68DB" w:rsidR="00423377" w:rsidRPr="00674B3A" w:rsidRDefault="0034542E" w:rsidP="00743AC8">
            <w:pPr>
              <w:pStyle w:val="tabletext"/>
              <w:cnfStyle w:val="000000100000" w:firstRow="0" w:lastRow="0" w:firstColumn="0" w:lastColumn="0" w:oddVBand="0" w:evenVBand="0" w:oddHBand="1" w:evenHBand="0" w:firstRowFirstColumn="0" w:firstRowLastColumn="0" w:lastRowFirstColumn="0" w:lastRowLastColumn="0"/>
            </w:pPr>
            <w:r w:rsidRPr="0034542E">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743AC8"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743AC8" w:rsidRDefault="005C7D20" w:rsidP="00743AC8">
            <w:pPr>
              <w:pStyle w:val="tabletextheader"/>
              <w:rPr>
                <w:b/>
              </w:rPr>
            </w:pPr>
            <w:r w:rsidRPr="00743AC8">
              <w:rPr>
                <w:b/>
              </w:rPr>
              <w:t>1-day 99% IVaR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743AC8">
            <w:pPr>
              <w:pStyle w:val="tabletext"/>
            </w:pPr>
            <w:proofErr w:type="gramStart"/>
            <w:r w:rsidRPr="000F171B">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743AC8">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743AC8">
            <w:pPr>
              <w:pStyle w:val="tabletext"/>
            </w:pPr>
            <w:proofErr w:type="gramStart"/>
            <w:r w:rsidRPr="000F171B">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743AC8">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743AC8">
            <w:pPr>
              <w:pStyle w:val="tabletext"/>
            </w:pPr>
            <w:proofErr w:type="gramStart"/>
            <w:r w:rsidRPr="000F171B">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743AC8">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8C6D1C" w:rsidRPr="00743AC8" w14:paraId="319A13BB" w14:textId="77777777" w:rsidTr="005468DA">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42397714" w14:textId="77777777" w:rsidR="008C6D1C" w:rsidRPr="00743AC8" w:rsidRDefault="008C6D1C" w:rsidP="005468DA">
            <w:pPr>
              <w:pStyle w:val="tabletextheader"/>
              <w:rPr>
                <w:b/>
              </w:rPr>
            </w:pPr>
            <w:r w:rsidRPr="00743AC8">
              <w:rPr>
                <w:b/>
              </w:rPr>
              <w:t xml:space="preserve">Credit </w:t>
            </w:r>
            <w:proofErr w:type="spellStart"/>
            <w:r w:rsidRPr="00743AC8">
              <w:rPr>
                <w:b/>
              </w:rPr>
              <w:t>VaR</w:t>
            </w:r>
            <w:proofErr w:type="spellEnd"/>
            <w:r w:rsidRPr="00743AC8">
              <w:rPr>
                <w:b/>
              </w:rPr>
              <w:t xml:space="preserve"> for the bond portfolio</w:t>
            </w:r>
          </w:p>
        </w:tc>
      </w:tr>
      <w:tr w:rsidR="008C6D1C" w14:paraId="14F160E6" w14:textId="77777777" w:rsidTr="005468D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7EF3C220" w14:textId="77777777" w:rsidR="008C6D1C" w:rsidRPr="00736215" w:rsidRDefault="008C6D1C" w:rsidP="005468DA">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686B339E" w14:textId="77777777" w:rsidR="008C6D1C" w:rsidRPr="00743AC8" w:rsidRDefault="008C6D1C" w:rsidP="005468DA">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3115" w:type="dxa"/>
            <w:tcBorders>
              <w:top w:val="single" w:sz="4" w:space="0" w:color="auto"/>
              <w:left w:val="single" w:sz="4" w:space="0" w:color="auto"/>
              <w:bottom w:val="single" w:sz="4" w:space="0" w:color="auto"/>
              <w:right w:val="single" w:sz="4" w:space="0" w:color="auto"/>
            </w:tcBorders>
            <w:vAlign w:val="center"/>
          </w:tcPr>
          <w:p w14:paraId="73A8271C" w14:textId="77777777" w:rsidR="008C6D1C" w:rsidRPr="008143F4"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8C6D1C" w14:paraId="701354D2" w14:textId="77777777" w:rsidTr="005468DA">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B1F179F" w14:textId="77777777" w:rsidR="008C6D1C" w:rsidRPr="00736215" w:rsidRDefault="008C6D1C" w:rsidP="005468DA">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42D9EDDA" w14:textId="77777777" w:rsidR="008C6D1C" w:rsidRPr="00743AC8" w:rsidRDefault="008C6D1C" w:rsidP="005468DA">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3115" w:type="dxa"/>
            <w:tcBorders>
              <w:top w:val="single" w:sz="4" w:space="0" w:color="auto"/>
              <w:left w:val="single" w:sz="4" w:space="0" w:color="auto"/>
              <w:bottom w:val="single" w:sz="4" w:space="0" w:color="auto"/>
              <w:right w:val="single" w:sz="4" w:space="0" w:color="auto"/>
            </w:tcBorders>
            <w:vAlign w:val="center"/>
          </w:tcPr>
          <w:p w14:paraId="3D869BC9" w14:textId="77777777" w:rsidR="008C6D1C" w:rsidRPr="008143F4" w:rsidRDefault="008C6D1C" w:rsidP="005468DA">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8C6D1C" w14:paraId="5473722F" w14:textId="77777777" w:rsidTr="005468D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30A9DE39" w14:textId="77777777" w:rsidR="008C6D1C" w:rsidRPr="00736215" w:rsidRDefault="008C6D1C" w:rsidP="005468DA">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7FBEF3C4" w14:textId="77777777" w:rsidR="008C6D1C" w:rsidRPr="00743AC8" w:rsidRDefault="008C6D1C" w:rsidP="005468DA">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3115" w:type="dxa"/>
            <w:tcBorders>
              <w:top w:val="single" w:sz="4" w:space="0" w:color="auto"/>
              <w:left w:val="single" w:sz="4" w:space="0" w:color="auto"/>
              <w:bottom w:val="single" w:sz="4" w:space="0" w:color="auto"/>
              <w:right w:val="single" w:sz="4" w:space="0" w:color="auto"/>
            </w:tcBorders>
            <w:vAlign w:val="center"/>
          </w:tcPr>
          <w:p w14:paraId="5B9A95D8" w14:textId="77777777" w:rsidR="008C6D1C" w:rsidRPr="008143F4"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8C6D1C" w:rsidRPr="00743AC8" w14:paraId="3423AF3B" w14:textId="77777777" w:rsidTr="005468DA">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306BD6FF" w14:textId="77777777" w:rsidR="008C6D1C" w:rsidRPr="00743AC8" w:rsidRDefault="008C6D1C" w:rsidP="005468DA">
            <w:pPr>
              <w:pStyle w:val="tabletextheader"/>
              <w:rPr>
                <w:b/>
              </w:rPr>
            </w:pPr>
            <w:r w:rsidRPr="00743AC8">
              <w:rPr>
                <w:b/>
              </w:rPr>
              <w:t xml:space="preserve">Credit </w:t>
            </w:r>
            <w:proofErr w:type="spellStart"/>
            <w:r w:rsidRPr="00743AC8">
              <w:rPr>
                <w:b/>
              </w:rPr>
              <w:t>VaR</w:t>
            </w:r>
            <w:proofErr w:type="spellEnd"/>
            <w:r w:rsidRPr="00743AC8">
              <w:rPr>
                <w:b/>
              </w:rPr>
              <w:t xml:space="preserve"> for the CDS portfolio</w:t>
            </w:r>
          </w:p>
        </w:tc>
      </w:tr>
      <w:tr w:rsidR="008C6D1C" w14:paraId="49E4256E" w14:textId="77777777" w:rsidTr="005468D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580645EB" w14:textId="77777777" w:rsidR="008C6D1C" w:rsidRPr="00736215" w:rsidRDefault="008C6D1C" w:rsidP="005468DA">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03B54043" w14:textId="77777777" w:rsidR="008C6D1C" w:rsidRPr="00736215"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736215">
              <w:t>27.56M</w:t>
            </w:r>
          </w:p>
        </w:tc>
        <w:tc>
          <w:tcPr>
            <w:tcW w:w="3115" w:type="dxa"/>
            <w:tcBorders>
              <w:top w:val="single" w:sz="4" w:space="0" w:color="auto"/>
              <w:left w:val="single" w:sz="4" w:space="0" w:color="auto"/>
              <w:bottom w:val="single" w:sz="4" w:space="0" w:color="auto"/>
              <w:right w:val="single" w:sz="4" w:space="0" w:color="auto"/>
            </w:tcBorders>
            <w:vAlign w:val="center"/>
          </w:tcPr>
          <w:p w14:paraId="5B6EEF6E" w14:textId="77777777" w:rsidR="008C6D1C" w:rsidRPr="008143F4"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8C6D1C" w14:paraId="4DDE3D75" w14:textId="77777777" w:rsidTr="005468DA">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507CB7F7" w14:textId="77777777" w:rsidR="008C6D1C" w:rsidRPr="00736215" w:rsidRDefault="008C6D1C" w:rsidP="005468DA">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5BAA51C0" w14:textId="77777777" w:rsidR="008C6D1C" w:rsidRPr="00736215" w:rsidRDefault="008C6D1C" w:rsidP="005468DA">
            <w:pPr>
              <w:pStyle w:val="tabletext"/>
              <w:cnfStyle w:val="000000010000" w:firstRow="0" w:lastRow="0" w:firstColumn="0" w:lastColumn="0" w:oddVBand="0" w:evenVBand="0" w:oddHBand="0" w:evenHBand="1" w:firstRowFirstColumn="0" w:firstRowLastColumn="0" w:lastRowFirstColumn="0" w:lastRowLastColumn="0"/>
            </w:pPr>
            <w:r w:rsidRPr="00736215">
              <w:t>48.77M</w:t>
            </w:r>
          </w:p>
        </w:tc>
        <w:tc>
          <w:tcPr>
            <w:tcW w:w="3115" w:type="dxa"/>
            <w:tcBorders>
              <w:top w:val="single" w:sz="4" w:space="0" w:color="auto"/>
              <w:left w:val="single" w:sz="4" w:space="0" w:color="auto"/>
              <w:bottom w:val="single" w:sz="4" w:space="0" w:color="auto"/>
              <w:right w:val="single" w:sz="4" w:space="0" w:color="auto"/>
            </w:tcBorders>
            <w:vAlign w:val="center"/>
          </w:tcPr>
          <w:p w14:paraId="300F167B" w14:textId="77777777" w:rsidR="008C6D1C" w:rsidRPr="008143F4" w:rsidRDefault="008C6D1C" w:rsidP="005468DA">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8C6D1C" w14:paraId="22E60073" w14:textId="77777777" w:rsidTr="005468DA">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61E88400" w14:textId="77777777" w:rsidR="008C6D1C" w:rsidRPr="00736215" w:rsidRDefault="008C6D1C" w:rsidP="005468DA">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301CCD51" w14:textId="77777777" w:rsidR="008C6D1C" w:rsidRPr="00736215"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736215">
              <w:t>50.68M</w:t>
            </w:r>
          </w:p>
        </w:tc>
        <w:tc>
          <w:tcPr>
            <w:tcW w:w="3115" w:type="dxa"/>
            <w:tcBorders>
              <w:top w:val="single" w:sz="4" w:space="0" w:color="auto"/>
              <w:left w:val="single" w:sz="4" w:space="0" w:color="auto"/>
              <w:bottom w:val="single" w:sz="4" w:space="0" w:color="auto"/>
              <w:right w:val="single" w:sz="4" w:space="0" w:color="auto"/>
            </w:tcBorders>
            <w:vAlign w:val="center"/>
          </w:tcPr>
          <w:p w14:paraId="5BFD63AE" w14:textId="77777777" w:rsidR="008C6D1C" w:rsidRPr="008143F4"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lastRenderedPageBreak/>
        <w:t>Credit and Debt Value Adjustments (CVA and DVA)</w:t>
      </w:r>
    </w:p>
    <w:p w14:paraId="4FD0D1C0" w14:textId="6A3A38BE" w:rsidR="00C938E8" w:rsidRDefault="00C938E8" w:rsidP="00F66B3E">
      <w:pPr>
        <w:pStyle w:val="BodyText"/>
      </w:pPr>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8C6D1C" w:rsidRPr="00F8072D" w14:paraId="024138EB" w14:textId="77777777" w:rsidTr="005468DA">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11A52A45" w14:textId="77777777" w:rsidR="008C6D1C" w:rsidRPr="00F8072D" w:rsidRDefault="008C6D1C" w:rsidP="005468DA">
            <w:pPr>
              <w:pStyle w:val="tabletextheader"/>
              <w:rPr>
                <w:b/>
              </w:rPr>
            </w:pPr>
            <w:r w:rsidRPr="00F8072D">
              <w:rPr>
                <w:b/>
              </w:rPr>
              <w:t>CVA</w:t>
            </w:r>
          </w:p>
        </w:tc>
        <w:tc>
          <w:tcPr>
            <w:tcW w:w="1783" w:type="dxa"/>
            <w:tcBorders>
              <w:bottom w:val="single" w:sz="4" w:space="0" w:color="auto"/>
            </w:tcBorders>
            <w:vAlign w:val="center"/>
          </w:tcPr>
          <w:p w14:paraId="08536473" w14:textId="77777777" w:rsidR="008C6D1C" w:rsidRPr="00F8072D" w:rsidRDefault="008C6D1C" w:rsidP="005468DA">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8C6D1C" w14:paraId="116E2EE5" w14:textId="77777777" w:rsidTr="005468DA">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1B313822" w14:textId="77777777" w:rsidR="008C6D1C" w:rsidRPr="00CF3835" w:rsidRDefault="008C6D1C" w:rsidP="005468DA">
            <w:pPr>
              <w:pStyle w:val="tabletext"/>
            </w:pPr>
            <w:r w:rsidRPr="00736215">
              <w:rPr>
                <w:b w:val="0"/>
              </w:rPr>
              <w:t>114840</w:t>
            </w:r>
          </w:p>
        </w:tc>
        <w:tc>
          <w:tcPr>
            <w:tcW w:w="1783" w:type="dxa"/>
            <w:tcBorders>
              <w:left w:val="single" w:sz="4" w:space="0" w:color="auto"/>
            </w:tcBorders>
          </w:tcPr>
          <w:p w14:paraId="4A434300" w14:textId="77777777" w:rsidR="008C6D1C" w:rsidRPr="00CF3835" w:rsidRDefault="008C6D1C" w:rsidP="005468DA">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1854AE2D" w14:textId="20A5CA16" w:rsidR="00FC6EC2" w:rsidRDefault="00FC6EC2" w:rsidP="00792525">
      <w:pPr>
        <w:pStyle w:val="Heading1"/>
      </w:pPr>
      <w:r>
        <w:t>Stress</w:t>
      </w:r>
      <w:r w:rsidR="00AC01BF">
        <w:t>ed</w:t>
      </w:r>
      <w:r>
        <w:t xml:space="preserve"> </w:t>
      </w:r>
      <w:proofErr w:type="spellStart"/>
      <w:r>
        <w:t>VaR</w:t>
      </w:r>
      <w:proofErr w:type="spellEnd"/>
      <w:r w:rsidR="00D87A1F">
        <w:t xml:space="preserve"> (</w:t>
      </w:r>
      <w:proofErr w:type="spellStart"/>
      <w:r w:rsidR="00D87A1F">
        <w:t>SVaR</w:t>
      </w:r>
      <w:proofErr w:type="spellEnd"/>
      <w:r w:rsidR="00D87A1F">
        <w:t>)</w:t>
      </w:r>
    </w:p>
    <w:p w14:paraId="50286A79" w14:textId="34D70104" w:rsidR="00D87A1F" w:rsidRDefault="00D87A1F" w:rsidP="00D87A1F">
      <w:pPr>
        <w:spacing w:line="240" w:lineRule="auto"/>
        <w:rPr>
          <w:rFonts w:ascii="Cambria" w:hAnsi="Cambria"/>
          <w:color w:val="000000" w:themeColor="text1"/>
        </w:rPr>
      </w:pPr>
      <w:r w:rsidRPr="00D87A1F">
        <w:rPr>
          <w:rFonts w:ascii="Cambria" w:hAnsi="Cambria"/>
          <w:color w:val="000000" w:themeColor="text1"/>
        </w:rPr>
        <w:t xml:space="preserve">The methodology for the </w:t>
      </w:r>
      <w:proofErr w:type="spellStart"/>
      <w:r w:rsidRPr="00D87A1F">
        <w:rPr>
          <w:rFonts w:ascii="Cambria" w:hAnsi="Cambria"/>
          <w:color w:val="000000" w:themeColor="text1"/>
        </w:rPr>
        <w:t>SVaR</w:t>
      </w:r>
      <w:proofErr w:type="spellEnd"/>
      <w:r w:rsidRPr="00D87A1F">
        <w:rPr>
          <w:rFonts w:ascii="Cambria" w:hAnsi="Cambria"/>
          <w:color w:val="000000" w:themeColor="text1"/>
        </w:rPr>
        <w:t xml:space="preserve"> is the same as for the Regulatory </w:t>
      </w:r>
      <w:proofErr w:type="spellStart"/>
      <w:r w:rsidRPr="00D87A1F">
        <w:rPr>
          <w:rFonts w:ascii="Cambria" w:hAnsi="Cambria"/>
          <w:color w:val="000000" w:themeColor="text1"/>
        </w:rPr>
        <w:t>VaR</w:t>
      </w:r>
      <w:proofErr w:type="spellEnd"/>
      <w:r w:rsidRPr="00D87A1F">
        <w:rPr>
          <w:rFonts w:ascii="Cambria" w:hAnsi="Cambria"/>
          <w:color w:val="000000" w:themeColor="text1"/>
        </w:rPr>
        <w:t xml:space="preserve"> methodology (99% confidence level and 10 day holding period) with the exception of the look back period. For the </w:t>
      </w:r>
      <w:proofErr w:type="spellStart"/>
      <w:r w:rsidRPr="00D87A1F">
        <w:rPr>
          <w:rFonts w:ascii="Cambria" w:hAnsi="Cambria"/>
          <w:color w:val="000000" w:themeColor="text1"/>
        </w:rPr>
        <w:t>SVaR</w:t>
      </w:r>
      <w:proofErr w:type="spellEnd"/>
      <w:r w:rsidRPr="00D87A1F">
        <w:rPr>
          <w:rFonts w:ascii="Cambria" w:hAnsi="Cambria"/>
          <w:color w:val="000000" w:themeColor="text1"/>
        </w:rPr>
        <w:t xml:space="preserve"> we calibrate the model to hist</w:t>
      </w:r>
      <w:r>
        <w:rPr>
          <w:rFonts w:ascii="Cambria" w:hAnsi="Cambria"/>
          <w:color w:val="000000" w:themeColor="text1"/>
        </w:rPr>
        <w:t>orical data from a continuous 24</w:t>
      </w:r>
      <w:r w:rsidRPr="00D87A1F">
        <w:rPr>
          <w:rFonts w:ascii="Cambria" w:hAnsi="Cambria"/>
          <w:color w:val="000000" w:themeColor="text1"/>
        </w:rPr>
        <w:t>-month period that reflects significant financial stress</w:t>
      </w:r>
      <w:r>
        <w:rPr>
          <w:rFonts w:ascii="Cambria" w:hAnsi="Cambria"/>
          <w:color w:val="000000" w:themeColor="text1"/>
        </w:rPr>
        <w:t>. The period considered was 2007</w:t>
      </w:r>
      <w:r w:rsidRPr="00D87A1F">
        <w:rPr>
          <w:rFonts w:ascii="Cambria" w:hAnsi="Cambria"/>
          <w:color w:val="000000" w:themeColor="text1"/>
        </w:rPr>
        <w:t xml:space="preserve">-09 financial crisis aftermath. </w:t>
      </w:r>
      <w:r>
        <w:rPr>
          <w:rFonts w:ascii="Cambria" w:hAnsi="Cambria"/>
          <w:color w:val="000000" w:themeColor="text1"/>
        </w:rPr>
        <w:t xml:space="preserve">We can see that </w:t>
      </w:r>
      <w:proofErr w:type="spellStart"/>
      <w:r>
        <w:rPr>
          <w:rFonts w:ascii="Cambria" w:hAnsi="Cambria"/>
          <w:color w:val="000000" w:themeColor="text1"/>
        </w:rPr>
        <w:t>SVaR</w:t>
      </w:r>
      <w:proofErr w:type="spellEnd"/>
      <w:r>
        <w:rPr>
          <w:rFonts w:ascii="Cambria" w:hAnsi="Cambria"/>
          <w:color w:val="000000" w:themeColor="text1"/>
        </w:rPr>
        <w:t xml:space="preserve"> is $17.</w:t>
      </w:r>
      <w:r w:rsidRPr="00D87A1F">
        <w:rPr>
          <w:rFonts w:ascii="Cambria" w:hAnsi="Cambria"/>
          <w:color w:val="000000" w:themeColor="text1"/>
        </w:rPr>
        <w:t>3</w:t>
      </w:r>
      <w:r>
        <w:rPr>
          <w:rFonts w:ascii="Cambria" w:hAnsi="Cambria"/>
          <w:color w:val="000000" w:themeColor="text1"/>
        </w:rPr>
        <w:t>9</w:t>
      </w:r>
      <w:r w:rsidRPr="00D87A1F">
        <w:rPr>
          <w:rFonts w:ascii="Cambria" w:hAnsi="Cambria"/>
          <w:color w:val="000000" w:themeColor="text1"/>
        </w:rPr>
        <w:t xml:space="preserve"> MM, which exceeds both </w:t>
      </w:r>
      <w:proofErr w:type="spellStart"/>
      <w:r w:rsidRPr="00D87A1F">
        <w:rPr>
          <w:rFonts w:ascii="Cambria" w:hAnsi="Cambria"/>
          <w:color w:val="000000" w:themeColor="text1"/>
        </w:rPr>
        <w:t>VaR</w:t>
      </w:r>
      <w:proofErr w:type="spellEnd"/>
      <w:r w:rsidRPr="00D87A1F">
        <w:rPr>
          <w:rFonts w:ascii="Cambria" w:hAnsi="Cambria"/>
          <w:color w:val="000000" w:themeColor="text1"/>
        </w:rPr>
        <w:t xml:space="preserve"> calculated before under </w:t>
      </w:r>
      <w:r>
        <w:rPr>
          <w:rFonts w:ascii="Cambria" w:hAnsi="Cambria"/>
          <w:color w:val="000000" w:themeColor="text1"/>
        </w:rPr>
        <w:t>Monte Carlo</w:t>
      </w:r>
      <w:r w:rsidRPr="00D87A1F">
        <w:rPr>
          <w:rFonts w:ascii="Cambria" w:hAnsi="Cambria"/>
          <w:color w:val="000000" w:themeColor="text1"/>
        </w:rPr>
        <w:t xml:space="preserve"> </w:t>
      </w:r>
      <w:r>
        <w:rPr>
          <w:rFonts w:ascii="Cambria" w:hAnsi="Cambria"/>
          <w:color w:val="000000" w:themeColor="text1"/>
        </w:rPr>
        <w:t>and</w:t>
      </w:r>
      <w:r w:rsidRPr="00D87A1F">
        <w:rPr>
          <w:rFonts w:ascii="Cambria" w:hAnsi="Cambria"/>
          <w:color w:val="000000" w:themeColor="text1"/>
        </w:rPr>
        <w:t xml:space="preserve"> historical methods. Therefore, it is important to take into account </w:t>
      </w:r>
      <w:proofErr w:type="spellStart"/>
      <w:r w:rsidRPr="00D87A1F">
        <w:rPr>
          <w:rFonts w:ascii="Cambria" w:hAnsi="Cambria"/>
          <w:color w:val="000000" w:themeColor="text1"/>
        </w:rPr>
        <w:t>SVaR</w:t>
      </w:r>
      <w:proofErr w:type="spellEnd"/>
      <w:r w:rsidRPr="00D87A1F">
        <w:rPr>
          <w:rFonts w:ascii="Cambria" w:hAnsi="Cambria"/>
          <w:color w:val="000000" w:themeColor="text1"/>
        </w:rPr>
        <w:t xml:space="preserve"> </w:t>
      </w:r>
      <w:proofErr w:type="gramStart"/>
      <w:r w:rsidRPr="00D87A1F">
        <w:rPr>
          <w:rFonts w:ascii="Cambria" w:hAnsi="Cambria"/>
          <w:color w:val="000000" w:themeColor="text1"/>
        </w:rPr>
        <w:t>which</w:t>
      </w:r>
      <w:proofErr w:type="gramEnd"/>
      <w:r w:rsidRPr="00D87A1F">
        <w:rPr>
          <w:rFonts w:ascii="Cambria" w:hAnsi="Cambria"/>
          <w:color w:val="000000" w:themeColor="text1"/>
        </w:rPr>
        <w:t xml:space="preserve"> gives a better insight of the portfolio potential decline in stressed periods</w:t>
      </w:r>
      <w:r>
        <w:rPr>
          <w:rFonts w:ascii="Cambria" w:hAnsi="Cambria"/>
          <w:color w:val="000000" w:themeColor="text1"/>
        </w:rPr>
        <w:t>.</w:t>
      </w:r>
    </w:p>
    <w:p w14:paraId="06AFC85A" w14:textId="77777777" w:rsidR="00D87A1F" w:rsidRPr="00D87A1F" w:rsidRDefault="00D87A1F" w:rsidP="00D87A1F">
      <w:pPr>
        <w:spacing w:line="240" w:lineRule="auto"/>
        <w:rPr>
          <w:rFonts w:ascii="Cambria" w:hAnsi="Cambria"/>
          <w:color w:val="000000" w:themeColor="text1"/>
        </w:rPr>
      </w:pPr>
    </w:p>
    <w:p w14:paraId="4D982D24" w14:textId="6F184200" w:rsidR="00FC6EC2" w:rsidRPr="00AC01BF" w:rsidRDefault="00D87A1F" w:rsidP="00D87A1F">
      <w:pPr>
        <w:pStyle w:val="BodyText"/>
        <w:spacing w:line="240" w:lineRule="auto"/>
      </w:pPr>
      <w:r>
        <w:t>When computing</w:t>
      </w:r>
      <w:r w:rsidR="00FC6EC2" w:rsidRPr="00AC01BF">
        <w:t xml:space="preserve"> t</w:t>
      </w:r>
      <w:r>
        <w:t>he stressed Value-at-R</w:t>
      </w:r>
      <w:r w:rsidR="00FC6EC2" w:rsidRPr="00AC01BF">
        <w:t>isk</w:t>
      </w:r>
      <w:r>
        <w:t xml:space="preserve"> it</w:t>
      </w:r>
      <w:r w:rsidR="00FC6EC2" w:rsidRPr="00AC01BF">
        <w:t xml:space="preserve"> was found that the most stressed 504-day window occurred from 03/07/07 through 03/07/09. The reported stressed value at risk during this period was</w:t>
      </w:r>
    </w:p>
    <w:tbl>
      <w:tblPr>
        <w:tblStyle w:val="MediumShading1-Accent2"/>
        <w:tblW w:w="0" w:type="auto"/>
        <w:jc w:val="center"/>
        <w:tblLook w:val="04A0" w:firstRow="1" w:lastRow="0" w:firstColumn="1" w:lastColumn="0" w:noHBand="0" w:noVBand="1"/>
      </w:tblPr>
      <w:tblGrid>
        <w:gridCol w:w="3115"/>
        <w:gridCol w:w="3115"/>
      </w:tblGrid>
      <w:tr w:rsidR="001A370A" w:rsidRPr="00743AC8" w14:paraId="339B5E75" w14:textId="77777777" w:rsidTr="005B07C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FAB2447" w14:textId="589C3EE2" w:rsidR="001A370A" w:rsidRPr="00743AC8" w:rsidRDefault="001A370A" w:rsidP="005B07CD">
            <w:pPr>
              <w:pStyle w:val="tabletextheader"/>
              <w:rPr>
                <w:b/>
              </w:rPr>
            </w:pPr>
            <w:r>
              <w:rPr>
                <w:b/>
              </w:rPr>
              <w:t xml:space="preserve">Stressed </w:t>
            </w:r>
            <w:proofErr w:type="spellStart"/>
            <w:r>
              <w:rPr>
                <w:b/>
              </w:rPr>
              <w:t>VaR</w:t>
            </w:r>
            <w:proofErr w:type="spellEnd"/>
          </w:p>
        </w:tc>
      </w:tr>
      <w:tr w:rsidR="001A370A" w14:paraId="35E9A947" w14:textId="77777777" w:rsidTr="005B07CD">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A837DDA" w14:textId="37F068ED" w:rsidR="001A370A" w:rsidRPr="00743AC8" w:rsidRDefault="001A370A" w:rsidP="005B07CD">
            <w:pPr>
              <w:pStyle w:val="tabletext"/>
              <w:rPr>
                <w:b w:val="0"/>
              </w:rPr>
            </w:pPr>
            <w:r>
              <w:rPr>
                <w:b w:val="0"/>
              </w:rPr>
              <w:t>Da</w:t>
            </w:r>
            <w:r w:rsidR="00917B01">
              <w:rPr>
                <w:b w:val="0"/>
              </w:rPr>
              <w:t>ily</w:t>
            </w:r>
          </w:p>
        </w:tc>
        <w:tc>
          <w:tcPr>
            <w:tcW w:w="3115" w:type="dxa"/>
            <w:tcBorders>
              <w:top w:val="single" w:sz="4" w:space="0" w:color="auto"/>
              <w:left w:val="single" w:sz="4" w:space="0" w:color="auto"/>
              <w:bottom w:val="single" w:sz="4" w:space="0" w:color="auto"/>
              <w:right w:val="single" w:sz="4" w:space="0" w:color="auto"/>
            </w:tcBorders>
            <w:vAlign w:val="center"/>
          </w:tcPr>
          <w:p w14:paraId="517FFBBF" w14:textId="2B61EB1E" w:rsidR="001A370A" w:rsidRPr="008143F4" w:rsidRDefault="00917B01" w:rsidP="005B07CD">
            <w:pPr>
              <w:pStyle w:val="tabletext"/>
              <w:cnfStyle w:val="000000100000" w:firstRow="0" w:lastRow="0" w:firstColumn="0" w:lastColumn="0" w:oddVBand="0" w:evenVBand="0" w:oddHBand="1" w:evenHBand="0" w:firstRowFirstColumn="0" w:firstRowLastColumn="0" w:lastRowFirstColumn="0" w:lastRowLastColumn="0"/>
            </w:pPr>
            <w:r>
              <w:t>5.5M</w:t>
            </w:r>
          </w:p>
        </w:tc>
      </w:tr>
      <w:tr w:rsidR="00917B01" w14:paraId="439D4E4B" w14:textId="77777777" w:rsidTr="005B07CD">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82CBFB3" w14:textId="04D15B55" w:rsidR="00917B01" w:rsidRDefault="00917B01" w:rsidP="005B07CD">
            <w:pPr>
              <w:pStyle w:val="tabletext"/>
              <w:rPr>
                <w:b w:val="0"/>
              </w:rPr>
            </w:pPr>
            <w:r>
              <w:rPr>
                <w:b w:val="0"/>
              </w:rPr>
              <w:t>Ten Day</w:t>
            </w:r>
          </w:p>
        </w:tc>
        <w:tc>
          <w:tcPr>
            <w:tcW w:w="3115" w:type="dxa"/>
            <w:tcBorders>
              <w:top w:val="single" w:sz="4" w:space="0" w:color="auto"/>
              <w:left w:val="single" w:sz="4" w:space="0" w:color="auto"/>
              <w:bottom w:val="single" w:sz="4" w:space="0" w:color="auto"/>
              <w:right w:val="single" w:sz="4" w:space="0" w:color="auto"/>
            </w:tcBorders>
            <w:vAlign w:val="center"/>
          </w:tcPr>
          <w:p w14:paraId="67C31F86" w14:textId="7606690F" w:rsidR="00917B01" w:rsidRDefault="00917B01" w:rsidP="005B07CD">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Default="00FC6EC2" w:rsidP="00FC6EC2"/>
    <w:p w14:paraId="1AB827E7" w14:textId="77777777" w:rsidR="00045494" w:rsidRDefault="00045494" w:rsidP="00FC6EC2"/>
    <w:p w14:paraId="25DF7E1E" w14:textId="77777777" w:rsidR="00045494" w:rsidRDefault="00045494" w:rsidP="00FC6EC2"/>
    <w:p w14:paraId="09F61D64" w14:textId="77777777" w:rsidR="00045494" w:rsidRDefault="00045494" w:rsidP="00FC6EC2"/>
    <w:p w14:paraId="41D24CA9" w14:textId="77777777" w:rsidR="00045494" w:rsidRPr="00FC6EC2" w:rsidRDefault="00045494" w:rsidP="00FC6EC2"/>
    <w:p w14:paraId="21998E89" w14:textId="2B23E295" w:rsidR="00401F3E" w:rsidRDefault="00792525" w:rsidP="00792525">
      <w:pPr>
        <w:pStyle w:val="Heading1"/>
      </w:pPr>
      <w:r>
        <w:t>Stress scenarios</w:t>
      </w:r>
    </w:p>
    <w:p w14:paraId="72E3CC56" w14:textId="69587E5B" w:rsidR="005B07CD" w:rsidRPr="005B07CD" w:rsidRDefault="005B07CD" w:rsidP="005B07CD">
      <w:pPr>
        <w:spacing w:line="240" w:lineRule="auto"/>
        <w:rPr>
          <w:rFonts w:ascii="Times" w:eastAsia="Times New Roman" w:hAnsi="Times" w:cs="Times New Roman"/>
          <w:color w:val="auto"/>
          <w:szCs w:val="20"/>
          <w:lang w:val="en-GB"/>
        </w:rPr>
      </w:pPr>
      <w:r w:rsidRPr="005B07CD">
        <w:rPr>
          <w:rFonts w:ascii="Times" w:eastAsia="Times New Roman" w:hAnsi="Times" w:cs="Times New Roman"/>
          <w:color w:val="auto"/>
          <w:szCs w:val="20"/>
          <w:lang w:val="en-GB"/>
        </w:rPr>
        <w:t xml:space="preserve">To complement our </w:t>
      </w:r>
      <w:proofErr w:type="spellStart"/>
      <w:r w:rsidRPr="005B07CD">
        <w:rPr>
          <w:rFonts w:ascii="Times" w:eastAsia="Times New Roman" w:hAnsi="Times" w:cs="Times New Roman"/>
          <w:color w:val="auto"/>
          <w:szCs w:val="20"/>
          <w:lang w:val="en-GB"/>
        </w:rPr>
        <w:t>VaR</w:t>
      </w:r>
      <w:proofErr w:type="spellEnd"/>
      <w:r w:rsidRPr="005B07CD">
        <w:rPr>
          <w:rFonts w:ascii="Times" w:eastAsia="Times New Roman" w:hAnsi="Times" w:cs="Times New Roman"/>
          <w:color w:val="auto"/>
          <w:szCs w:val="20"/>
          <w:lang w:val="en-GB"/>
        </w:rPr>
        <w:t xml:space="preserve"> and </w:t>
      </w:r>
      <w:proofErr w:type="spellStart"/>
      <w:r w:rsidRPr="005B07CD">
        <w:rPr>
          <w:rFonts w:ascii="Times" w:eastAsia="Times New Roman" w:hAnsi="Times" w:cs="Times New Roman"/>
          <w:color w:val="auto"/>
          <w:szCs w:val="20"/>
          <w:lang w:val="en-GB"/>
        </w:rPr>
        <w:t>SVaR</w:t>
      </w:r>
      <w:proofErr w:type="spellEnd"/>
      <w:r w:rsidRPr="005B07CD">
        <w:rPr>
          <w:rFonts w:ascii="Times" w:eastAsia="Times New Roman" w:hAnsi="Times" w:cs="Times New Roman"/>
          <w:color w:val="auto"/>
          <w:szCs w:val="20"/>
          <w:lang w:val="en-GB"/>
        </w:rPr>
        <w:t xml:space="preserve"> results we will compute the value of the portfolio under determined historical scenarios/crisis under the historical scenario approach. This will help us estimate the impact of our portfolio to extreme market movements and evaluate the potential effects o</w:t>
      </w:r>
      <w:r>
        <w:rPr>
          <w:rFonts w:ascii="Times" w:eastAsia="Times New Roman" w:hAnsi="Times" w:cs="Times New Roman"/>
          <w:color w:val="auto"/>
          <w:szCs w:val="20"/>
          <w:lang w:val="en-GB"/>
        </w:rPr>
        <w:t xml:space="preserve">f tail events on our portfolio and consider </w:t>
      </w:r>
      <w:r w:rsidR="00045494">
        <w:rPr>
          <w:rFonts w:ascii="Times" w:eastAsia="Times New Roman" w:hAnsi="Times" w:cs="Times New Roman"/>
          <w:color w:val="auto"/>
          <w:szCs w:val="20"/>
          <w:lang w:val="en-GB"/>
        </w:rPr>
        <w:t>periods where the portfolio had make significant losses due to the market conditions.</w:t>
      </w:r>
    </w:p>
    <w:p w14:paraId="0E31DC62" w14:textId="77777777" w:rsidR="005B07CD" w:rsidRDefault="005B07CD" w:rsidP="005B07CD"/>
    <w:p w14:paraId="65F7F485" w14:textId="3B2F7CEF" w:rsidR="002621CD" w:rsidRPr="002621CD" w:rsidRDefault="002621CD" w:rsidP="002621CD">
      <w:pPr>
        <w:spacing w:line="240" w:lineRule="auto"/>
        <w:rPr>
          <w:rFonts w:ascii="Times" w:eastAsia="Times New Roman" w:hAnsi="Times" w:cs="Times New Roman"/>
          <w:color w:val="auto"/>
          <w:szCs w:val="20"/>
          <w:lang w:val="en-GB"/>
        </w:rPr>
      </w:pPr>
      <w:r w:rsidRPr="002621CD">
        <w:rPr>
          <w:rFonts w:ascii="Times" w:eastAsia="Times New Roman" w:hAnsi="Times" w:cs="Times New Roman"/>
          <w:color w:val="auto"/>
          <w:szCs w:val="20"/>
          <w:lang w:val="en-GB"/>
        </w:rPr>
        <w:t>We</w:t>
      </w:r>
      <w:r>
        <w:t xml:space="preserve"> </w:t>
      </w:r>
      <w:r w:rsidRPr="002621CD">
        <w:rPr>
          <w:rFonts w:ascii="Times" w:eastAsia="Times New Roman" w:hAnsi="Times" w:cs="Times New Roman"/>
          <w:color w:val="auto"/>
          <w:szCs w:val="20"/>
          <w:lang w:val="en-GB"/>
        </w:rPr>
        <w:t>chose 4 Historical</w:t>
      </w:r>
      <w:r>
        <w:rPr>
          <w:rFonts w:ascii="Times" w:eastAsia="Times New Roman" w:hAnsi="Times" w:cs="Times New Roman"/>
          <w:color w:val="auto"/>
          <w:szCs w:val="20"/>
          <w:lang w:val="en-GB"/>
        </w:rPr>
        <w:t xml:space="preserve"> scenarios and one </w:t>
      </w:r>
      <w:proofErr w:type="gramStart"/>
      <w:r>
        <w:rPr>
          <w:rFonts w:ascii="Times" w:eastAsia="Times New Roman" w:hAnsi="Times" w:cs="Times New Roman"/>
          <w:color w:val="auto"/>
          <w:szCs w:val="20"/>
          <w:lang w:val="en-GB"/>
        </w:rPr>
        <w:t>Hypothetical,</w:t>
      </w:r>
      <w:proofErr w:type="gramEnd"/>
      <w:r>
        <w:rPr>
          <w:rFonts w:ascii="Times" w:eastAsia="Times New Roman" w:hAnsi="Times" w:cs="Times New Roman"/>
          <w:color w:val="auto"/>
          <w:szCs w:val="20"/>
          <w:lang w:val="en-GB"/>
        </w:rPr>
        <w:t xml:space="preserve"> the losses of this scenarios are represented in the following figure.</w:t>
      </w:r>
    </w:p>
    <w:p w14:paraId="206CD6E5" w14:textId="08DAB944" w:rsidR="00792525" w:rsidRDefault="00792525" w:rsidP="00792525">
      <w:pPr>
        <w:jc w:val="center"/>
      </w:pPr>
      <w:r>
        <w:rPr>
          <w:noProof/>
        </w:rPr>
        <w:lastRenderedPageBreak/>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4AEA1A24" w14:textId="6B8A4114" w:rsidR="00D03398" w:rsidRPr="00D03398" w:rsidRDefault="00D03398" w:rsidP="00D03398">
      <w:pPr>
        <w:spacing w:line="240" w:lineRule="auto"/>
        <w:rPr>
          <w:rFonts w:ascii="Times" w:eastAsia="Times New Roman" w:hAnsi="Times" w:cs="Times New Roman"/>
          <w:color w:val="auto"/>
          <w:szCs w:val="20"/>
          <w:lang w:val="en-GB"/>
        </w:rPr>
      </w:pPr>
      <w:r>
        <w:rPr>
          <w:rFonts w:ascii="Times" w:eastAsia="Times New Roman" w:hAnsi="Times" w:cs="Times New Roman"/>
          <w:color w:val="auto"/>
          <w:szCs w:val="20"/>
          <w:lang w:val="en-GB"/>
        </w:rPr>
        <w:t>Given that the composition of our portfolio consists mainly on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7AEFBB2D" w14:textId="77777777" w:rsidR="00D03398" w:rsidRDefault="00D03398" w:rsidP="00AC01BF">
      <w:pPr>
        <w:pStyle w:val="Heading1"/>
      </w:pPr>
    </w:p>
    <w:p w14:paraId="5DBEFED5" w14:textId="77777777" w:rsidR="00AC01BF" w:rsidRDefault="00AC01BF" w:rsidP="00AC01BF">
      <w:pPr>
        <w:pStyle w:val="Heading1"/>
      </w:pPr>
      <w:r>
        <w:t>Capital Requirements</w:t>
      </w:r>
    </w:p>
    <w:p w14:paraId="5CE0AEA7" w14:textId="124E3192" w:rsidR="0075111E" w:rsidRPr="0075111E" w:rsidRDefault="0075111E" w:rsidP="0075111E">
      <w:pPr>
        <w:pStyle w:val="Heading2"/>
      </w:pPr>
      <w:r>
        <w:t>Market Risk</w:t>
      </w:r>
    </w:p>
    <w:p w14:paraId="702A7A19" w14:textId="77777777" w:rsidR="00AC01BF" w:rsidRDefault="00AC01BF" w:rsidP="00AC01BF">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202AD60F" w14:textId="62926B65" w:rsidR="00AC01BF" w:rsidRDefault="00AC01BF" w:rsidP="00AC01BF">
      <w:pPr>
        <w:pStyle w:val="BodyText"/>
      </w:pPr>
      <w:r>
        <w:t>Based on the Basel II</w:t>
      </w:r>
      <w:r w:rsidRPr="006B589E">
        <w:t>.5 document, the following formula needs to be used to calculate our market risk regulatory capital:</w:t>
      </w:r>
    </w:p>
    <w:p w14:paraId="08E17489" w14:textId="5E4D0A89" w:rsidR="00AC01BF" w:rsidRPr="00AC01BF" w:rsidRDefault="00AC01BF" w:rsidP="00AC01BF">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4C9A1358" w14:textId="3844B696" w:rsidR="00AC01BF" w:rsidRDefault="0075111E" w:rsidP="00AC01BF">
      <w:pPr>
        <w:pStyle w:val="BodyText"/>
      </w:pPr>
      <w:r>
        <w:t>The following table</w:t>
      </w:r>
      <w:r w:rsidR="00AC01BF">
        <w:t xml:space="preserv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AC01BF" w:rsidRPr="00743AC8" w14:paraId="32E22711" w14:textId="77777777" w:rsidTr="00EC19A7">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D702902" w14:textId="37EF2055" w:rsidR="00AC01BF" w:rsidRPr="00743AC8" w:rsidRDefault="00AC01BF" w:rsidP="00EC19A7">
            <w:pPr>
              <w:pStyle w:val="tabletextheader"/>
              <w:rPr>
                <w:b/>
              </w:rPr>
            </w:pPr>
            <w:r>
              <w:rPr>
                <w:b/>
              </w:rPr>
              <w:t>Market Regulatory Capital</w:t>
            </w:r>
          </w:p>
        </w:tc>
      </w:tr>
      <w:tr w:rsidR="00AC01BF" w14:paraId="7C8AB7D8" w14:textId="77777777" w:rsidTr="00EC19A7">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29017BE3" w14:textId="3026C563" w:rsidR="00AC01BF" w:rsidRPr="00743AC8" w:rsidRDefault="00AC01BF" w:rsidP="00EC19A7">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38FA7C98" w14:textId="487B62EF" w:rsidR="00AC01BF" w:rsidRPr="008143F4" w:rsidRDefault="00AC01BF" w:rsidP="00EC19A7">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6D8CB2D" w14:textId="77777777" w:rsidR="00EC19A7" w:rsidRDefault="00EC19A7" w:rsidP="0075111E">
      <w:pPr>
        <w:pStyle w:val="Heading2"/>
      </w:pPr>
    </w:p>
    <w:p w14:paraId="05F7547E" w14:textId="12BB637A" w:rsidR="00EC19A7" w:rsidRPr="00EC19A7" w:rsidRDefault="0075111E" w:rsidP="00EC19A7">
      <w:pPr>
        <w:pStyle w:val="Heading2"/>
      </w:pPr>
      <w:r w:rsidRPr="0075111E">
        <w:t>Incremental Risk Charge (IRC)</w:t>
      </w:r>
    </w:p>
    <w:p w14:paraId="60ED4653" w14:textId="1EA40C59" w:rsidR="00EC19A7" w:rsidRPr="00584DDC" w:rsidRDefault="00EC19A7" w:rsidP="00EC19A7">
      <w:pPr>
        <w:rPr>
          <w:rFonts w:ascii="Cambria" w:hAnsi="Cambria"/>
          <w:color w:val="000000" w:themeColor="text1"/>
        </w:rPr>
      </w:pPr>
      <w:r w:rsidRPr="00584DDC">
        <w:rPr>
          <w:rFonts w:ascii="Cambria" w:hAnsi="Cambria"/>
          <w:color w:val="000000" w:themeColor="text1"/>
        </w:rPr>
        <w:t>The incremental risk charge (IRC) complement</w:t>
      </w:r>
      <w:r w:rsidR="008D5B2E" w:rsidRPr="00584DDC">
        <w:rPr>
          <w:rFonts w:ascii="Cambria" w:hAnsi="Cambria"/>
          <w:color w:val="000000" w:themeColor="text1"/>
        </w:rPr>
        <w:t>s</w:t>
      </w:r>
      <w:r w:rsidRPr="00584DDC">
        <w:rPr>
          <w:rFonts w:ascii="Cambria" w:hAnsi="Cambria"/>
          <w:color w:val="000000" w:themeColor="text1"/>
        </w:rPr>
        <w:t xml:space="preserve"> the </w:t>
      </w:r>
      <w:proofErr w:type="spellStart"/>
      <w:r w:rsidRPr="00584DDC">
        <w:rPr>
          <w:rFonts w:ascii="Cambria" w:hAnsi="Cambria"/>
          <w:color w:val="000000" w:themeColor="text1"/>
        </w:rPr>
        <w:t>VaR</w:t>
      </w:r>
      <w:proofErr w:type="spellEnd"/>
      <w:r w:rsidRPr="00584DDC">
        <w:rPr>
          <w:rFonts w:ascii="Cambria" w:hAnsi="Cambria"/>
          <w:color w:val="000000" w:themeColor="text1"/>
        </w:rPr>
        <w:t xml:space="preserve"> framework</w:t>
      </w:r>
      <w:r w:rsidR="008D5B2E" w:rsidRPr="00584DDC">
        <w:rPr>
          <w:rFonts w:ascii="Cambria" w:hAnsi="Cambria"/>
          <w:color w:val="000000" w:themeColor="text1"/>
        </w:rPr>
        <w:t xml:space="preserve"> by</w:t>
      </w:r>
      <w:r w:rsidRPr="00584DDC">
        <w:rPr>
          <w:rFonts w:ascii="Cambria" w:hAnsi="Cambria"/>
          <w:color w:val="000000" w:themeColor="text1"/>
        </w:rPr>
        <w:t xml:space="preserve"> project</w:t>
      </w:r>
      <w:r w:rsidR="008D5B2E" w:rsidRPr="00584DDC">
        <w:rPr>
          <w:rFonts w:ascii="Cambria" w:hAnsi="Cambria"/>
          <w:color w:val="000000" w:themeColor="text1"/>
        </w:rPr>
        <w:t>ing</w:t>
      </w:r>
      <w:r w:rsidRPr="00584DDC">
        <w:rPr>
          <w:rFonts w:ascii="Cambria" w:hAnsi="Cambria"/>
          <w:color w:val="000000" w:themeColor="text1"/>
        </w:rPr>
        <w:t xml:space="preserve"> the effect of credit rating migration into </w:t>
      </w:r>
      <w:proofErr w:type="spellStart"/>
      <w:r w:rsidRPr="00584DDC">
        <w:rPr>
          <w:rFonts w:ascii="Cambria" w:hAnsi="Cambria"/>
          <w:color w:val="000000" w:themeColor="text1"/>
        </w:rPr>
        <w:t>VaR.</w:t>
      </w:r>
      <w:proofErr w:type="spellEnd"/>
      <w:r w:rsidRPr="00584DDC">
        <w:rPr>
          <w:rFonts w:ascii="Cambria" w:hAnsi="Cambria"/>
          <w:color w:val="000000" w:themeColor="text1"/>
        </w:rPr>
        <w:t xml:space="preserve"> Unlike, IRB where only the default events are considered in the credit risk capital, in IRC, downgrades are also considered in credit risk modeling. </w:t>
      </w:r>
      <w:r w:rsidR="00457FC5" w:rsidRPr="00584DDC">
        <w:rPr>
          <w:rFonts w:ascii="Cambria" w:hAnsi="Cambria"/>
          <w:color w:val="000000" w:themeColor="text1"/>
        </w:rPr>
        <w:t>To consider the migration we will use a Transition Matrix obtained from S&amp;P</w:t>
      </w:r>
    </w:p>
    <w:p w14:paraId="3F742554" w14:textId="77777777" w:rsidR="00EC19A7" w:rsidRPr="00584DDC" w:rsidRDefault="00EC19A7" w:rsidP="00EC19A7">
      <w:pPr>
        <w:rPr>
          <w:rFonts w:ascii="Cambria" w:hAnsi="Cambria"/>
          <w:color w:val="000000" w:themeColor="text1"/>
        </w:rPr>
      </w:pPr>
    </w:p>
    <w:p w14:paraId="091DB3E7" w14:textId="24EFBEEC" w:rsidR="00EC19A7" w:rsidRDefault="00EC19A7" w:rsidP="00EC19A7">
      <w:proofErr w:type="spellStart"/>
      <w:r w:rsidRPr="00584DDC">
        <w:rPr>
          <w:rFonts w:ascii="Cambria" w:hAnsi="Cambria"/>
          <w:color w:val="000000" w:themeColor="text1"/>
        </w:rPr>
        <w:t>CreditMetrics</w:t>
      </w:r>
      <w:proofErr w:type="spellEnd"/>
      <w:r w:rsidRPr="00584DDC">
        <w:rPr>
          <w:rFonts w:ascii="Cambria" w:hAnsi="Cambria"/>
          <w:color w:val="000000" w:themeColor="text1"/>
        </w:rPr>
        <w:t xml:space="preserve"> methodology as well as Gaussian copulas is used to model the rating transitions. The details of the methodology can be found in our documentations. The one-year </w:t>
      </w:r>
      <w:r w:rsidR="00584DDC">
        <w:rPr>
          <w:rFonts w:ascii="Cambria" w:hAnsi="Cambria"/>
          <w:color w:val="000000" w:themeColor="text1"/>
        </w:rPr>
        <w:t xml:space="preserve">99.9% </w:t>
      </w:r>
      <w:proofErr w:type="spellStart"/>
      <w:r w:rsidR="00584DDC">
        <w:rPr>
          <w:rFonts w:ascii="Cambria" w:hAnsi="Cambria"/>
          <w:color w:val="000000" w:themeColor="text1"/>
        </w:rPr>
        <w:t>VaR</w:t>
      </w:r>
      <w:proofErr w:type="spellEnd"/>
      <w:r w:rsidR="00584DDC">
        <w:rPr>
          <w:rFonts w:ascii="Cambria" w:hAnsi="Cambria"/>
          <w:color w:val="000000" w:themeColor="text1"/>
        </w:rPr>
        <w:t xml:space="preserve"> is calculated using 2</w:t>
      </w:r>
      <w:r w:rsidRPr="00584DDC">
        <w:rPr>
          <w:rFonts w:ascii="Cambria" w:hAnsi="Cambria"/>
          <w:color w:val="000000" w:themeColor="text1"/>
        </w:rPr>
        <w:t>000 MC</w:t>
      </w:r>
      <w:r>
        <w:t xml:space="preserve"> </w:t>
      </w:r>
      <w:r w:rsidRPr="00584DDC">
        <w:rPr>
          <w:rFonts w:ascii="Cambria" w:hAnsi="Cambria"/>
          <w:color w:val="000000" w:themeColor="text1"/>
        </w:rPr>
        <w:t>simulations</w:t>
      </w:r>
    </w:p>
    <w:p w14:paraId="6FB50CF0" w14:textId="77777777" w:rsidR="00584DDC" w:rsidRDefault="00584DDC" w:rsidP="00EC19A7"/>
    <w:tbl>
      <w:tblPr>
        <w:tblStyle w:val="MediumShading1-Accent2"/>
        <w:tblW w:w="0" w:type="auto"/>
        <w:jc w:val="center"/>
        <w:tblLook w:val="04A0" w:firstRow="1" w:lastRow="0" w:firstColumn="1" w:lastColumn="0" w:noHBand="0" w:noVBand="1"/>
      </w:tblPr>
      <w:tblGrid>
        <w:gridCol w:w="3115"/>
        <w:gridCol w:w="3115"/>
      </w:tblGrid>
      <w:tr w:rsidR="00457FC5" w:rsidRPr="00743AC8" w14:paraId="4C2BAF0C" w14:textId="77777777" w:rsidTr="00584DDC">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6B0223FE" w14:textId="2403572B" w:rsidR="00457FC5" w:rsidRPr="00743AC8" w:rsidRDefault="002D3E5A" w:rsidP="00584DDC">
            <w:pPr>
              <w:pStyle w:val="tabletextheader"/>
              <w:rPr>
                <w:b/>
              </w:rPr>
            </w:pPr>
            <w:r>
              <w:rPr>
                <w:b/>
              </w:rPr>
              <w:t xml:space="preserve">IRC </w:t>
            </w:r>
            <w:proofErr w:type="spellStart"/>
            <w:r>
              <w:rPr>
                <w:b/>
              </w:rPr>
              <w:t>VaR</w:t>
            </w:r>
            <w:proofErr w:type="spellEnd"/>
            <w:r>
              <w:rPr>
                <w:b/>
              </w:rPr>
              <w:t xml:space="preserve"> - </w:t>
            </w:r>
            <w:r w:rsidRPr="002D3E5A">
              <w:rPr>
                <w:b/>
              </w:rPr>
              <w:t>99.9% 1y</w:t>
            </w:r>
          </w:p>
        </w:tc>
      </w:tr>
      <w:tr w:rsidR="00457FC5" w14:paraId="6385B8C5" w14:textId="77777777" w:rsidTr="00584DDC">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42E74F3A" w14:textId="0CAAEB69" w:rsidR="00457FC5" w:rsidRPr="00743AC8" w:rsidRDefault="002D3E5A" w:rsidP="00584DDC">
            <w:pPr>
              <w:pStyle w:val="tabletext"/>
              <w:rPr>
                <w:b w:val="0"/>
              </w:rPr>
            </w:pPr>
            <w:r>
              <w:rPr>
                <w:b w:val="0"/>
              </w:rPr>
              <w:t>50.6</w:t>
            </w:r>
            <w:r w:rsidR="00457FC5">
              <w:rPr>
                <w:b w:val="0"/>
              </w:rPr>
              <w:t>M</w:t>
            </w:r>
          </w:p>
        </w:tc>
        <w:tc>
          <w:tcPr>
            <w:tcW w:w="3115" w:type="dxa"/>
            <w:tcBorders>
              <w:top w:val="single" w:sz="4" w:space="0" w:color="auto"/>
              <w:left w:val="single" w:sz="4" w:space="0" w:color="auto"/>
              <w:bottom w:val="single" w:sz="4" w:space="0" w:color="auto"/>
              <w:right w:val="single" w:sz="4" w:space="0" w:color="auto"/>
            </w:tcBorders>
            <w:vAlign w:val="center"/>
          </w:tcPr>
          <w:p w14:paraId="3ED7452E" w14:textId="71E9D365" w:rsidR="00457FC5" w:rsidRPr="008143F4" w:rsidRDefault="002D3E5A" w:rsidP="00584DDC">
            <w:pPr>
              <w:pStyle w:val="tabletext"/>
              <w:cnfStyle w:val="000000100000" w:firstRow="0" w:lastRow="0" w:firstColumn="0" w:lastColumn="0" w:oddVBand="0" w:evenVBand="0" w:oddHBand="1" w:evenHBand="0" w:firstRowFirstColumn="0" w:firstRowLastColumn="0" w:lastRowFirstColumn="0" w:lastRowLastColumn="0"/>
            </w:pPr>
            <w:r>
              <w:t>20.4</w:t>
            </w:r>
            <w:r w:rsidR="00457FC5">
              <w:t>%</w:t>
            </w:r>
          </w:p>
        </w:tc>
      </w:tr>
    </w:tbl>
    <w:p w14:paraId="2C8C7EF8" w14:textId="77777777" w:rsidR="00584DDC" w:rsidRDefault="00584DDC" w:rsidP="00EC19A7">
      <w:pPr>
        <w:rPr>
          <w:rFonts w:ascii="Cambria" w:hAnsi="Cambria"/>
          <w:color w:val="000000" w:themeColor="text1"/>
        </w:rPr>
      </w:pPr>
    </w:p>
    <w:p w14:paraId="71B39B0A" w14:textId="115BA894" w:rsidR="00457FC5" w:rsidRDefault="00584DDC" w:rsidP="00EC19A7">
      <w:pPr>
        <w:rPr>
          <w:rFonts w:ascii="Cambria" w:hAnsi="Cambria"/>
          <w:color w:val="000000" w:themeColor="text1"/>
        </w:rPr>
      </w:pPr>
      <w:r w:rsidRPr="00584DDC">
        <w:rPr>
          <w:rFonts w:ascii="Cambria" w:hAnsi="Cambria"/>
          <w:color w:val="000000" w:themeColor="text1"/>
        </w:rPr>
        <w:t>Adding both the market and the credit factors,</w:t>
      </w:r>
      <w:r>
        <w:rPr>
          <w:rFonts w:ascii="Cambria" w:hAnsi="Cambria"/>
          <w:color w:val="000000" w:themeColor="text1"/>
        </w:rPr>
        <w:t xml:space="preserve"> we </w:t>
      </w:r>
      <w:r w:rsidR="001023C9">
        <w:rPr>
          <w:rFonts w:ascii="Cambria" w:hAnsi="Cambria"/>
          <w:color w:val="000000" w:themeColor="text1"/>
        </w:rPr>
        <w:t>obtain a total capital requirement of 149.2M; which represents 60% of the total value of the portfolio.</w:t>
      </w:r>
    </w:p>
    <w:p w14:paraId="4966A6F5" w14:textId="77777777" w:rsidR="00732F50" w:rsidRDefault="00732F50" w:rsidP="00EC19A7">
      <w:pPr>
        <w:rPr>
          <w:rFonts w:ascii="Cambria" w:hAnsi="Cambria"/>
          <w:color w:val="000000" w:themeColor="text1"/>
        </w:rPr>
      </w:pPr>
    </w:p>
    <w:p w14:paraId="140DB495" w14:textId="5576697C" w:rsidR="00732F50" w:rsidRPr="00EC19A7" w:rsidRDefault="00732F50" w:rsidP="00732F50">
      <w:pPr>
        <w:pStyle w:val="Heading2"/>
      </w:pPr>
      <w:r>
        <w:t>Economic Capital</w:t>
      </w:r>
    </w:p>
    <w:p w14:paraId="1E0DD76A" w14:textId="77777777" w:rsidR="00732F50" w:rsidRDefault="00732F50" w:rsidP="00EC19A7">
      <w:pPr>
        <w:rPr>
          <w:rFonts w:ascii="Cambria" w:hAnsi="Cambria"/>
          <w:color w:val="000000" w:themeColor="text1"/>
        </w:rPr>
      </w:pPr>
    </w:p>
    <w:p w14:paraId="3FD0A86F" w14:textId="7D627203" w:rsidR="00732F50" w:rsidRDefault="00732F50" w:rsidP="00EC19A7">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p>
    <w:p w14:paraId="5BAC0BDF" w14:textId="77777777" w:rsidR="00732F50" w:rsidRDefault="00732F50" w:rsidP="00EC19A7">
      <w:pPr>
        <w:rPr>
          <w:rFonts w:ascii="Cambria" w:hAnsi="Cambria"/>
          <w:color w:val="000000" w:themeColor="text1"/>
        </w:rPr>
      </w:pPr>
    </w:p>
    <w:p w14:paraId="1B12688D" w14:textId="4B54686E" w:rsidR="00732F50" w:rsidRPr="00732F50" w:rsidRDefault="00732F50" w:rsidP="00732F50">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72505588" w14:textId="60892C39" w:rsidR="00732F50" w:rsidRDefault="00732F50" w:rsidP="00732F50">
      <w:pPr>
        <w:pStyle w:val="BodyText"/>
      </w:pPr>
      <w:r>
        <w:t>The total value of the Economic Capital adds up to 13.6M; which represent 5.5% of the portfolio value.</w:t>
      </w:r>
    </w:p>
    <w:p w14:paraId="53F3A789" w14:textId="105FF158" w:rsidR="007D3532" w:rsidRDefault="007D3532" w:rsidP="007D3532">
      <w:pPr>
        <w:pStyle w:val="Heading2"/>
      </w:pPr>
      <w:r>
        <w:t>Standardized Approach for CCR</w:t>
      </w:r>
    </w:p>
    <w:p w14:paraId="7C65F122" w14:textId="77777777" w:rsidR="007D3532" w:rsidRPr="007D3532" w:rsidRDefault="007D3532" w:rsidP="007D3532"/>
    <w:p w14:paraId="456F14DA" w14:textId="0A6A8398" w:rsidR="007D3532" w:rsidRPr="007D3532" w:rsidRDefault="007D3532" w:rsidP="007D3532">
      <w:pPr>
        <w:rPr>
          <w:rFonts w:ascii="Cambria" w:hAnsi="Cambria"/>
          <w:color w:val="000000" w:themeColor="text1"/>
        </w:rPr>
      </w:pPr>
      <w:r w:rsidRPr="007D3532">
        <w:rPr>
          <w:rFonts w:ascii="Cambria" w:hAnsi="Cambria"/>
          <w:color w:val="000000" w:themeColor="text1"/>
        </w:rPr>
        <w:t>The capital allocation is based on the follo</w:t>
      </w:r>
      <w:r>
        <w:rPr>
          <w:rFonts w:ascii="Cambria" w:hAnsi="Cambria"/>
          <w:color w:val="000000" w:themeColor="text1"/>
        </w:rPr>
        <w:t>wing formula proposed in Basel I</w:t>
      </w:r>
      <w:r w:rsidRPr="007D3532">
        <w:rPr>
          <w:rFonts w:ascii="Cambria" w:hAnsi="Cambria"/>
          <w:color w:val="000000" w:themeColor="text1"/>
        </w:rPr>
        <w:t xml:space="preserve">, where the weights and credit equivalent add-on factors are: </w:t>
      </w:r>
    </w:p>
    <w:p w14:paraId="517FC01E" w14:textId="77777777" w:rsidR="007D3532" w:rsidRPr="007D3532" w:rsidRDefault="007D3532" w:rsidP="007D3532">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6FE7ADBB" w14:textId="6FA470E9" w:rsidR="00123B83" w:rsidRDefault="007D3532" w:rsidP="00123B83">
      <w:pPr>
        <w:pStyle w:val="BodyText"/>
      </w:pPr>
      <w:r>
        <w:t>This adds up to 0.27M, which represent 3.1% of the total exposure to CDS.</w:t>
      </w:r>
    </w:p>
    <w:p w14:paraId="72EC73F4" w14:textId="77777777" w:rsidR="00123B83" w:rsidRDefault="00123B83" w:rsidP="00123B83">
      <w:pPr>
        <w:pStyle w:val="Heading2"/>
      </w:pPr>
    </w:p>
    <w:p w14:paraId="74294209" w14:textId="77777777" w:rsidR="00123B83" w:rsidRDefault="00123B83" w:rsidP="00123B83">
      <w:pPr>
        <w:pStyle w:val="Heading2"/>
      </w:pPr>
    </w:p>
    <w:p w14:paraId="6DD750C6" w14:textId="77777777" w:rsidR="00123B83" w:rsidRDefault="00123B83" w:rsidP="00123B83">
      <w:pPr>
        <w:pStyle w:val="Heading2"/>
      </w:pPr>
    </w:p>
    <w:p w14:paraId="2EE867C3" w14:textId="77777777" w:rsidR="00123B83" w:rsidRDefault="00123B83" w:rsidP="00123B83">
      <w:pPr>
        <w:pStyle w:val="Heading2"/>
      </w:pPr>
    </w:p>
    <w:p w14:paraId="24E16781" w14:textId="77777777" w:rsidR="00123B83" w:rsidRPr="00123B83" w:rsidRDefault="00123B83" w:rsidP="00123B83"/>
    <w:p w14:paraId="2600CD01" w14:textId="572CE044" w:rsidR="00123B83" w:rsidRDefault="00123B83" w:rsidP="00123B83">
      <w:pPr>
        <w:pStyle w:val="Heading2"/>
      </w:pPr>
      <w:r>
        <w:lastRenderedPageBreak/>
        <w:t>Standardized CVA Capital</w:t>
      </w:r>
    </w:p>
    <w:p w14:paraId="52C7D46B" w14:textId="77777777" w:rsidR="00123B83" w:rsidRPr="00123B83" w:rsidRDefault="00123B83" w:rsidP="00123B83"/>
    <w:p w14:paraId="59C52B2F" w14:textId="28C6C67A" w:rsidR="00123B83" w:rsidRPr="00123B83" w:rsidRDefault="00123B83" w:rsidP="00123B83">
      <w:pPr>
        <w:rPr>
          <w:rFonts w:ascii="Cambria" w:hAnsi="Cambria"/>
          <w:color w:val="000000" w:themeColor="text1"/>
        </w:rPr>
      </w:pPr>
      <w:r w:rsidRPr="00123B83">
        <w:rPr>
          <w:rFonts w:ascii="Cambria" w:hAnsi="Cambria"/>
          <w:color w:val="000000" w:themeColor="text1"/>
        </w:rPr>
        <w:t>In the standardized approach, the portfolio CVA capital charge is calculated using the following formula:</w:t>
      </w:r>
    </w:p>
    <w:p w14:paraId="103BC88B" w14:textId="2C2E0452" w:rsidR="00732F50" w:rsidRDefault="00123B83" w:rsidP="00123B83">
      <w:pPr>
        <w:ind w:left="2160"/>
        <w:rPr>
          <w:rFonts w:ascii="Cambria" w:hAnsi="Cambria"/>
          <w:color w:val="000000" w:themeColor="text1"/>
        </w:rPr>
      </w:pPr>
      <w:r>
        <w:rPr>
          <w:noProof/>
        </w:rPr>
        <w:drawing>
          <wp:inline distT="0" distB="0" distL="0" distR="0" wp14:anchorId="7C687D2D" wp14:editId="26F1E40E">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7ED39467" w14:textId="46B82CA9" w:rsidR="00123B83" w:rsidRPr="00123B83" w:rsidRDefault="00123B83" w:rsidP="00123B83">
      <w:pPr>
        <w:rPr>
          <w:rFonts w:ascii="Cambria" w:hAnsi="Cambria"/>
          <w:color w:val="000000" w:themeColor="text1"/>
        </w:rPr>
      </w:pPr>
      <w:r w:rsidRPr="00123B83">
        <w:rPr>
          <w:rFonts w:ascii="Cambria" w:hAnsi="Cambria"/>
          <w:color w:val="000000" w:themeColor="text1"/>
        </w:rPr>
        <w:t>The capital we obtain for the CVA is the following:</w:t>
      </w:r>
      <w:r>
        <w:rPr>
          <w:rFonts w:ascii="Cambria" w:hAnsi="Cambria"/>
          <w:color w:val="000000" w:themeColor="text1"/>
        </w:rPr>
        <w:t xml:space="preserve"> </w:t>
      </w:r>
      <m:oMath>
        <m:r>
          <m:rPr>
            <m:sty m:val="p"/>
          </m:rPr>
          <w:rPr>
            <w:rFonts w:ascii="Cambria Math" w:hAnsi="Cambria Math"/>
            <w:color w:val="000000" w:themeColor="text1"/>
          </w:rPr>
          <m:t>K</m:t>
        </m:r>
        <m:r>
          <m:rPr>
            <m:sty m:val="p"/>
          </m:rPr>
          <w:rPr>
            <w:rFonts w:ascii="Cambria Math" w:hAnsi="Cambria Math"/>
            <w:color w:val="000000" w:themeColor="text1"/>
          </w:rPr>
          <m:t>=0.22M</m:t>
        </m:r>
      </m:oMath>
      <w:r w:rsidRPr="00123B83">
        <w:rPr>
          <w:rFonts w:ascii="Cambria" w:hAnsi="Cambria"/>
          <w:color w:val="000000" w:themeColor="text1"/>
        </w:rPr>
        <w:t>, representing 2.6% of the Total CDS Exposure.</w:t>
      </w:r>
    </w:p>
    <w:p w14:paraId="4903E4D8" w14:textId="77777777" w:rsidR="00123B83" w:rsidRDefault="00123B83" w:rsidP="00BB09CD">
      <w:pPr>
        <w:rPr>
          <w:rFonts w:ascii="Cambria" w:hAnsi="Cambria"/>
          <w:color w:val="000000" w:themeColor="text1"/>
        </w:rPr>
      </w:pPr>
    </w:p>
    <w:p w14:paraId="594DE4C2" w14:textId="5E44E7EA" w:rsidR="00BB09CD" w:rsidRPr="00BB09CD" w:rsidRDefault="00BB09CD" w:rsidP="00BB09CD">
      <w:pPr>
        <w:pStyle w:val="Heading1"/>
      </w:pPr>
      <w:r>
        <w:t>Model Risk</w:t>
      </w:r>
    </w:p>
    <w:p w14:paraId="1C4DD7EC" w14:textId="77777777" w:rsidR="00BB09CD" w:rsidRDefault="00BB09CD" w:rsidP="00BB09CD">
      <w:pPr>
        <w:rPr>
          <w:rFonts w:ascii="Cambria" w:hAnsi="Cambria"/>
          <w:color w:val="000000" w:themeColor="text1"/>
        </w:rPr>
      </w:pPr>
      <w:r w:rsidRPr="00BB09CD">
        <w:rPr>
          <w:rFonts w:ascii="Cambria" w:hAnsi="Cambria"/>
          <w:color w:val="000000" w:themeColor="text1"/>
        </w:rPr>
        <w:t>Model risk is the possible losses due to faults in the development and application of the valuation models considered.</w:t>
      </w:r>
    </w:p>
    <w:p w14:paraId="29127351" w14:textId="77777777" w:rsidR="00BB09CD" w:rsidRPr="00BB09CD" w:rsidRDefault="00BB09CD" w:rsidP="00BB09CD">
      <w:pPr>
        <w:rPr>
          <w:rFonts w:ascii="Cambria" w:hAnsi="Cambria"/>
          <w:color w:val="000000" w:themeColor="text1"/>
        </w:rPr>
      </w:pPr>
    </w:p>
    <w:p w14:paraId="0874CFAD" w14:textId="3E3241C8" w:rsidR="00BB09CD" w:rsidRDefault="00BB09CD" w:rsidP="00BB09CD">
      <w:pPr>
        <w:rPr>
          <w:rFonts w:ascii="Cambria" w:hAnsi="Cambria"/>
          <w:color w:val="000000" w:themeColor="text1"/>
        </w:rPr>
      </w:pPr>
      <w:r w:rsidRPr="00BB09CD">
        <w:rPr>
          <w:rFonts w:ascii="Cambria" w:hAnsi="Cambria"/>
          <w:b/>
          <w:color w:val="000000" w:themeColor="text1"/>
        </w:rPr>
        <w:t>Interpolation of Zero Curves and Spread Curves:</w:t>
      </w:r>
      <w:r w:rsidRPr="00BB09CD">
        <w:rPr>
          <w:rFonts w:ascii="Cambria" w:hAnsi="Cambria"/>
          <w:color w:val="000000" w:themeColor="text1"/>
        </w:rPr>
        <w:t xml:space="preserve"> For our pricing models we had to interpol</w:t>
      </w:r>
      <w:r>
        <w:rPr>
          <w:rFonts w:ascii="Cambria" w:hAnsi="Cambria"/>
          <w:color w:val="000000" w:themeColor="text1"/>
        </w:rPr>
        <w:t xml:space="preserve">ate the interest rate curves as </w:t>
      </w:r>
      <w:r w:rsidRPr="00BB09CD">
        <w:rPr>
          <w:rFonts w:ascii="Cambria" w:hAnsi="Cambria"/>
          <w:color w:val="000000" w:themeColor="text1"/>
        </w:rPr>
        <w:t>well as the CDS spread curves. Given that we only have an observation for determined tenors, an interpolation has to be</w:t>
      </w:r>
      <w:r>
        <w:rPr>
          <w:rFonts w:ascii="Cambria" w:hAnsi="Cambria"/>
          <w:color w:val="000000" w:themeColor="text1"/>
        </w:rPr>
        <w:t xml:space="preserve"> </w:t>
      </w:r>
      <w:r w:rsidRPr="00BB09CD">
        <w:rPr>
          <w:rFonts w:ascii="Cambria" w:hAnsi="Cambria"/>
          <w:color w:val="000000" w:themeColor="text1"/>
        </w:rPr>
        <w:t>done to obtain a curve. This position mapping was done with a linear approach, although several other methods exist. A</w:t>
      </w:r>
      <w:r>
        <w:rPr>
          <w:rFonts w:ascii="Cambria" w:hAnsi="Cambria"/>
          <w:color w:val="000000" w:themeColor="text1"/>
        </w:rPr>
        <w:t xml:space="preserve"> </w:t>
      </w:r>
      <w:r w:rsidRPr="00BB09CD">
        <w:rPr>
          <w:rFonts w:ascii="Cambria" w:hAnsi="Cambria"/>
          <w:color w:val="000000" w:themeColor="text1"/>
        </w:rPr>
        <w:t>disadvantage of the linear interpolation is that it can either underestimate or overestimate volatility of the cash flows being</w:t>
      </w:r>
      <w:r>
        <w:rPr>
          <w:rFonts w:ascii="Cambria" w:hAnsi="Cambria"/>
          <w:color w:val="000000" w:themeColor="text1"/>
        </w:rPr>
        <w:t xml:space="preserve"> </w:t>
      </w:r>
      <w:r w:rsidRPr="00BB09CD">
        <w:rPr>
          <w:rFonts w:ascii="Cambria" w:hAnsi="Cambria"/>
          <w:color w:val="000000" w:themeColor="text1"/>
        </w:rPr>
        <w:t>discounted.</w:t>
      </w:r>
    </w:p>
    <w:p w14:paraId="042AC772" w14:textId="77777777" w:rsidR="005B07CD" w:rsidRPr="00BB09CD" w:rsidRDefault="005B07CD" w:rsidP="00BB09CD">
      <w:pPr>
        <w:rPr>
          <w:rFonts w:ascii="Cambria" w:hAnsi="Cambria"/>
          <w:color w:val="000000" w:themeColor="text1"/>
        </w:rPr>
      </w:pPr>
    </w:p>
    <w:p w14:paraId="6F8BDBFA" w14:textId="7D920DAE" w:rsidR="00BB09CD" w:rsidRDefault="00BB09CD" w:rsidP="00BB09CD">
      <w:pPr>
        <w:rPr>
          <w:rFonts w:ascii="Cambria" w:hAnsi="Cambria"/>
          <w:color w:val="000000" w:themeColor="text1"/>
        </w:rPr>
      </w:pPr>
      <w:r w:rsidRPr="00BB09CD">
        <w:rPr>
          <w:rFonts w:ascii="Cambria" w:hAnsi="Cambria"/>
          <w:b/>
          <w:color w:val="000000" w:themeColor="text1"/>
        </w:rPr>
        <w:t>Agency Rating Risk:</w:t>
      </w:r>
      <w:r w:rsidRPr="00BB09CD">
        <w:rPr>
          <w:rFonts w:ascii="Cambria" w:hAnsi="Cambria"/>
          <w:color w:val="000000" w:themeColor="text1"/>
        </w:rPr>
        <w:t xml:space="preserve"> For credit risk we use the agency ratings for valuing our portfolio. It has been proven that these</w:t>
      </w:r>
      <w:r>
        <w:rPr>
          <w:rFonts w:ascii="Cambria" w:hAnsi="Cambria"/>
          <w:color w:val="000000" w:themeColor="text1"/>
        </w:rPr>
        <w:t xml:space="preserve"> </w:t>
      </w:r>
      <w:r w:rsidRPr="00BB09CD">
        <w:rPr>
          <w:rFonts w:ascii="Cambria" w:hAnsi="Cambria"/>
          <w:color w:val="000000" w:themeColor="text1"/>
        </w:rPr>
        <w:t>ratings might not be correct and may overestimate the value of the financial instrument. An</w:t>
      </w:r>
      <w:r>
        <w:rPr>
          <w:rFonts w:ascii="Cambria" w:hAnsi="Cambria"/>
          <w:color w:val="000000" w:themeColor="text1"/>
        </w:rPr>
        <w:t xml:space="preserve">other problematic that rises is </w:t>
      </w:r>
      <w:r w:rsidRPr="00BB09CD">
        <w:rPr>
          <w:rFonts w:ascii="Cambria" w:hAnsi="Cambria"/>
          <w:color w:val="000000" w:themeColor="text1"/>
        </w:rPr>
        <w:t>that the bonds with the same rating not necessarily have the same spread.</w:t>
      </w:r>
    </w:p>
    <w:p w14:paraId="783213D0" w14:textId="77777777" w:rsidR="005B07CD" w:rsidRPr="00BB09CD" w:rsidRDefault="005B07CD" w:rsidP="00BB09CD">
      <w:pPr>
        <w:rPr>
          <w:rFonts w:ascii="Cambria" w:hAnsi="Cambria"/>
          <w:color w:val="000000" w:themeColor="text1"/>
        </w:rPr>
      </w:pPr>
    </w:p>
    <w:p w14:paraId="017C2437" w14:textId="221FE58D" w:rsidR="00BB09CD" w:rsidRDefault="00BB09CD" w:rsidP="00BB09CD">
      <w:pPr>
        <w:rPr>
          <w:rFonts w:ascii="Cambria" w:hAnsi="Cambria"/>
          <w:color w:val="000000" w:themeColor="text1"/>
        </w:rPr>
      </w:pPr>
      <w:r w:rsidRPr="00BB09CD">
        <w:rPr>
          <w:rFonts w:ascii="Cambria" w:hAnsi="Cambria"/>
          <w:b/>
          <w:color w:val="000000" w:themeColor="text1"/>
        </w:rPr>
        <w:t>Liquidity:</w:t>
      </w:r>
      <w:r w:rsidRPr="00BB09CD">
        <w:rPr>
          <w:rFonts w:ascii="Cambria" w:hAnsi="Cambria"/>
          <w:color w:val="000000" w:themeColor="text1"/>
        </w:rPr>
        <w:t xml:space="preserve"> Within our models we are not considering the liquidity risk of the instruments.</w:t>
      </w:r>
      <w:r>
        <w:rPr>
          <w:rFonts w:ascii="Cambria" w:hAnsi="Cambria"/>
          <w:color w:val="000000" w:themeColor="text1"/>
        </w:rPr>
        <w:t xml:space="preserve"> We are valuing the instruments </w:t>
      </w:r>
      <w:r w:rsidRPr="00BB09CD">
        <w:rPr>
          <w:rFonts w:ascii="Cambria" w:hAnsi="Cambria"/>
          <w:color w:val="000000" w:themeColor="text1"/>
        </w:rPr>
        <w:t>without pricing in a liquidity factor. This then might implicate an overestimation or und</w:t>
      </w:r>
      <w:r>
        <w:rPr>
          <w:rFonts w:ascii="Cambria" w:hAnsi="Cambria"/>
          <w:color w:val="000000" w:themeColor="text1"/>
        </w:rPr>
        <w:t xml:space="preserve">erestimation of the instruments </w:t>
      </w:r>
      <w:r w:rsidRPr="00BB09CD">
        <w:rPr>
          <w:rFonts w:ascii="Cambria" w:hAnsi="Cambria"/>
          <w:color w:val="000000" w:themeColor="text1"/>
        </w:rPr>
        <w:t>prices.</w:t>
      </w:r>
    </w:p>
    <w:p w14:paraId="342F03A1" w14:textId="77777777" w:rsidR="005B07CD" w:rsidRPr="00BB09CD" w:rsidRDefault="005B07CD" w:rsidP="00BB09CD">
      <w:pPr>
        <w:rPr>
          <w:rFonts w:ascii="Cambria" w:hAnsi="Cambria"/>
          <w:color w:val="000000" w:themeColor="text1"/>
        </w:rPr>
      </w:pPr>
    </w:p>
    <w:p w14:paraId="16576E68" w14:textId="03B327F4" w:rsidR="00BB09CD" w:rsidRDefault="00BB09CD" w:rsidP="00BB09CD">
      <w:pPr>
        <w:rPr>
          <w:rFonts w:ascii="Cambria" w:hAnsi="Cambria"/>
          <w:color w:val="000000" w:themeColor="text1"/>
        </w:rPr>
      </w:pPr>
      <w:r w:rsidRPr="00BB09CD">
        <w:rPr>
          <w:rFonts w:ascii="Cambria" w:hAnsi="Cambria"/>
          <w:b/>
          <w:color w:val="000000" w:themeColor="text1"/>
        </w:rPr>
        <w:t>Jointly Normal Assumption:</w:t>
      </w:r>
      <w:r w:rsidRPr="00BB09CD">
        <w:rPr>
          <w:rFonts w:ascii="Cambria" w:hAnsi="Cambria"/>
          <w:color w:val="000000" w:themeColor="text1"/>
        </w:rPr>
        <w:t xml:space="preserve"> We assumed that the risk factors are jointly normal in calculat</w:t>
      </w:r>
      <w:r>
        <w:rPr>
          <w:rFonts w:ascii="Cambria" w:hAnsi="Cambria"/>
          <w:color w:val="000000" w:themeColor="text1"/>
        </w:rPr>
        <w:t xml:space="preserve">ion of the analytical </w:t>
      </w:r>
      <w:proofErr w:type="spellStart"/>
      <w:r>
        <w:rPr>
          <w:rFonts w:ascii="Cambria" w:hAnsi="Cambria"/>
          <w:color w:val="000000" w:themeColor="text1"/>
        </w:rPr>
        <w:t>VaR.</w:t>
      </w:r>
      <w:proofErr w:type="spellEnd"/>
      <w:r>
        <w:rPr>
          <w:rFonts w:ascii="Cambria" w:hAnsi="Cambria"/>
          <w:color w:val="000000" w:themeColor="text1"/>
        </w:rPr>
        <w:t xml:space="preserve"> This </w:t>
      </w:r>
      <w:r w:rsidRPr="00BB09CD">
        <w:rPr>
          <w:rFonts w:ascii="Cambria" w:hAnsi="Cambria"/>
          <w:color w:val="000000" w:themeColor="text1"/>
        </w:rPr>
        <w:t>is also the case of model risk. As we know Normality assumption is not a realistic assumption. A better approach would</w:t>
      </w:r>
      <w:r>
        <w:rPr>
          <w:rFonts w:ascii="Cambria" w:hAnsi="Cambria"/>
          <w:color w:val="000000" w:themeColor="text1"/>
        </w:rPr>
        <w:t xml:space="preserve"> </w:t>
      </w:r>
      <w:r w:rsidRPr="00BB09CD">
        <w:rPr>
          <w:rFonts w:ascii="Cambria" w:hAnsi="Cambria"/>
          <w:color w:val="000000" w:themeColor="text1"/>
        </w:rPr>
        <w:t xml:space="preserve">have been using a distribution with </w:t>
      </w:r>
      <w:proofErr w:type="spellStart"/>
      <w:r w:rsidRPr="00BB09CD">
        <w:rPr>
          <w:rFonts w:ascii="Cambria" w:hAnsi="Cambria"/>
          <w:color w:val="000000" w:themeColor="text1"/>
        </w:rPr>
        <w:t>skewness</w:t>
      </w:r>
      <w:proofErr w:type="spellEnd"/>
      <w:r w:rsidRPr="00BB09CD">
        <w:rPr>
          <w:rFonts w:ascii="Cambria" w:hAnsi="Cambria"/>
          <w:color w:val="000000" w:themeColor="text1"/>
        </w:rPr>
        <w:t xml:space="preserve"> and kurtosis for calculation of analytical </w:t>
      </w:r>
      <w:proofErr w:type="spellStart"/>
      <w:r w:rsidRPr="00BB09CD">
        <w:rPr>
          <w:rFonts w:ascii="Cambria" w:hAnsi="Cambria"/>
          <w:color w:val="000000" w:themeColor="text1"/>
        </w:rPr>
        <w:t>VaR.</w:t>
      </w:r>
      <w:proofErr w:type="spellEnd"/>
    </w:p>
    <w:p w14:paraId="0AAB1514" w14:textId="77777777" w:rsidR="005B07CD" w:rsidRPr="00BB09CD" w:rsidRDefault="005B07CD" w:rsidP="00BB09CD">
      <w:pPr>
        <w:rPr>
          <w:rFonts w:ascii="Cambria" w:hAnsi="Cambria"/>
          <w:color w:val="000000" w:themeColor="text1"/>
        </w:rPr>
      </w:pPr>
    </w:p>
    <w:p w14:paraId="7BE48D95" w14:textId="1D5CDA5D" w:rsidR="00BB09CD" w:rsidRDefault="00BB09CD" w:rsidP="00BB09CD">
      <w:pPr>
        <w:rPr>
          <w:rFonts w:ascii="Cambria" w:hAnsi="Cambria"/>
          <w:color w:val="000000" w:themeColor="text1"/>
        </w:rPr>
      </w:pPr>
      <w:r w:rsidRPr="00BB09CD">
        <w:rPr>
          <w:rFonts w:ascii="Cambria" w:hAnsi="Cambria"/>
          <w:b/>
          <w:color w:val="000000" w:themeColor="text1"/>
        </w:rPr>
        <w:t>Gaussian Copula:</w:t>
      </w:r>
      <w:r w:rsidRPr="00BB09CD">
        <w:rPr>
          <w:rFonts w:ascii="Cambria" w:hAnsi="Cambria"/>
          <w:color w:val="000000" w:themeColor="text1"/>
        </w:rPr>
        <w:t xml:space="preserve"> Gaussian copula generally cannot capture the tail dependence very well, ho</w:t>
      </w:r>
      <w:r>
        <w:rPr>
          <w:rFonts w:ascii="Cambria" w:hAnsi="Cambria"/>
          <w:color w:val="000000" w:themeColor="text1"/>
        </w:rPr>
        <w:t xml:space="preserve">wever it is known that T-copulas </w:t>
      </w:r>
      <w:r w:rsidRPr="00BB09CD">
        <w:rPr>
          <w:rFonts w:ascii="Cambria" w:hAnsi="Cambria"/>
          <w:color w:val="000000" w:themeColor="text1"/>
        </w:rPr>
        <w:t xml:space="preserve">are a good candidate for capturing the tail dependence. It is expected by switching to t-copulas, the </w:t>
      </w:r>
      <w:proofErr w:type="spellStart"/>
      <w:r w:rsidRPr="00BB09CD">
        <w:rPr>
          <w:rFonts w:ascii="Cambria" w:hAnsi="Cambria"/>
          <w:color w:val="000000" w:themeColor="text1"/>
        </w:rPr>
        <w:t>VaR</w:t>
      </w:r>
      <w:proofErr w:type="spellEnd"/>
      <w:r w:rsidRPr="00BB09CD">
        <w:rPr>
          <w:rFonts w:ascii="Cambria" w:hAnsi="Cambria"/>
          <w:color w:val="000000" w:themeColor="text1"/>
        </w:rPr>
        <w:t xml:space="preserve"> value</w:t>
      </w:r>
      <w:r>
        <w:rPr>
          <w:rFonts w:ascii="Cambria" w:hAnsi="Cambria"/>
          <w:color w:val="000000" w:themeColor="text1"/>
        </w:rPr>
        <w:t xml:space="preserve"> </w:t>
      </w:r>
      <w:r w:rsidRPr="00BB09CD">
        <w:rPr>
          <w:rFonts w:ascii="Cambria" w:hAnsi="Cambria"/>
          <w:color w:val="000000" w:themeColor="text1"/>
        </w:rPr>
        <w:t>calculated by the IRC approach increases which provide a better (more realistic) estimate for worst case capital loss and</w:t>
      </w:r>
      <w:r>
        <w:rPr>
          <w:rFonts w:ascii="Cambria" w:hAnsi="Cambria"/>
          <w:color w:val="000000" w:themeColor="text1"/>
        </w:rPr>
        <w:t xml:space="preserve"> </w:t>
      </w:r>
      <w:r w:rsidRPr="00BB09CD">
        <w:rPr>
          <w:rFonts w:ascii="Cambria" w:hAnsi="Cambria"/>
          <w:color w:val="000000" w:themeColor="text1"/>
        </w:rPr>
        <w:t>capital allocation</w:t>
      </w:r>
      <w:r w:rsidR="005B07CD">
        <w:rPr>
          <w:rFonts w:ascii="Cambria" w:hAnsi="Cambria"/>
          <w:color w:val="000000" w:themeColor="text1"/>
        </w:rPr>
        <w:t>.</w:t>
      </w:r>
    </w:p>
    <w:p w14:paraId="60544EB8" w14:textId="77777777" w:rsidR="005B07CD" w:rsidRPr="00BB09CD" w:rsidRDefault="005B07CD" w:rsidP="00BB09CD">
      <w:pPr>
        <w:rPr>
          <w:rFonts w:ascii="Cambria" w:hAnsi="Cambria"/>
          <w:color w:val="000000" w:themeColor="text1"/>
        </w:rPr>
      </w:pPr>
    </w:p>
    <w:p w14:paraId="2ABF8455" w14:textId="5C407F3C" w:rsidR="00BB09CD" w:rsidRPr="00584DDC" w:rsidRDefault="00BB09CD" w:rsidP="00BB09CD">
      <w:pPr>
        <w:rPr>
          <w:rFonts w:ascii="Cambria" w:hAnsi="Cambria"/>
          <w:color w:val="000000" w:themeColor="text1"/>
        </w:rPr>
      </w:pPr>
      <w:r w:rsidRPr="00BB09CD">
        <w:rPr>
          <w:rFonts w:ascii="Cambria" w:hAnsi="Cambria"/>
          <w:b/>
          <w:color w:val="000000" w:themeColor="text1"/>
        </w:rPr>
        <w:t>Double default:</w:t>
      </w:r>
      <w:r w:rsidRPr="00BB09CD">
        <w:rPr>
          <w:rFonts w:ascii="Cambria" w:hAnsi="Cambria"/>
          <w:color w:val="000000" w:themeColor="text1"/>
        </w:rPr>
        <w:t xml:space="preserve"> In our CCR model we have not considered the existence of correlati</w:t>
      </w:r>
      <w:r>
        <w:rPr>
          <w:rFonts w:ascii="Cambria" w:hAnsi="Cambria"/>
          <w:color w:val="000000" w:themeColor="text1"/>
        </w:rPr>
        <w:t xml:space="preserve">on between the counterparty and </w:t>
      </w:r>
      <w:r w:rsidRPr="00BB09CD">
        <w:rPr>
          <w:rFonts w:ascii="Cambria" w:hAnsi="Cambria"/>
          <w:color w:val="000000" w:themeColor="text1"/>
        </w:rPr>
        <w:t>the</w:t>
      </w:r>
      <w:r>
        <w:rPr>
          <w:rFonts w:ascii="Cambria" w:hAnsi="Cambria"/>
          <w:color w:val="000000" w:themeColor="text1"/>
        </w:rPr>
        <w:t xml:space="preserve"> </w:t>
      </w:r>
      <w:r w:rsidRPr="00BB09CD">
        <w:rPr>
          <w:rFonts w:ascii="Cambria" w:hAnsi="Cambria"/>
          <w:color w:val="000000" w:themeColor="text1"/>
        </w:rPr>
        <w:t>reference entity in the CDSs. In practice in the extreme market conditions default correlation becomes high which impacts</w:t>
      </w:r>
      <w:r>
        <w:rPr>
          <w:rFonts w:ascii="Cambria" w:hAnsi="Cambria"/>
          <w:color w:val="000000" w:themeColor="text1"/>
        </w:rPr>
        <w:t xml:space="preserve"> </w:t>
      </w:r>
      <w:r w:rsidRPr="00BB09CD">
        <w:rPr>
          <w:rFonts w:ascii="Cambria" w:hAnsi="Cambria"/>
          <w:color w:val="000000" w:themeColor="text1"/>
        </w:rPr>
        <w:t>the default risk capital allocation. The double default has been considered in the Basel III framework but it has not been</w:t>
      </w:r>
      <w:r>
        <w:rPr>
          <w:rFonts w:ascii="Cambria" w:hAnsi="Cambria"/>
          <w:color w:val="000000" w:themeColor="text1"/>
        </w:rPr>
        <w:t xml:space="preserve"> </w:t>
      </w:r>
      <w:proofErr w:type="spellStart"/>
      <w:r>
        <w:rPr>
          <w:rFonts w:ascii="Cambria" w:hAnsi="Cambria"/>
          <w:color w:val="000000" w:themeColor="text1"/>
        </w:rPr>
        <w:t>z</w:t>
      </w:r>
      <w:r w:rsidRPr="00BB09CD">
        <w:rPr>
          <w:rFonts w:ascii="Cambria" w:hAnsi="Cambria"/>
          <w:color w:val="000000" w:themeColor="text1"/>
        </w:rPr>
        <w:t>included</w:t>
      </w:r>
      <w:proofErr w:type="spellEnd"/>
      <w:r w:rsidRPr="00BB09CD">
        <w:rPr>
          <w:rFonts w:ascii="Cambria" w:hAnsi="Cambria"/>
          <w:color w:val="000000" w:themeColor="text1"/>
        </w:rPr>
        <w:t xml:space="preserve"> in our models.</w:t>
      </w:r>
    </w:p>
    <w:sectPr w:rsidR="00BB09CD" w:rsidRPr="00584DDC" w:rsidSect="00A20C5E">
      <w:headerReference w:type="even" r:id="rId17"/>
      <w:headerReference w:type="default" r:id="rId18"/>
      <w:footerReference w:type="default" r:id="rId19"/>
      <w:headerReference w:type="first" r:id="rId20"/>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5B07CD" w:rsidRDefault="005B07CD">
      <w:pPr>
        <w:spacing w:line="240" w:lineRule="auto"/>
      </w:pPr>
      <w:r>
        <w:separator/>
      </w:r>
    </w:p>
  </w:endnote>
  <w:endnote w:type="continuationSeparator" w:id="0">
    <w:p w14:paraId="141BED97" w14:textId="77777777" w:rsidR="005B07CD" w:rsidRDefault="005B0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5B07CD" w:rsidRDefault="005B07CD">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5B07CD" w:rsidRDefault="005B07CD">
      <w:pPr>
        <w:spacing w:line="240" w:lineRule="auto"/>
      </w:pPr>
      <w:r>
        <w:separator/>
      </w:r>
    </w:p>
  </w:footnote>
  <w:footnote w:type="continuationSeparator" w:id="0">
    <w:p w14:paraId="53CF6D0C" w14:textId="77777777" w:rsidR="005B07CD" w:rsidRDefault="005B07C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5B07CD" w:rsidRDefault="005B07CD">
    <w:pPr>
      <w:pStyle w:val="Header"/>
    </w:pPr>
  </w:p>
  <w:p w14:paraId="533C18F8" w14:textId="77777777" w:rsidR="005B07CD" w:rsidRDefault="005B07C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5B07CD"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5B07CD" w:rsidRDefault="005B07CD">
          <w:pPr>
            <w:pStyle w:val="Date-Continued"/>
          </w:pPr>
          <w:r>
            <w:t>July 2016</w:t>
          </w:r>
        </w:p>
      </w:tc>
      <w:sdt>
        <w:sdtPr>
          <w:id w:val="14677939"/>
          <w:placeholder>
            <w:docPart w:val="AEBE3D586E6BBA40B9A31AB3AC76FFF6"/>
          </w:placeholder>
        </w:sdtPr>
        <w:sdtContent>
          <w:tc>
            <w:tcPr>
              <w:tcW w:w="5016" w:type="dxa"/>
            </w:tcPr>
            <w:p w14:paraId="66F197D6" w14:textId="77777777" w:rsidR="005B07CD" w:rsidRDefault="005B07CD"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5B07CD" w:rsidRDefault="005B07CD" w:rsidP="00F141C1">
              <w:pPr>
                <w:pStyle w:val="Header-Continued"/>
              </w:pPr>
              <w:r>
                <w:t>report</w:t>
              </w:r>
            </w:p>
          </w:tc>
        </w:sdtContent>
      </w:sdt>
    </w:tr>
    <w:tr w:rsidR="005B07CD"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5B07CD" w:rsidRDefault="005B07CD"/>
      </w:tc>
      <w:tc>
        <w:tcPr>
          <w:tcW w:w="5016" w:type="dxa"/>
        </w:tcPr>
        <w:p w14:paraId="106F90BD" w14:textId="77777777" w:rsidR="005B07CD" w:rsidRDefault="005B07CD"/>
      </w:tc>
      <w:tc>
        <w:tcPr>
          <w:tcW w:w="1509" w:type="dxa"/>
        </w:tcPr>
        <w:p w14:paraId="231054F0" w14:textId="77777777" w:rsidR="005B07CD" w:rsidRDefault="005B07CD">
          <w:pPr>
            <w:pStyle w:val="Page"/>
          </w:pPr>
          <w:r>
            <w:t xml:space="preserve">Page </w:t>
          </w:r>
          <w:r>
            <w:fldChar w:fldCharType="begin"/>
          </w:r>
          <w:r>
            <w:instrText xml:space="preserve"> page </w:instrText>
          </w:r>
          <w:r>
            <w:fldChar w:fldCharType="separate"/>
          </w:r>
          <w:r w:rsidR="008C6D1C">
            <w:rPr>
              <w:noProof/>
            </w:rPr>
            <w:t>3</w:t>
          </w:r>
          <w:r>
            <w:rPr>
              <w:noProof/>
            </w:rPr>
            <w:fldChar w:fldCharType="end"/>
          </w:r>
        </w:p>
      </w:tc>
    </w:tr>
    <w:tr w:rsidR="005B07CD"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5B07CD" w:rsidRDefault="005B07CD"/>
      </w:tc>
      <w:tc>
        <w:tcPr>
          <w:tcW w:w="5016" w:type="dxa"/>
        </w:tcPr>
        <w:p w14:paraId="36DE3F0A" w14:textId="77777777" w:rsidR="005B07CD" w:rsidRDefault="005B07CD"/>
      </w:tc>
      <w:tc>
        <w:tcPr>
          <w:tcW w:w="1509" w:type="dxa"/>
        </w:tcPr>
        <w:p w14:paraId="0725405F" w14:textId="77777777" w:rsidR="005B07CD" w:rsidRDefault="005B07CD"/>
      </w:tc>
    </w:tr>
  </w:tbl>
  <w:p w14:paraId="514ADF31" w14:textId="77777777" w:rsidR="005B07CD" w:rsidRDefault="005B07C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5B07CD"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5B07CD" w:rsidRDefault="005B07CD">
          <w:pPr>
            <w:pStyle w:val="Header"/>
          </w:pPr>
        </w:p>
      </w:tc>
      <w:tc>
        <w:tcPr>
          <w:tcW w:w="2500" w:type="pct"/>
          <w:tcBorders>
            <w:bottom w:val="none" w:sz="0" w:space="0" w:color="auto"/>
          </w:tcBorders>
        </w:tcPr>
        <w:p w14:paraId="4A5C5A13" w14:textId="77777777" w:rsidR="005B07CD" w:rsidRDefault="005B07CD">
          <w:pPr>
            <w:pStyle w:val="Header"/>
          </w:pPr>
        </w:p>
      </w:tc>
    </w:tr>
  </w:tbl>
  <w:p w14:paraId="7B6B9C9F" w14:textId="77777777" w:rsidR="005B07CD" w:rsidRDefault="005B07CD">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45494"/>
    <w:rsid w:val="0008561F"/>
    <w:rsid w:val="000A3B2A"/>
    <w:rsid w:val="000C0EA1"/>
    <w:rsid w:val="000E13AE"/>
    <w:rsid w:val="000E2423"/>
    <w:rsid w:val="000F171B"/>
    <w:rsid w:val="001023C9"/>
    <w:rsid w:val="00123B83"/>
    <w:rsid w:val="00133150"/>
    <w:rsid w:val="00185D9A"/>
    <w:rsid w:val="001A370A"/>
    <w:rsid w:val="001C419D"/>
    <w:rsid w:val="001D0116"/>
    <w:rsid w:val="001F1DF9"/>
    <w:rsid w:val="001F347E"/>
    <w:rsid w:val="002076DE"/>
    <w:rsid w:val="002621CD"/>
    <w:rsid w:val="00266316"/>
    <w:rsid w:val="002C32A8"/>
    <w:rsid w:val="002D3E5A"/>
    <w:rsid w:val="002D492B"/>
    <w:rsid w:val="00314158"/>
    <w:rsid w:val="0034542E"/>
    <w:rsid w:val="0035255B"/>
    <w:rsid w:val="0036367B"/>
    <w:rsid w:val="00390F5E"/>
    <w:rsid w:val="003E566B"/>
    <w:rsid w:val="00401F3E"/>
    <w:rsid w:val="004169F9"/>
    <w:rsid w:val="00423377"/>
    <w:rsid w:val="0044105F"/>
    <w:rsid w:val="00457FC5"/>
    <w:rsid w:val="00465D2F"/>
    <w:rsid w:val="004904DD"/>
    <w:rsid w:val="00491F43"/>
    <w:rsid w:val="004D0977"/>
    <w:rsid w:val="004E155E"/>
    <w:rsid w:val="00504C29"/>
    <w:rsid w:val="0052061A"/>
    <w:rsid w:val="00553A2E"/>
    <w:rsid w:val="00584DDC"/>
    <w:rsid w:val="005B07CD"/>
    <w:rsid w:val="005C7D20"/>
    <w:rsid w:val="005F0AFC"/>
    <w:rsid w:val="00614343"/>
    <w:rsid w:val="006447F6"/>
    <w:rsid w:val="0067195E"/>
    <w:rsid w:val="00672C3A"/>
    <w:rsid w:val="00674B3A"/>
    <w:rsid w:val="00675C16"/>
    <w:rsid w:val="006B5F55"/>
    <w:rsid w:val="006B6B9F"/>
    <w:rsid w:val="006D0B17"/>
    <w:rsid w:val="00703E03"/>
    <w:rsid w:val="00715EB8"/>
    <w:rsid w:val="00724C8F"/>
    <w:rsid w:val="007264FC"/>
    <w:rsid w:val="00732F50"/>
    <w:rsid w:val="00743AC8"/>
    <w:rsid w:val="0075111E"/>
    <w:rsid w:val="007577F3"/>
    <w:rsid w:val="00770C22"/>
    <w:rsid w:val="00792525"/>
    <w:rsid w:val="007B348F"/>
    <w:rsid w:val="007D3532"/>
    <w:rsid w:val="008115C3"/>
    <w:rsid w:val="008143F4"/>
    <w:rsid w:val="008321D7"/>
    <w:rsid w:val="00876301"/>
    <w:rsid w:val="00881E55"/>
    <w:rsid w:val="008B2CFB"/>
    <w:rsid w:val="008C6D1C"/>
    <w:rsid w:val="008D5B2E"/>
    <w:rsid w:val="008F3522"/>
    <w:rsid w:val="009105D6"/>
    <w:rsid w:val="009109D0"/>
    <w:rsid w:val="00917B01"/>
    <w:rsid w:val="00920301"/>
    <w:rsid w:val="00934201"/>
    <w:rsid w:val="009352F2"/>
    <w:rsid w:val="009A05C2"/>
    <w:rsid w:val="009C7B6D"/>
    <w:rsid w:val="00A04519"/>
    <w:rsid w:val="00A06C5A"/>
    <w:rsid w:val="00A20C5E"/>
    <w:rsid w:val="00A66E11"/>
    <w:rsid w:val="00A746CD"/>
    <w:rsid w:val="00AC01BF"/>
    <w:rsid w:val="00AE0179"/>
    <w:rsid w:val="00B16B3C"/>
    <w:rsid w:val="00BB09CD"/>
    <w:rsid w:val="00BB2F31"/>
    <w:rsid w:val="00BB798C"/>
    <w:rsid w:val="00BC0C0A"/>
    <w:rsid w:val="00BE6F1D"/>
    <w:rsid w:val="00C00A57"/>
    <w:rsid w:val="00C12C04"/>
    <w:rsid w:val="00C14047"/>
    <w:rsid w:val="00C44A2C"/>
    <w:rsid w:val="00C54F00"/>
    <w:rsid w:val="00C938E8"/>
    <w:rsid w:val="00CA265E"/>
    <w:rsid w:val="00CE7A6B"/>
    <w:rsid w:val="00CF1DDE"/>
    <w:rsid w:val="00CF2F5F"/>
    <w:rsid w:val="00D03398"/>
    <w:rsid w:val="00D144C3"/>
    <w:rsid w:val="00D30372"/>
    <w:rsid w:val="00D647F6"/>
    <w:rsid w:val="00D87A1F"/>
    <w:rsid w:val="00D92AA3"/>
    <w:rsid w:val="00D96C43"/>
    <w:rsid w:val="00DA6BC3"/>
    <w:rsid w:val="00DE4492"/>
    <w:rsid w:val="00E0612C"/>
    <w:rsid w:val="00E2493E"/>
    <w:rsid w:val="00E43087"/>
    <w:rsid w:val="00E5425E"/>
    <w:rsid w:val="00E57B1E"/>
    <w:rsid w:val="00E95607"/>
    <w:rsid w:val="00EC19A7"/>
    <w:rsid w:val="00EE11C1"/>
    <w:rsid w:val="00EE2EC3"/>
    <w:rsid w:val="00F07209"/>
    <w:rsid w:val="00F13076"/>
    <w:rsid w:val="00F141C1"/>
    <w:rsid w:val="00F448FC"/>
    <w:rsid w:val="00F53CD9"/>
    <w:rsid w:val="00F66B3E"/>
    <w:rsid w:val="00F8072D"/>
    <w:rsid w:val="00FB405F"/>
    <w:rsid w:val="00FC6EC2"/>
    <w:rsid w:val="00FD1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43AC8"/>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43AC8"/>
    <w:pPr>
      <w:jc w:val="center"/>
    </w:pPr>
    <w:rPr>
      <w:rFonts w:ascii="Calibri" w:hAnsi="Calibri"/>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474494268">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793594721">
      <w:bodyDiv w:val="1"/>
      <w:marLeft w:val="0"/>
      <w:marRight w:val="0"/>
      <w:marTop w:val="0"/>
      <w:marBottom w:val="0"/>
      <w:divBdr>
        <w:top w:val="none" w:sz="0" w:space="0" w:color="auto"/>
        <w:left w:val="none" w:sz="0" w:space="0" w:color="auto"/>
        <w:bottom w:val="none" w:sz="0" w:space="0" w:color="auto"/>
        <w:right w:val="none" w:sz="0" w:space="0" w:color="auto"/>
      </w:divBdr>
    </w:div>
    <w:div w:id="883180635">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599681661">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64372083">
      <w:bodyDiv w:val="1"/>
      <w:marLeft w:val="0"/>
      <w:marRight w:val="0"/>
      <w:marTop w:val="0"/>
      <w:marBottom w:val="0"/>
      <w:divBdr>
        <w:top w:val="none" w:sz="0" w:space="0" w:color="auto"/>
        <w:left w:val="none" w:sz="0" w:space="0" w:color="auto"/>
        <w:bottom w:val="none" w:sz="0" w:space="0" w:color="auto"/>
        <w:right w:val="none" w:sz="0" w:space="0" w:color="auto"/>
      </w:divBdr>
    </w:div>
    <w:div w:id="1791777246">
      <w:bodyDiv w:val="1"/>
      <w:marLeft w:val="0"/>
      <w:marRight w:val="0"/>
      <w:marTop w:val="0"/>
      <w:marBottom w:val="0"/>
      <w:divBdr>
        <w:top w:val="none" w:sz="0" w:space="0" w:color="auto"/>
        <w:left w:val="none" w:sz="0" w:space="0" w:color="auto"/>
        <w:bottom w:val="none" w:sz="0" w:space="0" w:color="auto"/>
        <w:right w:val="none" w:sz="0" w:space="0" w:color="auto"/>
      </w:divBdr>
    </w:div>
    <w:div w:id="1802648480">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59388958">
      <w:bodyDiv w:val="1"/>
      <w:marLeft w:val="0"/>
      <w:marRight w:val="0"/>
      <w:marTop w:val="0"/>
      <w:marBottom w:val="0"/>
      <w:divBdr>
        <w:top w:val="none" w:sz="0" w:space="0" w:color="auto"/>
        <w:left w:val="none" w:sz="0" w:space="0" w:color="auto"/>
        <w:bottom w:val="none" w:sz="0" w:space="0" w:color="auto"/>
        <w:right w:val="none" w:sz="0" w:space="0" w:color="auto"/>
      </w:divBdr>
      <w:divsChild>
        <w:div w:id="1628386728">
          <w:marLeft w:val="0"/>
          <w:marRight w:val="0"/>
          <w:marTop w:val="0"/>
          <w:marBottom w:val="0"/>
          <w:divBdr>
            <w:top w:val="none" w:sz="0" w:space="0" w:color="auto"/>
            <w:left w:val="none" w:sz="0" w:space="0" w:color="auto"/>
            <w:bottom w:val="none" w:sz="0" w:space="0" w:color="auto"/>
            <w:right w:val="none" w:sz="0" w:space="0" w:color="auto"/>
          </w:divBdr>
        </w:div>
        <w:div w:id="109014962">
          <w:marLeft w:val="0"/>
          <w:marRight w:val="0"/>
          <w:marTop w:val="0"/>
          <w:marBottom w:val="0"/>
          <w:divBdr>
            <w:top w:val="none" w:sz="0" w:space="0" w:color="auto"/>
            <w:left w:val="none" w:sz="0" w:space="0" w:color="auto"/>
            <w:bottom w:val="none" w:sz="0" w:space="0" w:color="auto"/>
            <w:right w:val="none" w:sz="0" w:space="0" w:color="auto"/>
          </w:divBdr>
        </w:div>
        <w:div w:id="592472592">
          <w:marLeft w:val="0"/>
          <w:marRight w:val="0"/>
          <w:marTop w:val="0"/>
          <w:marBottom w:val="0"/>
          <w:divBdr>
            <w:top w:val="none" w:sz="0" w:space="0" w:color="auto"/>
            <w:left w:val="none" w:sz="0" w:space="0" w:color="auto"/>
            <w:bottom w:val="none" w:sz="0" w:space="0" w:color="auto"/>
            <w:right w:val="none" w:sz="0" w:space="0" w:color="auto"/>
          </w:divBdr>
        </w:div>
        <w:div w:id="440731478">
          <w:marLeft w:val="0"/>
          <w:marRight w:val="0"/>
          <w:marTop w:val="0"/>
          <w:marBottom w:val="0"/>
          <w:divBdr>
            <w:top w:val="none" w:sz="0" w:space="0" w:color="auto"/>
            <w:left w:val="none" w:sz="0" w:space="0" w:color="auto"/>
            <w:bottom w:val="none" w:sz="0" w:space="0" w:color="auto"/>
            <w:right w:val="none" w:sz="0" w:space="0" w:color="auto"/>
          </w:divBdr>
        </w:div>
        <w:div w:id="1974752644">
          <w:marLeft w:val="0"/>
          <w:marRight w:val="0"/>
          <w:marTop w:val="0"/>
          <w:marBottom w:val="0"/>
          <w:divBdr>
            <w:top w:val="none" w:sz="0" w:space="0" w:color="auto"/>
            <w:left w:val="none" w:sz="0" w:space="0" w:color="auto"/>
            <w:bottom w:val="none" w:sz="0" w:space="0" w:color="auto"/>
            <w:right w:val="none" w:sz="0" w:space="0" w:color="auto"/>
          </w:divBdr>
        </w:div>
        <w:div w:id="1122647914">
          <w:marLeft w:val="0"/>
          <w:marRight w:val="0"/>
          <w:marTop w:val="0"/>
          <w:marBottom w:val="0"/>
          <w:divBdr>
            <w:top w:val="none" w:sz="0" w:space="0" w:color="auto"/>
            <w:left w:val="none" w:sz="0" w:space="0" w:color="auto"/>
            <w:bottom w:val="none" w:sz="0" w:space="0" w:color="auto"/>
            <w:right w:val="none" w:sz="0" w:space="0" w:color="auto"/>
          </w:divBdr>
        </w:div>
        <w:div w:id="1635872873">
          <w:marLeft w:val="0"/>
          <w:marRight w:val="0"/>
          <w:marTop w:val="0"/>
          <w:marBottom w:val="0"/>
          <w:divBdr>
            <w:top w:val="none" w:sz="0" w:space="0" w:color="auto"/>
            <w:left w:val="none" w:sz="0" w:space="0" w:color="auto"/>
            <w:bottom w:val="none" w:sz="0" w:space="0" w:color="auto"/>
            <w:right w:val="none" w:sz="0" w:space="0" w:color="auto"/>
          </w:divBdr>
        </w:div>
        <w:div w:id="529531499">
          <w:marLeft w:val="0"/>
          <w:marRight w:val="0"/>
          <w:marTop w:val="0"/>
          <w:marBottom w:val="0"/>
          <w:divBdr>
            <w:top w:val="none" w:sz="0" w:space="0" w:color="auto"/>
            <w:left w:val="none" w:sz="0" w:space="0" w:color="auto"/>
            <w:bottom w:val="none" w:sz="0" w:space="0" w:color="auto"/>
            <w:right w:val="none" w:sz="0" w:space="0" w:color="auto"/>
          </w:divBdr>
        </w:div>
        <w:div w:id="1338925789">
          <w:marLeft w:val="0"/>
          <w:marRight w:val="0"/>
          <w:marTop w:val="0"/>
          <w:marBottom w:val="0"/>
          <w:divBdr>
            <w:top w:val="none" w:sz="0" w:space="0" w:color="auto"/>
            <w:left w:val="none" w:sz="0" w:space="0" w:color="auto"/>
            <w:bottom w:val="none" w:sz="0" w:space="0" w:color="auto"/>
            <w:right w:val="none" w:sz="0" w:space="0" w:color="auto"/>
          </w:divBdr>
        </w:div>
        <w:div w:id="1756172467">
          <w:marLeft w:val="0"/>
          <w:marRight w:val="0"/>
          <w:marTop w:val="0"/>
          <w:marBottom w:val="0"/>
          <w:divBdr>
            <w:top w:val="none" w:sz="0" w:space="0" w:color="auto"/>
            <w:left w:val="none" w:sz="0" w:space="0" w:color="auto"/>
            <w:bottom w:val="none" w:sz="0" w:space="0" w:color="auto"/>
            <w:right w:val="none" w:sz="0" w:space="0" w:color="auto"/>
          </w:divBdr>
        </w:div>
        <w:div w:id="774440441">
          <w:marLeft w:val="0"/>
          <w:marRight w:val="0"/>
          <w:marTop w:val="0"/>
          <w:marBottom w:val="0"/>
          <w:divBdr>
            <w:top w:val="none" w:sz="0" w:space="0" w:color="auto"/>
            <w:left w:val="none" w:sz="0" w:space="0" w:color="auto"/>
            <w:bottom w:val="none" w:sz="0" w:space="0" w:color="auto"/>
            <w:right w:val="none" w:sz="0" w:space="0" w:color="auto"/>
          </w:divBdr>
        </w:div>
        <w:div w:id="418408973">
          <w:marLeft w:val="0"/>
          <w:marRight w:val="0"/>
          <w:marTop w:val="0"/>
          <w:marBottom w:val="0"/>
          <w:divBdr>
            <w:top w:val="none" w:sz="0" w:space="0" w:color="auto"/>
            <w:left w:val="none" w:sz="0" w:space="0" w:color="auto"/>
            <w:bottom w:val="none" w:sz="0" w:space="0" w:color="auto"/>
            <w:right w:val="none" w:sz="0" w:space="0" w:color="auto"/>
          </w:divBdr>
        </w:div>
        <w:div w:id="647444517">
          <w:marLeft w:val="0"/>
          <w:marRight w:val="0"/>
          <w:marTop w:val="0"/>
          <w:marBottom w:val="0"/>
          <w:divBdr>
            <w:top w:val="none" w:sz="0" w:space="0" w:color="auto"/>
            <w:left w:val="none" w:sz="0" w:space="0" w:color="auto"/>
            <w:bottom w:val="none" w:sz="0" w:space="0" w:color="auto"/>
            <w:right w:val="none" w:sz="0" w:space="0" w:color="auto"/>
          </w:divBdr>
        </w:div>
        <w:div w:id="131677323">
          <w:marLeft w:val="0"/>
          <w:marRight w:val="0"/>
          <w:marTop w:val="0"/>
          <w:marBottom w:val="0"/>
          <w:divBdr>
            <w:top w:val="none" w:sz="0" w:space="0" w:color="auto"/>
            <w:left w:val="none" w:sz="0" w:space="0" w:color="auto"/>
            <w:bottom w:val="none" w:sz="0" w:space="0" w:color="auto"/>
            <w:right w:val="none" w:sz="0" w:space="0" w:color="auto"/>
          </w:divBdr>
        </w:div>
        <w:div w:id="1037315069">
          <w:marLeft w:val="0"/>
          <w:marRight w:val="0"/>
          <w:marTop w:val="0"/>
          <w:marBottom w:val="0"/>
          <w:divBdr>
            <w:top w:val="none" w:sz="0" w:space="0" w:color="auto"/>
            <w:left w:val="none" w:sz="0" w:space="0" w:color="auto"/>
            <w:bottom w:val="none" w:sz="0" w:space="0" w:color="auto"/>
            <w:right w:val="none" w:sz="0" w:space="0" w:color="auto"/>
          </w:divBdr>
        </w:div>
        <w:div w:id="481315369">
          <w:marLeft w:val="0"/>
          <w:marRight w:val="0"/>
          <w:marTop w:val="0"/>
          <w:marBottom w:val="0"/>
          <w:divBdr>
            <w:top w:val="none" w:sz="0" w:space="0" w:color="auto"/>
            <w:left w:val="none" w:sz="0" w:space="0" w:color="auto"/>
            <w:bottom w:val="none" w:sz="0" w:space="0" w:color="auto"/>
            <w:right w:val="none" w:sz="0" w:space="0" w:color="auto"/>
          </w:divBdr>
        </w:div>
        <w:div w:id="784235507">
          <w:marLeft w:val="0"/>
          <w:marRight w:val="0"/>
          <w:marTop w:val="0"/>
          <w:marBottom w:val="0"/>
          <w:divBdr>
            <w:top w:val="none" w:sz="0" w:space="0" w:color="auto"/>
            <w:left w:val="none" w:sz="0" w:space="0" w:color="auto"/>
            <w:bottom w:val="none" w:sz="0" w:space="0" w:color="auto"/>
            <w:right w:val="none" w:sz="0" w:space="0" w:color="auto"/>
          </w:divBdr>
        </w:div>
        <w:div w:id="1044132693">
          <w:marLeft w:val="0"/>
          <w:marRight w:val="0"/>
          <w:marTop w:val="0"/>
          <w:marBottom w:val="0"/>
          <w:divBdr>
            <w:top w:val="none" w:sz="0" w:space="0" w:color="auto"/>
            <w:left w:val="none" w:sz="0" w:space="0" w:color="auto"/>
            <w:bottom w:val="none" w:sz="0" w:space="0" w:color="auto"/>
            <w:right w:val="none" w:sz="0" w:space="0" w:color="auto"/>
          </w:divBdr>
        </w:div>
        <w:div w:id="1314287789">
          <w:marLeft w:val="0"/>
          <w:marRight w:val="0"/>
          <w:marTop w:val="0"/>
          <w:marBottom w:val="0"/>
          <w:divBdr>
            <w:top w:val="none" w:sz="0" w:space="0" w:color="auto"/>
            <w:left w:val="none" w:sz="0" w:space="0" w:color="auto"/>
            <w:bottom w:val="none" w:sz="0" w:space="0" w:color="auto"/>
            <w:right w:val="none" w:sz="0" w:space="0" w:color="auto"/>
          </w:divBdr>
        </w:div>
        <w:div w:id="1252468651">
          <w:marLeft w:val="0"/>
          <w:marRight w:val="0"/>
          <w:marTop w:val="0"/>
          <w:marBottom w:val="0"/>
          <w:divBdr>
            <w:top w:val="none" w:sz="0" w:space="0" w:color="auto"/>
            <w:left w:val="none" w:sz="0" w:space="0" w:color="auto"/>
            <w:bottom w:val="none" w:sz="0" w:space="0" w:color="auto"/>
            <w:right w:val="none" w:sz="0" w:space="0" w:color="auto"/>
          </w:divBdr>
        </w:div>
        <w:div w:id="1306742038">
          <w:marLeft w:val="0"/>
          <w:marRight w:val="0"/>
          <w:marTop w:val="0"/>
          <w:marBottom w:val="0"/>
          <w:divBdr>
            <w:top w:val="none" w:sz="0" w:space="0" w:color="auto"/>
            <w:left w:val="none" w:sz="0" w:space="0" w:color="auto"/>
            <w:bottom w:val="none" w:sz="0" w:space="0" w:color="auto"/>
            <w:right w:val="none" w:sz="0" w:space="0" w:color="auto"/>
          </w:divBdr>
        </w:div>
      </w:divsChild>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 w:id="19959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3C8925A9-1C88-434B-9112-D536D3701889}" type="presOf" srcId="{890A1064-FD6C-214C-BCA9-252CC7EDCF92}" destId="{18651BF8-1F38-BB4A-BE52-84A77DB905C6}"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882402AB-DFAB-4A9B-9ECC-A8D7CD476D19}" type="presOf" srcId="{40E502C3-6102-F542-82F2-5069A0D7B6AC}" destId="{56196267-AF40-2F40-9CB6-92F53ECF4149}" srcOrd="0" destOrd="0" presId="urn:microsoft.com/office/officeart/2005/8/layout/hierarchy4"/>
    <dgm:cxn modelId="{9602BED9-6F40-4DAB-92C6-AC53BE92C0D8}" type="presOf" srcId="{D45CEE4E-F403-684B-9EFD-C03047B1608A}" destId="{318DA991-7F8F-AB41-98C2-7E23E0D0AF2D}"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8B703BD4-56C4-40DE-B68B-51DCEC6979A6}" type="presOf" srcId="{11D6F2E8-55A8-6742-A9B5-D8609B8B288B}" destId="{4A367B90-D384-B440-AB27-9D7C7D3611A2}" srcOrd="0" destOrd="0" presId="urn:microsoft.com/office/officeart/2005/8/layout/hierarchy4"/>
    <dgm:cxn modelId="{71616A0E-E70F-4505-BC12-A5D62A24EE68}" type="presOf" srcId="{67F3FDC4-D809-4441-98DD-8B649E45C347}" destId="{AAAB5DFB-65BB-2741-961A-BE3246A07D35}"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31998D11-C825-405C-A54A-F26B43A72CBA}" type="presOf" srcId="{BFAEEE13-625B-6A42-A617-7C00017A5C11}" destId="{B2E6D841-0079-7E40-9EFB-A8BB889E48CD}"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6F4817A3-3A70-4310-82E1-96D8F5F12775}" type="presOf" srcId="{601DDA4E-70ED-D94E-8133-F370EECE321B}" destId="{46F8B180-2E72-AE43-8900-5F261E1B84BD}"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520E6336-3BD3-4860-9F27-34BFCEBBF9EC}" type="presOf" srcId="{3ADD2A6B-6DBA-F84F-A052-6D2C4035D1E8}" destId="{88A98ACF-C5E5-6148-A094-7F80DCE2676A}"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0A29E4E8-A4C7-41CD-83B2-AE5C4898219C}" type="presOf" srcId="{F9D81329-6E1F-2546-B1A5-635288157189}" destId="{5AF8245B-8188-8744-8EA9-322D3C8F2B05}" srcOrd="0" destOrd="0" presId="urn:microsoft.com/office/officeart/2005/8/layout/hierarchy4"/>
    <dgm:cxn modelId="{BC6D373D-D870-43D1-AE80-F20C14F86D52}"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65D73087-EE1C-44D7-AB86-52838E1B8A39}" type="presOf" srcId="{28F0AE23-16AF-DA46-AC5D-5D197E1A1E96}" destId="{9A5363E9-F583-014E-9114-A649CF10A552}"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73C455A7-50A2-4A3C-A5E2-233E6B2136EB}" type="presOf" srcId="{0F665056-1E4E-8E4F-899D-A9F09EF35F17}" destId="{D0E0FB2A-3CA6-AA49-9279-D6854D929E6A}"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CA9CB459-0DA9-4447-8918-08F4A8328CF5}" type="presOf" srcId="{66081951-F593-E14D-85B4-EA25F72BD19A}" destId="{5EC43990-8C8F-DD4C-99AA-51ED40F432EF}"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9BF89C47-1CF7-45B1-B375-FF6A71AA2841}" type="presOf" srcId="{2D2DC5BF-6C9E-F841-BD33-368527463C6C}" destId="{289BD9CD-E8D5-AC48-BE4D-EDFF0BC432A7}"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B011EA1B-70EC-48E7-BAB1-3E6E5BEE3077}" type="presOf" srcId="{B569FF41-3782-0E4B-BE1F-984605E1A248}" destId="{90097EEC-766E-7446-83BE-F8B272EF7B58}"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46138"/>
    <w:rsid w:val="00767204"/>
    <w:rsid w:val="008514B4"/>
    <w:rsid w:val="00A15F3E"/>
    <w:rsid w:val="00BC44ED"/>
    <w:rsid w:val="00C32F99"/>
    <w:rsid w:val="00E37821"/>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1926</Words>
  <Characters>10982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Sergio</cp:lastModifiedBy>
  <cp:revision>20</cp:revision>
  <dcterms:created xsi:type="dcterms:W3CDTF">2016-07-10T19:38:00Z</dcterms:created>
  <dcterms:modified xsi:type="dcterms:W3CDTF">2016-07-10T20:19:00Z</dcterms:modified>
  <cp:category/>
</cp:coreProperties>
</file>