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CF1DDE" w14:paraId="5DCA293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59BA5E8D" w14:textId="77777777" w:rsidR="00CF1DDE" w:rsidRDefault="00CF1DDE"/>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A5F1A">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Pr="0008520F" w:rsidRDefault="00E95607">
                  <w:pPr>
                    <w:pStyle w:val="Header-Details"/>
                    <w:rPr>
                      <w:sz w:val="24"/>
                      <w:szCs w:val="20"/>
                    </w:rPr>
                  </w:pPr>
                  <w:r w:rsidRPr="0008520F">
                    <w:rPr>
                      <w:sz w:val="24"/>
                      <w:szCs w:val="20"/>
                    </w:rPr>
                    <w:t>Pantelis Isaiah – 995354593</w:t>
                  </w:r>
                </w:p>
                <w:p w14:paraId="07C36EDC" w14:textId="1EAAEEC4" w:rsidR="00E95607" w:rsidRPr="0008520F" w:rsidRDefault="00E95607">
                  <w:pPr>
                    <w:pStyle w:val="Header-Details"/>
                    <w:rPr>
                      <w:sz w:val="24"/>
                      <w:szCs w:val="20"/>
                      <w:lang w:val="uz-Cyrl-UZ"/>
                    </w:rPr>
                  </w:pPr>
                  <w:r w:rsidRPr="0008520F">
                    <w:rPr>
                      <w:sz w:val="24"/>
                      <w:szCs w:val="20"/>
                      <w:lang w:val="uz-Cyrl-UZ"/>
                    </w:rPr>
                    <w:t>Sergio Ortiz Orendain</w:t>
                  </w:r>
                  <w:r w:rsidR="008F3522" w:rsidRPr="0008520F">
                    <w:rPr>
                      <w:sz w:val="24"/>
                      <w:szCs w:val="20"/>
                      <w:lang w:val="uz-Cyrl-UZ"/>
                    </w:rPr>
                    <w:t xml:space="preserve"> - 1002248533</w:t>
                  </w:r>
                </w:p>
                <w:p w14:paraId="6F80A18B" w14:textId="4A145C1D" w:rsidR="00E95607" w:rsidRPr="0008520F" w:rsidRDefault="00E95607">
                  <w:pPr>
                    <w:pStyle w:val="Header-Details"/>
                    <w:rPr>
                      <w:sz w:val="24"/>
                      <w:szCs w:val="20"/>
                      <w:lang w:val="uz-Cyrl-UZ"/>
                    </w:rPr>
                  </w:pPr>
                  <w:r w:rsidRPr="0008520F">
                    <w:rPr>
                      <w:sz w:val="24"/>
                      <w:szCs w:val="20"/>
                      <w:lang w:val="uz-Cyrl-UZ"/>
                    </w:rPr>
                    <w:t>José Saad Canales</w:t>
                  </w:r>
                  <w:r w:rsidR="004904DD" w:rsidRPr="0008520F">
                    <w:rPr>
                      <w:sz w:val="24"/>
                      <w:szCs w:val="20"/>
                      <w:lang w:val="uz-Cyrl-UZ"/>
                    </w:rPr>
                    <w:t xml:space="preserve"> - 999048392</w:t>
                  </w:r>
                </w:p>
                <w:p w14:paraId="1EA267BE" w14:textId="73BB9E8F" w:rsidR="00E95607" w:rsidRDefault="00E95607">
                  <w:pPr>
                    <w:pStyle w:val="Header-Details"/>
                  </w:pPr>
                  <w:r w:rsidRPr="0008520F">
                    <w:rPr>
                      <w:sz w:val="24"/>
                      <w:szCs w:val="20"/>
                    </w:rPr>
                    <w:t>Ryan Shrott</w:t>
                  </w:r>
                  <w:r w:rsidR="004904DD" w:rsidRPr="0008520F">
                    <w:rPr>
                      <w:sz w:val="24"/>
                      <w:szCs w:val="20"/>
                    </w:rPr>
                    <w:t xml:space="preserve"> - </w:t>
                  </w:r>
                  <w:r w:rsidR="00E43087" w:rsidRPr="0008520F">
                    <w:rPr>
                      <w:sz w:val="24"/>
                      <w:szCs w:val="20"/>
                    </w:rPr>
                    <w:t>998931223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End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End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hAnsiTheme="minorHAnsi"/>
          <w:b w:val="0"/>
          <w:bCs/>
          <w:caps w:val="0"/>
          <w:sz w:val="32"/>
          <w:szCs w:val="22"/>
        </w:rPr>
        <w:id w:val="6002713"/>
        <w:placeholder>
          <w:docPart w:val="D5C2D1EF64E9FD4CA8F05413FED0ACFB"/>
        </w:placeholder>
      </w:sdtPr>
      <w:sdtEndPr>
        <w:rPr>
          <w:bCs w:val="0"/>
          <w:sz w:val="20"/>
        </w:rPr>
      </w:sdtEndPr>
      <w:sdtContent>
        <w:p w14:paraId="6BC63FCF" w14:textId="3A0C7CAA" w:rsidR="006B2F1F" w:rsidRPr="006B2F1F" w:rsidRDefault="006B2F1F">
          <w:pPr>
            <w:pStyle w:val="TOC1"/>
            <w:tabs>
              <w:tab w:val="right" w:leader="dot" w:pos="10070"/>
            </w:tabs>
            <w:rPr>
              <w:rFonts w:asciiTheme="minorHAnsi" w:hAnsiTheme="minorHAnsi"/>
              <w:bCs/>
              <w:sz w:val="32"/>
              <w:szCs w:val="22"/>
            </w:rPr>
          </w:pPr>
          <w:r w:rsidRPr="006B2F1F">
            <w:rPr>
              <w:rFonts w:asciiTheme="minorHAnsi" w:hAnsiTheme="minorHAnsi"/>
              <w:bCs/>
              <w:sz w:val="32"/>
              <w:szCs w:val="22"/>
            </w:rPr>
            <w:t>Table of Contents</w:t>
          </w:r>
        </w:p>
        <w:p w14:paraId="0613A0CD" w14:textId="77777777" w:rsidR="006B2F1F" w:rsidRPr="006B2F1F" w:rsidRDefault="006B2F1F" w:rsidP="006B2F1F"/>
        <w:p w14:paraId="0A8EF2EB" w14:textId="2F8AD140" w:rsidR="006B2F1F" w:rsidRDefault="006B2F1F">
          <w:pPr>
            <w:pStyle w:val="TOC1"/>
            <w:tabs>
              <w:tab w:val="right" w:leader="dot" w:pos="10070"/>
            </w:tabs>
            <w:rPr>
              <w:rFonts w:asciiTheme="minorHAnsi" w:hAnsiTheme="minorHAnsi"/>
              <w:b w:val="0"/>
              <w:caps w:val="0"/>
              <w:noProof/>
              <w:color w:val="auto"/>
              <w:lang w:val="en-GB" w:eastAsia="ja-JP"/>
            </w:rPr>
          </w:pPr>
          <w:r>
            <w:rPr>
              <w:rFonts w:asciiTheme="minorHAnsi" w:hAnsiTheme="minorHAnsi"/>
              <w:bCs/>
              <w:sz w:val="20"/>
              <w:szCs w:val="22"/>
            </w:rPr>
            <w:fldChar w:fldCharType="begin"/>
          </w:r>
          <w:r>
            <w:rPr>
              <w:rFonts w:asciiTheme="minorHAnsi" w:hAnsiTheme="minorHAnsi"/>
              <w:bCs/>
              <w:sz w:val="20"/>
              <w:szCs w:val="22"/>
            </w:rPr>
            <w:instrText xml:space="preserve"> TOC \o "1-1" </w:instrText>
          </w:r>
          <w:r>
            <w:rPr>
              <w:rFonts w:asciiTheme="minorHAnsi" w:hAnsiTheme="minorHAnsi"/>
              <w:bCs/>
              <w:sz w:val="20"/>
              <w:szCs w:val="22"/>
            </w:rPr>
            <w:fldChar w:fldCharType="separate"/>
          </w:r>
          <w:r>
            <w:rPr>
              <w:noProof/>
            </w:rPr>
            <w:t>Portfolio decompositions</w:t>
          </w:r>
          <w:r>
            <w:rPr>
              <w:noProof/>
            </w:rPr>
            <w:tab/>
          </w:r>
          <w:r>
            <w:rPr>
              <w:noProof/>
            </w:rPr>
            <w:fldChar w:fldCharType="begin"/>
          </w:r>
          <w:r>
            <w:rPr>
              <w:noProof/>
            </w:rPr>
            <w:instrText xml:space="preserve"> PAGEREF _Toc330127736 \h </w:instrText>
          </w:r>
          <w:r>
            <w:rPr>
              <w:noProof/>
            </w:rPr>
          </w:r>
          <w:r>
            <w:rPr>
              <w:noProof/>
            </w:rPr>
            <w:fldChar w:fldCharType="separate"/>
          </w:r>
          <w:r>
            <w:rPr>
              <w:noProof/>
            </w:rPr>
            <w:t>2</w:t>
          </w:r>
          <w:r>
            <w:rPr>
              <w:noProof/>
            </w:rPr>
            <w:fldChar w:fldCharType="end"/>
          </w:r>
        </w:p>
        <w:p w14:paraId="2909D30D" w14:textId="77777777" w:rsidR="006B2F1F" w:rsidRDefault="006B2F1F">
          <w:pPr>
            <w:pStyle w:val="TOC1"/>
            <w:tabs>
              <w:tab w:val="right" w:leader="dot" w:pos="10070"/>
            </w:tabs>
            <w:rPr>
              <w:rFonts w:asciiTheme="minorHAnsi" w:hAnsiTheme="minorHAnsi"/>
              <w:b w:val="0"/>
              <w:caps w:val="0"/>
              <w:noProof/>
              <w:color w:val="auto"/>
              <w:lang w:val="en-GB" w:eastAsia="ja-JP"/>
            </w:rPr>
          </w:pPr>
          <w:r w:rsidRPr="00DD1510">
            <w:rPr>
              <w:noProof/>
            </w:rPr>
            <w:t>By asset class and by currency</w:t>
          </w:r>
          <w:r>
            <w:rPr>
              <w:noProof/>
            </w:rPr>
            <w:tab/>
          </w:r>
          <w:r>
            <w:rPr>
              <w:noProof/>
            </w:rPr>
            <w:fldChar w:fldCharType="begin"/>
          </w:r>
          <w:r>
            <w:rPr>
              <w:noProof/>
            </w:rPr>
            <w:instrText xml:space="preserve"> PAGEREF _Toc330127737 \h </w:instrText>
          </w:r>
          <w:r>
            <w:rPr>
              <w:noProof/>
            </w:rPr>
          </w:r>
          <w:r>
            <w:rPr>
              <w:noProof/>
            </w:rPr>
            <w:fldChar w:fldCharType="separate"/>
          </w:r>
          <w:r>
            <w:rPr>
              <w:noProof/>
            </w:rPr>
            <w:t>3</w:t>
          </w:r>
          <w:r>
            <w:rPr>
              <w:noProof/>
            </w:rPr>
            <w:fldChar w:fldCharType="end"/>
          </w:r>
        </w:p>
        <w:p w14:paraId="78F25D9B"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Sensitivities</w:t>
          </w:r>
          <w:r>
            <w:rPr>
              <w:noProof/>
            </w:rPr>
            <w:tab/>
          </w:r>
          <w:r>
            <w:rPr>
              <w:noProof/>
            </w:rPr>
            <w:fldChar w:fldCharType="begin"/>
          </w:r>
          <w:r>
            <w:rPr>
              <w:noProof/>
            </w:rPr>
            <w:instrText xml:space="preserve"> PAGEREF _Toc330127738 \h </w:instrText>
          </w:r>
          <w:r>
            <w:rPr>
              <w:noProof/>
            </w:rPr>
          </w:r>
          <w:r>
            <w:rPr>
              <w:noProof/>
            </w:rPr>
            <w:fldChar w:fldCharType="separate"/>
          </w:r>
          <w:r>
            <w:rPr>
              <w:noProof/>
            </w:rPr>
            <w:t>4</w:t>
          </w:r>
          <w:r>
            <w:rPr>
              <w:noProof/>
            </w:rPr>
            <w:fldChar w:fldCharType="end"/>
          </w:r>
        </w:p>
        <w:p w14:paraId="04FDF2E1"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Portfolio Sensitivities</w:t>
          </w:r>
          <w:r>
            <w:rPr>
              <w:noProof/>
            </w:rPr>
            <w:tab/>
          </w:r>
          <w:r>
            <w:rPr>
              <w:noProof/>
            </w:rPr>
            <w:fldChar w:fldCharType="begin"/>
          </w:r>
          <w:r>
            <w:rPr>
              <w:noProof/>
            </w:rPr>
            <w:instrText xml:space="preserve"> PAGEREF _Toc330127739 \h </w:instrText>
          </w:r>
          <w:r>
            <w:rPr>
              <w:noProof/>
            </w:rPr>
          </w:r>
          <w:r>
            <w:rPr>
              <w:noProof/>
            </w:rPr>
            <w:fldChar w:fldCharType="separate"/>
          </w:r>
          <w:r>
            <w:rPr>
              <w:noProof/>
            </w:rPr>
            <w:t>4</w:t>
          </w:r>
          <w:r>
            <w:rPr>
              <w:noProof/>
            </w:rPr>
            <w:fldChar w:fldCharType="end"/>
          </w:r>
        </w:p>
        <w:p w14:paraId="1D5B670D"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Value-at-Risk calculations</w:t>
          </w:r>
          <w:r>
            <w:rPr>
              <w:noProof/>
            </w:rPr>
            <w:tab/>
          </w:r>
          <w:r>
            <w:rPr>
              <w:noProof/>
            </w:rPr>
            <w:fldChar w:fldCharType="begin"/>
          </w:r>
          <w:r>
            <w:rPr>
              <w:noProof/>
            </w:rPr>
            <w:instrText xml:space="preserve"> PAGEREF _Toc330127740 \h </w:instrText>
          </w:r>
          <w:r>
            <w:rPr>
              <w:noProof/>
            </w:rPr>
          </w:r>
          <w:r>
            <w:rPr>
              <w:noProof/>
            </w:rPr>
            <w:fldChar w:fldCharType="separate"/>
          </w:r>
          <w:r>
            <w:rPr>
              <w:noProof/>
            </w:rPr>
            <w:t>4</w:t>
          </w:r>
          <w:r>
            <w:rPr>
              <w:noProof/>
            </w:rPr>
            <w:fldChar w:fldCharType="end"/>
          </w:r>
        </w:p>
        <w:p w14:paraId="568D11DF"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Credit VaR</w:t>
          </w:r>
          <w:r>
            <w:rPr>
              <w:noProof/>
            </w:rPr>
            <w:tab/>
          </w:r>
          <w:r>
            <w:rPr>
              <w:noProof/>
            </w:rPr>
            <w:fldChar w:fldCharType="begin"/>
          </w:r>
          <w:r>
            <w:rPr>
              <w:noProof/>
            </w:rPr>
            <w:instrText xml:space="preserve"> PAGEREF _Toc330127741 \h </w:instrText>
          </w:r>
          <w:r>
            <w:rPr>
              <w:noProof/>
            </w:rPr>
          </w:r>
          <w:r>
            <w:rPr>
              <w:noProof/>
            </w:rPr>
            <w:fldChar w:fldCharType="separate"/>
          </w:r>
          <w:r>
            <w:rPr>
              <w:noProof/>
            </w:rPr>
            <w:t>6</w:t>
          </w:r>
          <w:r>
            <w:rPr>
              <w:noProof/>
            </w:rPr>
            <w:fldChar w:fldCharType="end"/>
          </w:r>
        </w:p>
        <w:p w14:paraId="7CF38208"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Credit and Debt Value Adjustments (CVA and DVA)</w:t>
          </w:r>
          <w:r>
            <w:rPr>
              <w:noProof/>
            </w:rPr>
            <w:tab/>
          </w:r>
          <w:r>
            <w:rPr>
              <w:noProof/>
            </w:rPr>
            <w:fldChar w:fldCharType="begin"/>
          </w:r>
          <w:r>
            <w:rPr>
              <w:noProof/>
            </w:rPr>
            <w:instrText xml:space="preserve"> PAGEREF _Toc330127742 \h </w:instrText>
          </w:r>
          <w:r>
            <w:rPr>
              <w:noProof/>
            </w:rPr>
          </w:r>
          <w:r>
            <w:rPr>
              <w:noProof/>
            </w:rPr>
            <w:fldChar w:fldCharType="separate"/>
          </w:r>
          <w:r>
            <w:rPr>
              <w:noProof/>
            </w:rPr>
            <w:t>6</w:t>
          </w:r>
          <w:r>
            <w:rPr>
              <w:noProof/>
            </w:rPr>
            <w:fldChar w:fldCharType="end"/>
          </w:r>
        </w:p>
        <w:p w14:paraId="24D06DEF"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Stressed VaR (SVaR)</w:t>
          </w:r>
          <w:r>
            <w:rPr>
              <w:noProof/>
            </w:rPr>
            <w:tab/>
          </w:r>
          <w:r>
            <w:rPr>
              <w:noProof/>
            </w:rPr>
            <w:fldChar w:fldCharType="begin"/>
          </w:r>
          <w:r>
            <w:rPr>
              <w:noProof/>
            </w:rPr>
            <w:instrText xml:space="preserve"> PAGEREF _Toc330127743 \h </w:instrText>
          </w:r>
          <w:r>
            <w:rPr>
              <w:noProof/>
            </w:rPr>
          </w:r>
          <w:r>
            <w:rPr>
              <w:noProof/>
            </w:rPr>
            <w:fldChar w:fldCharType="separate"/>
          </w:r>
          <w:r>
            <w:rPr>
              <w:noProof/>
            </w:rPr>
            <w:t>7</w:t>
          </w:r>
          <w:r>
            <w:rPr>
              <w:noProof/>
            </w:rPr>
            <w:fldChar w:fldCharType="end"/>
          </w:r>
        </w:p>
        <w:p w14:paraId="6B163B92"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Stress scenarios</w:t>
          </w:r>
          <w:r>
            <w:rPr>
              <w:noProof/>
            </w:rPr>
            <w:tab/>
          </w:r>
          <w:r>
            <w:rPr>
              <w:noProof/>
            </w:rPr>
            <w:fldChar w:fldCharType="begin"/>
          </w:r>
          <w:r>
            <w:rPr>
              <w:noProof/>
            </w:rPr>
            <w:instrText xml:space="preserve"> PAGEREF _Toc330127744 \h </w:instrText>
          </w:r>
          <w:r>
            <w:rPr>
              <w:noProof/>
            </w:rPr>
          </w:r>
          <w:r>
            <w:rPr>
              <w:noProof/>
            </w:rPr>
            <w:fldChar w:fldCharType="separate"/>
          </w:r>
          <w:r>
            <w:rPr>
              <w:noProof/>
            </w:rPr>
            <w:t>7</w:t>
          </w:r>
          <w:r>
            <w:rPr>
              <w:noProof/>
            </w:rPr>
            <w:fldChar w:fldCharType="end"/>
          </w:r>
        </w:p>
        <w:p w14:paraId="4EF83065"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Capital Requirements</w:t>
          </w:r>
          <w:r>
            <w:rPr>
              <w:noProof/>
            </w:rPr>
            <w:tab/>
          </w:r>
          <w:r>
            <w:rPr>
              <w:noProof/>
            </w:rPr>
            <w:fldChar w:fldCharType="begin"/>
          </w:r>
          <w:r>
            <w:rPr>
              <w:noProof/>
            </w:rPr>
            <w:instrText xml:space="preserve"> PAGEREF _Toc330127745 \h </w:instrText>
          </w:r>
          <w:r>
            <w:rPr>
              <w:noProof/>
            </w:rPr>
          </w:r>
          <w:r>
            <w:rPr>
              <w:noProof/>
            </w:rPr>
            <w:fldChar w:fldCharType="separate"/>
          </w:r>
          <w:r>
            <w:rPr>
              <w:noProof/>
            </w:rPr>
            <w:t>8</w:t>
          </w:r>
          <w:r>
            <w:rPr>
              <w:noProof/>
            </w:rPr>
            <w:fldChar w:fldCharType="end"/>
          </w:r>
        </w:p>
        <w:p w14:paraId="22658350"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Model Risk</w:t>
          </w:r>
          <w:r>
            <w:rPr>
              <w:noProof/>
            </w:rPr>
            <w:tab/>
          </w:r>
          <w:r>
            <w:rPr>
              <w:noProof/>
            </w:rPr>
            <w:fldChar w:fldCharType="begin"/>
          </w:r>
          <w:r>
            <w:rPr>
              <w:noProof/>
            </w:rPr>
            <w:instrText xml:space="preserve"> PAGEREF _Toc330127746 \h </w:instrText>
          </w:r>
          <w:r>
            <w:rPr>
              <w:noProof/>
            </w:rPr>
          </w:r>
          <w:r>
            <w:rPr>
              <w:noProof/>
            </w:rPr>
            <w:fldChar w:fldCharType="separate"/>
          </w:r>
          <w:r>
            <w:rPr>
              <w:noProof/>
            </w:rPr>
            <w:t>10</w:t>
          </w:r>
          <w:r>
            <w:rPr>
              <w:noProof/>
            </w:rPr>
            <w:fldChar w:fldCharType="end"/>
          </w:r>
        </w:p>
        <w:p w14:paraId="2B6B47C4"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Conclusion and Recommendations</w:t>
          </w:r>
          <w:r>
            <w:rPr>
              <w:noProof/>
            </w:rPr>
            <w:tab/>
          </w:r>
          <w:r>
            <w:rPr>
              <w:noProof/>
            </w:rPr>
            <w:fldChar w:fldCharType="begin"/>
          </w:r>
          <w:r>
            <w:rPr>
              <w:noProof/>
            </w:rPr>
            <w:instrText xml:space="preserve"> PAGEREF _Toc330127747 \h </w:instrText>
          </w:r>
          <w:r>
            <w:rPr>
              <w:noProof/>
            </w:rPr>
          </w:r>
          <w:r>
            <w:rPr>
              <w:noProof/>
            </w:rPr>
            <w:fldChar w:fldCharType="separate"/>
          </w:r>
          <w:r>
            <w:rPr>
              <w:noProof/>
            </w:rPr>
            <w:t>10</w:t>
          </w:r>
          <w:r>
            <w:rPr>
              <w:noProof/>
            </w:rPr>
            <w:fldChar w:fldCharType="end"/>
          </w:r>
        </w:p>
        <w:p w14:paraId="523F934B" w14:textId="77777777" w:rsidR="00CE42FF" w:rsidRDefault="006B2F1F" w:rsidP="006D0B17">
          <w:pPr>
            <w:pStyle w:val="Heading1"/>
            <w:rPr>
              <w:rFonts w:asciiTheme="minorHAnsi" w:eastAsiaTheme="minorEastAsia" w:hAnsiTheme="minorHAnsi" w:cstheme="minorBidi"/>
              <w:bCs w:val="0"/>
              <w:color w:val="7F7F7F" w:themeColor="text1" w:themeTint="80"/>
              <w:sz w:val="20"/>
              <w:szCs w:val="22"/>
            </w:rPr>
          </w:pPr>
          <w:r>
            <w:rPr>
              <w:rFonts w:asciiTheme="minorHAnsi" w:eastAsiaTheme="minorEastAsia" w:hAnsiTheme="minorHAnsi" w:cstheme="minorBidi"/>
              <w:bCs w:val="0"/>
              <w:color w:val="7F7F7F" w:themeColor="text1" w:themeTint="80"/>
              <w:sz w:val="20"/>
              <w:szCs w:val="22"/>
            </w:rPr>
            <w:fldChar w:fldCharType="end"/>
          </w:r>
        </w:p>
        <w:p w14:paraId="15A6AF06" w14:textId="77777777" w:rsidR="006B2F1F" w:rsidRDefault="006B2F1F" w:rsidP="006B2F1F"/>
        <w:p w14:paraId="36954276" w14:textId="77777777" w:rsidR="006B2F1F" w:rsidRDefault="006B2F1F" w:rsidP="006B2F1F"/>
        <w:p w14:paraId="17237512" w14:textId="77777777" w:rsidR="006B2F1F" w:rsidRDefault="006B2F1F" w:rsidP="006B2F1F"/>
        <w:p w14:paraId="464F02F7" w14:textId="77777777" w:rsidR="006B2F1F" w:rsidRDefault="006B2F1F" w:rsidP="006B2F1F"/>
        <w:p w14:paraId="603185E3" w14:textId="77777777" w:rsidR="006B2F1F" w:rsidRDefault="006B2F1F" w:rsidP="006B2F1F"/>
        <w:p w14:paraId="66EA2C3B" w14:textId="77777777" w:rsidR="006B2F1F" w:rsidRDefault="006B2F1F" w:rsidP="006B2F1F"/>
        <w:p w14:paraId="40AFBA4F" w14:textId="77777777" w:rsidR="006B2F1F" w:rsidRDefault="006B2F1F" w:rsidP="006B2F1F"/>
        <w:p w14:paraId="308B519A" w14:textId="77777777" w:rsidR="006B2F1F" w:rsidRPr="006B2F1F" w:rsidRDefault="006B2F1F" w:rsidP="006B2F1F"/>
        <w:p w14:paraId="7AB0DCDB" w14:textId="6C027564" w:rsidR="00DE4492" w:rsidRDefault="006447F6" w:rsidP="006D0B17">
          <w:pPr>
            <w:pStyle w:val="Heading1"/>
          </w:pPr>
          <w:bookmarkStart w:id="0" w:name="_Toc330127736"/>
          <w:r>
            <w:lastRenderedPageBreak/>
            <w:t>P</w:t>
          </w:r>
          <w:r w:rsidR="00314158">
            <w:t>ortfolio decomposition</w:t>
          </w:r>
          <w:r w:rsidR="00DE4492">
            <w:t>s</w:t>
          </w:r>
          <w:bookmarkEnd w:id="0"/>
        </w:p>
        <w:p w14:paraId="7ABB5999" w14:textId="556E8559" w:rsidR="00473B82" w:rsidRDefault="00024AD9" w:rsidP="000E7350">
          <w:pPr>
            <w:jc w:val="center"/>
          </w:pPr>
          <w:r>
            <w:rPr>
              <w:noProof/>
            </w:rPr>
            <w:drawing>
              <wp:inline distT="0" distB="0" distL="0" distR="0" wp14:anchorId="30659DF0" wp14:editId="32D7B361">
                <wp:extent cx="3650284" cy="2108944"/>
                <wp:effectExtent l="0" t="0" r="762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1657" cy="2115515"/>
                        </a:xfrm>
                        <a:prstGeom prst="rect">
                          <a:avLst/>
                        </a:prstGeom>
                        <a:noFill/>
                      </pic:spPr>
                    </pic:pic>
                  </a:graphicData>
                </a:graphic>
              </wp:inline>
            </w:drawing>
          </w:r>
        </w:p>
        <w:p w14:paraId="3912EB52" w14:textId="27BE6567" w:rsidR="006D0B17" w:rsidRPr="006D0B17" w:rsidRDefault="006D0B17" w:rsidP="006D0B17">
          <w:pPr>
            <w:pStyle w:val="Heading2"/>
          </w:pPr>
          <w:r>
            <w:t>By sector</w:t>
          </w:r>
        </w:p>
        <w:p w14:paraId="27509B44" w14:textId="270B61BA" w:rsidR="00A20C5E" w:rsidRPr="00DE4492" w:rsidRDefault="007619AC" w:rsidP="00DE4492"/>
      </w:sdtContent>
    </w:sdt>
    <w:sdt>
      <w:sdtPr>
        <w:id w:val="6002714"/>
        <w:placeholder>
          <w:docPart w:val="92880EB4D8A6454AABAC70FB2504D645"/>
        </w:placeholder>
      </w:sdtPr>
      <w:sdtEndPr/>
      <w:sdtContent>
        <w:sdt>
          <w:sdtPr>
            <w:id w:val="765115665"/>
            <w:placeholder>
              <w:docPart w:val="3E94E90A42B9154E8917F9818716AAC0"/>
            </w:placeholder>
          </w:sdtPr>
          <w:sdtEndPr/>
          <w:sdtContent>
            <w:p w14:paraId="4DDF3861" w14:textId="55F351A3" w:rsidR="004169F9" w:rsidRPr="004F396C" w:rsidRDefault="004169F9" w:rsidP="004169F9">
              <w:pPr>
                <w:pStyle w:val="BodyText"/>
                <w:spacing w:after="120"/>
              </w:pPr>
              <w:r w:rsidRPr="004F396C">
                <w:t>The portfolio consists o</w:t>
              </w:r>
              <w:bookmarkStart w:id="1" w:name="_GoBack"/>
              <w:bookmarkEnd w:id="1"/>
              <w:r w:rsidRPr="004F396C">
                <w:t>f 32 Bonds, 11 government bonds and 21 corporates. Out of the Bonds, 7 have either expired or been called, which leaves the total composition of the portfolio to 25 bonds. The portfolio also consists of 3 US Stocks, 2 of them listed in the NYSE and 1 in NASDAQ, 2 European Options, 1 American Option; both on US Stocks. Finally, there are 10 Credit Default Swaps (CDS) in the portfolio out of which 1 has expired. These instruments add up to a total value of 248.5M(CAD) dollars. There are several sectors represented in the portfolio, the following table represents the total exposure of our portfolio by sector:</w:t>
              </w:r>
            </w:p>
          </w:sdtContent>
        </w:sdt>
        <w:p w14:paraId="62678A2B" w14:textId="1ED234DB" w:rsidR="00A20C5E" w:rsidRDefault="007619AC"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0CD1E665">
            <wp:extent cx="6296660" cy="1523365"/>
            <wp:effectExtent l="76200" t="57150" r="85090" b="1339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dt>
      <w:sdtPr>
        <w:rPr>
          <w:rFonts w:asciiTheme="majorHAnsi" w:eastAsiaTheme="majorEastAsia" w:hAnsiTheme="majorHAnsi" w:cstheme="majorBidi"/>
          <w:bCs/>
          <w:color w:val="20507E" w:themeColor="accent2"/>
          <w:sz w:val="36"/>
          <w:szCs w:val="36"/>
        </w:rPr>
        <w:id w:val="6002722"/>
        <w:placeholder>
          <w:docPart w:val="01AF120F1A56CB448055879024C21F19"/>
        </w:placeholder>
      </w:sdtPr>
      <w:sdtEndPr>
        <w:rPr>
          <w:rStyle w:val="Heading2Char"/>
          <w:b/>
          <w:bCs w:val="0"/>
          <w:sz w:val="26"/>
          <w:szCs w:val="26"/>
        </w:rPr>
      </w:sdtEndPr>
      <w:sdtContent>
        <w:p w14:paraId="5C84FBB1" w14:textId="68AE3A5C" w:rsidR="004169F9" w:rsidRPr="004F396C" w:rsidRDefault="007619AC" w:rsidP="004F396C">
          <w:pPr>
            <w:pStyle w:val="BodyText"/>
          </w:pPr>
          <w:sdt>
            <w:sdtPr>
              <w:rPr>
                <w:rFonts w:asciiTheme="majorHAnsi" w:eastAsiaTheme="majorEastAsia" w:hAnsiTheme="majorHAnsi" w:cstheme="majorBidi"/>
                <w:b/>
                <w:bCs/>
                <w:color w:val="20507E" w:themeColor="accent2"/>
                <w:sz w:val="26"/>
                <w:szCs w:val="26"/>
              </w:rPr>
              <w:id w:val="-148377740"/>
              <w:placeholder>
                <w:docPart w:val="B6D72F6AEA404C47AC2188BC588810E7"/>
              </w:placeholder>
            </w:sdtPr>
            <w:sdtEndPr>
              <w:rPr>
                <w:rFonts w:ascii="Cambria" w:eastAsiaTheme="minorEastAsia" w:hAnsi="Cambria" w:cstheme="minorBidi"/>
                <w:b w:val="0"/>
                <w:bCs w:val="0"/>
                <w:color w:val="000000" w:themeColor="text1"/>
                <w:sz w:val="20"/>
                <w:szCs w:val="22"/>
              </w:rPr>
            </w:sdtEndPr>
            <w:sdtContent>
              <w:r w:rsidR="004169F9" w:rsidRPr="004F396C">
                <w:t>It can be noted that there is a large concentration to 2 sectors, Communications and Government, however we have enough sectors to potentially rebalance the portfolio in order for it to be more diversified sector-wise.</w:t>
              </w:r>
            </w:sdtContent>
          </w:sdt>
        </w:p>
        <w:p w14:paraId="7B053BCA" w14:textId="74B8980E" w:rsidR="00A20C5E" w:rsidRPr="006D0B17" w:rsidRDefault="006D0B17">
          <w:pPr>
            <w:pStyle w:val="Heading1"/>
            <w:rPr>
              <w:rStyle w:val="Heading2Char"/>
            </w:rPr>
          </w:pPr>
          <w:bookmarkStart w:id="2" w:name="_Toc330127737"/>
          <w:r w:rsidRPr="006D0B17">
            <w:rPr>
              <w:rStyle w:val="Heading2Char"/>
            </w:rPr>
            <w:t>By asset class</w:t>
          </w:r>
          <w:r w:rsidR="0035255B">
            <w:rPr>
              <w:rStyle w:val="Heading2Char"/>
            </w:rPr>
            <w:t xml:space="preserve"> and by currency</w:t>
          </w:r>
        </w:p>
      </w:sdtContent>
    </w:sdt>
    <w:bookmarkEnd w:id="2" w:displacedByCustomXml="prev"/>
    <w:sdt>
      <w:sdtPr>
        <w:id w:val="6002725"/>
        <w:placeholder>
          <w:docPart w:val="3CA7901FE5E30345BC71F63802B43ED9"/>
        </w:placeholder>
      </w:sdtPr>
      <w:sdtEndPr/>
      <w:sdtContent>
        <w:p w14:paraId="4D5B7CEC" w14:textId="3214796F" w:rsidR="004169F9" w:rsidRDefault="004169F9" w:rsidP="004F396C">
          <w:pPr>
            <w:pStyle w:val="BodyText"/>
          </w:pPr>
          <w:r>
            <w:t xml:space="preserve">In terms of asset classes, the portfolio is mainly concentrated in Fixed Income instruments, while Equities (Stocks and Options) represent around 5% of the portfolio. We are exposed to 3 different currencies: Euro, Canadian Dollar and </w:t>
          </w:r>
          <w:r>
            <w:lastRenderedPageBreak/>
            <w:t>US Dollar. All of the Equity instruments of the portfolio are in US Dollars as well as the CDS contracts</w:t>
          </w:r>
          <w:r w:rsidR="00FD223C">
            <w:t>. The Bond portfolio consists of</w:t>
          </w:r>
          <w:r>
            <w:t xml:space="preserve"> 9 USD Bonds, 1 Euro Bond and 15 Canadian Bonds.</w:t>
          </w:r>
        </w:p>
        <w:p w14:paraId="13A6307E" w14:textId="49D438B5" w:rsidR="003E566B" w:rsidRDefault="004169F9" w:rsidP="004F396C">
          <w:pPr>
            <w:pStyle w:val="BodyText"/>
          </w:pPr>
          <w:r>
            <w:t>It is important to note that almost all of the Bonds in the portfolio are Investment Grades, however there are 2 Corporate Bonds with BB S&amp;P-rating.</w:t>
          </w:r>
        </w:p>
        <w:p w14:paraId="3D3A1862" w14:textId="40033743" w:rsidR="00C12C04" w:rsidRDefault="0067195E" w:rsidP="00C12C04">
          <w:pPr>
            <w:pStyle w:val="BodyText"/>
            <w:jc w:val="left"/>
          </w:pPr>
          <w:r>
            <w:rPr>
              <w:noProof/>
            </w:rPr>
            <w:drawing>
              <wp:inline distT="0" distB="0" distL="0" distR="0" wp14:anchorId="6A1BE249" wp14:editId="1B9B6E33">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895202">
            <w:rPr>
              <w:noProof/>
            </w:rPr>
            <w:drawing>
              <wp:inline distT="0" distB="0" distL="0" distR="0" wp14:anchorId="566BD104" wp14:editId="7950D0B3">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p w14:paraId="66D7B009" w14:textId="7B892966" w:rsidR="009C7B6D" w:rsidRDefault="009C7B6D" w:rsidP="006447F6">
      <w:pPr>
        <w:pStyle w:val="Heading1"/>
      </w:pPr>
      <w:bookmarkStart w:id="3" w:name="_Toc330127738"/>
      <w:r>
        <w:t>Sensitivities</w:t>
      </w:r>
      <w:bookmarkEnd w:id="3"/>
    </w:p>
    <w:p w14:paraId="39D3239D" w14:textId="536D36C5" w:rsidR="004169F9" w:rsidRDefault="004169F9" w:rsidP="00E0612C">
      <w:pPr>
        <w:pStyle w:val="BodyText"/>
      </w:pPr>
      <w:r w:rsidRPr="004F396C">
        <w:t>Market risk takes into account the losses that surge from fluctuation in the market value of our positions due to changes in interest rates, credit spreads, foreign exchange rates and values of equities. The portfolio is exposed to changes in interest rates curves through our position in fixed income (Bonds and CDS). Additionally, there’s exposure to 3 different currencies (USD, CAD and Euro) so we will assume we are an investor that manages its assets and liabil</w:t>
      </w:r>
      <w:r w:rsidR="00FD223C">
        <w:t>ities in Canadian Dollars. T</w:t>
      </w:r>
      <w:r w:rsidRPr="004F396C">
        <w:t>herefore</w:t>
      </w:r>
      <w:r w:rsidR="00FD223C">
        <w:t>,</w:t>
      </w:r>
      <w:r w:rsidRPr="004F396C">
        <w:t xml:space="preserve"> we are exposed to fluctuations in the value of our portfolio due to changes in the USDCAD and/or EURCAD FX rate. Finally, we are exposed to credit spreads through our corporate bond positions and also through our CDS holdings. The measures we will use for market risk will be portfolio sensitivities (such as DV01, CR01, Duration and Convexity), VaR, Stressed VaR and Stress Scenarios</w:t>
      </w:r>
      <w:r>
        <w:t>.</w:t>
      </w:r>
    </w:p>
    <w:p w14:paraId="1DE78685" w14:textId="77777777" w:rsidR="0052061A" w:rsidRDefault="0052061A" w:rsidP="0052061A">
      <w:pPr>
        <w:pStyle w:val="Heading1"/>
      </w:pPr>
      <w:bookmarkStart w:id="4" w:name="_Toc330127739"/>
      <w:r>
        <w:t>Portfolio Sensitivities</w:t>
      </w:r>
      <w:bookmarkEnd w:id="4"/>
    </w:p>
    <w:p w14:paraId="562067B1" w14:textId="77777777" w:rsidR="0052061A" w:rsidRDefault="0052061A" w:rsidP="0052061A">
      <w:pPr>
        <w:pStyle w:val="BodyText"/>
      </w:pPr>
      <w:r>
        <w:t>It is important to include the dollar sensitivities of the positions in the portfolio to changes in the underlying interest rate and credit spread.</w:t>
      </w:r>
    </w:p>
    <w:p w14:paraId="3436E72A" w14:textId="77777777" w:rsidR="0052061A" w:rsidRDefault="0052061A" w:rsidP="004F396C">
      <w:pPr>
        <w:pStyle w:val="BodyText"/>
      </w:pPr>
      <w:r>
        <w:lastRenderedPageBreak/>
        <w:t>DV01: It is the dollar value of one basis point that captures the change in value of the portfolio due to a downward parallel shift of 1bp in the yield to maturity (YTM).</w:t>
      </w:r>
    </w:p>
    <w:p w14:paraId="394F0562" w14:textId="77777777" w:rsidR="0052061A" w:rsidRDefault="0052061A" w:rsidP="0052061A">
      <w:pPr>
        <w:pStyle w:val="BodyText"/>
      </w:pPr>
      <w:r>
        <w:t>CR01: It is the credit risk of one basis point that captures the change in value of the portfolio due to a downward parallel shift of the credit spread.</w:t>
      </w:r>
    </w:p>
    <w:p w14:paraId="451C8893" w14:textId="72B05A52" w:rsidR="006B6B9F" w:rsidRDefault="006B6B9F" w:rsidP="004F396C">
      <w:pPr>
        <w:pStyle w:val="BodyText"/>
      </w:pPr>
      <w:r>
        <w:t>Since our portfolio has an overall long position in bonds, we can except to benefit from a decrease in interest rate. As for our position in CDS, the portfolio has a negative impact in case of a decrease in the credit spread.</w:t>
      </w:r>
    </w:p>
    <w:p w14:paraId="3B738BD0" w14:textId="77777777" w:rsidR="0052061A" w:rsidRPr="004169F9" w:rsidRDefault="0052061A" w:rsidP="004169F9"/>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024"/>
        <w:gridCol w:w="2705"/>
      </w:tblGrid>
      <w:tr w:rsidR="004E155E" w:rsidRPr="0044105F" w14:paraId="2812BDE8" w14:textId="77777777" w:rsidTr="00024AD9">
        <w:trPr>
          <w:cnfStyle w:val="100000000000" w:firstRow="1" w:lastRow="0" w:firstColumn="0" w:lastColumn="0" w:oddVBand="0" w:evenVBand="0" w:oddHBand="0"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5729"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7577F3" w:rsidRDefault="004E155E" w:rsidP="00743AC8">
            <w:pPr>
              <w:pStyle w:val="tabletextheader"/>
              <w:rPr>
                <w:b/>
              </w:rPr>
            </w:pPr>
            <w:r w:rsidRPr="007577F3">
              <w:rPr>
                <w:b/>
              </w:rPr>
              <w:t>Sensitivities</w:t>
            </w:r>
          </w:p>
        </w:tc>
      </w:tr>
      <w:tr w:rsidR="000A3B2A" w:rsidRPr="0044105F" w14:paraId="23718D03" w14:textId="77777777" w:rsidTr="00024AD9">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024" w:type="dxa"/>
            <w:tcBorders>
              <w:bottom w:val="single" w:sz="4" w:space="0" w:color="auto"/>
              <w:right w:val="none" w:sz="0" w:space="0" w:color="auto"/>
            </w:tcBorders>
            <w:vAlign w:val="center"/>
          </w:tcPr>
          <w:p w14:paraId="4BD7DD78" w14:textId="47E1C18F" w:rsidR="000A3B2A" w:rsidRPr="0044105F" w:rsidRDefault="000A3B2A" w:rsidP="00DE76D0">
            <w:pPr>
              <w:pStyle w:val="tabletext"/>
            </w:pPr>
            <w:r w:rsidRPr="0044105F">
              <w:t>Duration</w:t>
            </w:r>
            <w:r w:rsidR="00DE76D0">
              <w:t xml:space="preserve"> (Long Position)</w:t>
            </w:r>
          </w:p>
        </w:tc>
        <w:tc>
          <w:tcPr>
            <w:tcW w:w="2704" w:type="dxa"/>
            <w:tcBorders>
              <w:left w:val="none" w:sz="0" w:space="0" w:color="auto"/>
              <w:bottom w:val="single" w:sz="4" w:space="0" w:color="auto"/>
            </w:tcBorders>
            <w:vAlign w:val="center"/>
          </w:tcPr>
          <w:p w14:paraId="320275E4" w14:textId="02D1EA60" w:rsidR="000A3B2A" w:rsidRPr="00E2493E" w:rsidRDefault="00DE76D0" w:rsidP="00DE76D0">
            <w:pPr>
              <w:pStyle w:val="tabletext"/>
              <w:cnfStyle w:val="000000100000" w:firstRow="0" w:lastRow="0" w:firstColumn="0" w:lastColumn="0" w:oddVBand="0" w:evenVBand="0" w:oddHBand="1" w:evenHBand="0" w:firstRowFirstColumn="0" w:firstRowLastColumn="0" w:lastRowFirstColumn="0" w:lastRowLastColumn="0"/>
            </w:pPr>
            <w:r>
              <w:t>12.43</w:t>
            </w:r>
          </w:p>
        </w:tc>
      </w:tr>
      <w:tr w:rsidR="00DE76D0" w:rsidRPr="0044105F" w14:paraId="75909453" w14:textId="77777777" w:rsidTr="00024AD9">
        <w:trPr>
          <w:cnfStyle w:val="000000010000" w:firstRow="0" w:lastRow="0" w:firstColumn="0" w:lastColumn="0" w:oddVBand="0" w:evenVBand="0" w:oddHBand="0" w:evenHBand="1"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024" w:type="dxa"/>
            <w:tcBorders>
              <w:top w:val="single" w:sz="4" w:space="0" w:color="auto"/>
              <w:left w:val="single" w:sz="4" w:space="0" w:color="auto"/>
              <w:bottom w:val="single" w:sz="4" w:space="0" w:color="auto"/>
              <w:right w:val="single" w:sz="4" w:space="0" w:color="auto"/>
            </w:tcBorders>
            <w:vAlign w:val="center"/>
          </w:tcPr>
          <w:p w14:paraId="4BBEED69" w14:textId="46973375" w:rsidR="00DE76D0" w:rsidRPr="0044105F" w:rsidRDefault="00DE76D0" w:rsidP="00DE76D0">
            <w:pPr>
              <w:pStyle w:val="tabletext"/>
            </w:pPr>
            <w:r>
              <w:t>Duration (Short Position)</w:t>
            </w:r>
          </w:p>
        </w:tc>
        <w:tc>
          <w:tcPr>
            <w:tcW w:w="2704" w:type="dxa"/>
            <w:tcBorders>
              <w:top w:val="single" w:sz="4" w:space="0" w:color="auto"/>
              <w:left w:val="single" w:sz="4" w:space="0" w:color="auto"/>
              <w:bottom w:val="single" w:sz="4" w:space="0" w:color="auto"/>
              <w:right w:val="single" w:sz="4" w:space="0" w:color="auto"/>
            </w:tcBorders>
            <w:vAlign w:val="center"/>
          </w:tcPr>
          <w:p w14:paraId="76A6BC3E" w14:textId="689D0F89" w:rsidR="00DE76D0" w:rsidRPr="00DE76D0" w:rsidRDefault="00DE76D0" w:rsidP="00DE76D0">
            <w:pPr>
              <w:pStyle w:val="tabletext"/>
              <w:cnfStyle w:val="000000010000" w:firstRow="0" w:lastRow="0" w:firstColumn="0" w:lastColumn="0" w:oddVBand="0" w:evenVBand="0" w:oddHBand="0" w:evenHBand="1" w:firstRowFirstColumn="0" w:firstRowLastColumn="0" w:lastRowFirstColumn="0" w:lastRowLastColumn="0"/>
            </w:pPr>
            <w:r w:rsidRPr="00DE76D0">
              <w:t>4.38</w:t>
            </w:r>
          </w:p>
        </w:tc>
      </w:tr>
      <w:tr w:rsidR="000A3B2A" w:rsidRPr="0044105F" w14:paraId="508042BC" w14:textId="77777777" w:rsidTr="00024AD9">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024" w:type="dxa"/>
            <w:tcBorders>
              <w:top w:val="single" w:sz="4" w:space="0" w:color="auto"/>
              <w:bottom w:val="single" w:sz="4" w:space="0" w:color="auto"/>
              <w:right w:val="none" w:sz="0" w:space="0" w:color="auto"/>
            </w:tcBorders>
            <w:vAlign w:val="center"/>
          </w:tcPr>
          <w:p w14:paraId="720C3F53" w14:textId="0498BA0C" w:rsidR="000A3B2A" w:rsidRPr="0044105F" w:rsidRDefault="000A3B2A" w:rsidP="007051E4">
            <w:pPr>
              <w:pStyle w:val="tabletext"/>
            </w:pPr>
            <w:r w:rsidRPr="0044105F">
              <w:t>Convexity</w:t>
            </w:r>
            <w:r w:rsidR="007051E4">
              <w:t xml:space="preserve"> </w:t>
            </w:r>
            <w:r w:rsidR="007051E4">
              <w:t>(</w:t>
            </w:r>
            <w:r w:rsidR="007051E4">
              <w:t>Long</w:t>
            </w:r>
            <w:r w:rsidR="007051E4">
              <w:t xml:space="preserve"> Position)</w:t>
            </w:r>
          </w:p>
        </w:tc>
        <w:tc>
          <w:tcPr>
            <w:tcW w:w="2704" w:type="dxa"/>
            <w:tcBorders>
              <w:top w:val="single" w:sz="4" w:space="0" w:color="auto"/>
              <w:left w:val="none" w:sz="0" w:space="0" w:color="auto"/>
              <w:bottom w:val="single" w:sz="4" w:space="0" w:color="auto"/>
            </w:tcBorders>
            <w:vAlign w:val="center"/>
          </w:tcPr>
          <w:p w14:paraId="5AE64F62" w14:textId="3E8F2EED" w:rsidR="000A3B2A" w:rsidRPr="00E2493E" w:rsidRDefault="007051E4" w:rsidP="007051E4">
            <w:pPr>
              <w:pStyle w:val="tabletext"/>
              <w:cnfStyle w:val="000000100000" w:firstRow="0" w:lastRow="0" w:firstColumn="0" w:lastColumn="0" w:oddVBand="0" w:evenVBand="0" w:oddHBand="1" w:evenHBand="0" w:firstRowFirstColumn="0" w:firstRowLastColumn="0" w:lastRowFirstColumn="0" w:lastRowLastColumn="0"/>
            </w:pPr>
            <w:r>
              <w:t>1.54</w:t>
            </w:r>
          </w:p>
        </w:tc>
      </w:tr>
      <w:tr w:rsidR="007051E4" w:rsidRPr="0044105F" w14:paraId="1A5C1EEA" w14:textId="77777777" w:rsidTr="00024AD9">
        <w:trPr>
          <w:cnfStyle w:val="000000010000" w:firstRow="0" w:lastRow="0" w:firstColumn="0" w:lastColumn="0" w:oddVBand="0" w:evenVBand="0" w:oddHBand="0" w:evenHBand="1"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024" w:type="dxa"/>
            <w:tcBorders>
              <w:top w:val="single" w:sz="4" w:space="0" w:color="auto"/>
              <w:left w:val="single" w:sz="4" w:space="0" w:color="auto"/>
              <w:bottom w:val="single" w:sz="4" w:space="0" w:color="auto"/>
              <w:right w:val="single" w:sz="4" w:space="0" w:color="auto"/>
            </w:tcBorders>
            <w:vAlign w:val="center"/>
          </w:tcPr>
          <w:p w14:paraId="558E6D48" w14:textId="48BDC5F2" w:rsidR="007051E4" w:rsidRPr="0044105F" w:rsidRDefault="007051E4" w:rsidP="007051E4">
            <w:pPr>
              <w:pStyle w:val="tabletext"/>
            </w:pPr>
            <w:r>
              <w:t>Convexity (Short Position)</w:t>
            </w:r>
          </w:p>
        </w:tc>
        <w:tc>
          <w:tcPr>
            <w:tcW w:w="2704" w:type="dxa"/>
            <w:tcBorders>
              <w:top w:val="single" w:sz="4" w:space="0" w:color="auto"/>
              <w:left w:val="single" w:sz="4" w:space="0" w:color="auto"/>
              <w:bottom w:val="single" w:sz="4" w:space="0" w:color="auto"/>
              <w:right w:val="single" w:sz="4" w:space="0" w:color="auto"/>
            </w:tcBorders>
            <w:vAlign w:val="center"/>
          </w:tcPr>
          <w:p w14:paraId="540336DA" w14:textId="16081CDB" w:rsidR="007051E4" w:rsidRPr="00E2493E" w:rsidRDefault="007051E4" w:rsidP="00DE76D0">
            <w:pPr>
              <w:pStyle w:val="tabletext"/>
              <w:cnfStyle w:val="000000010000" w:firstRow="0" w:lastRow="0" w:firstColumn="0" w:lastColumn="0" w:oddVBand="0" w:evenVBand="0" w:oddHBand="0" w:evenHBand="1" w:firstRowFirstColumn="0" w:firstRowLastColumn="0" w:lastRowFirstColumn="0" w:lastRowLastColumn="0"/>
            </w:pPr>
            <w:r>
              <w:t>0.57</w:t>
            </w:r>
          </w:p>
        </w:tc>
      </w:tr>
      <w:tr w:rsidR="000A3B2A" w:rsidRPr="0044105F" w14:paraId="4A1402D7" w14:textId="77777777" w:rsidTr="00024AD9">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3024" w:type="dxa"/>
            <w:tcBorders>
              <w:top w:val="single" w:sz="4" w:space="0" w:color="auto"/>
              <w:right w:val="none" w:sz="0" w:space="0" w:color="auto"/>
            </w:tcBorders>
            <w:vAlign w:val="center"/>
          </w:tcPr>
          <w:p w14:paraId="638D01DB" w14:textId="4CBE186E" w:rsidR="000A3B2A" w:rsidRPr="0044105F" w:rsidRDefault="000A3B2A" w:rsidP="00DE76D0">
            <w:pPr>
              <w:pStyle w:val="tabletext"/>
            </w:pPr>
            <w:r w:rsidRPr="0044105F">
              <w:t>DV01</w:t>
            </w:r>
          </w:p>
        </w:tc>
        <w:tc>
          <w:tcPr>
            <w:tcW w:w="2704" w:type="dxa"/>
            <w:tcBorders>
              <w:top w:val="single" w:sz="4" w:space="0" w:color="auto"/>
              <w:left w:val="none" w:sz="0" w:space="0" w:color="auto"/>
            </w:tcBorders>
            <w:vAlign w:val="center"/>
          </w:tcPr>
          <w:p w14:paraId="338D2D6A" w14:textId="2AC6B4BD" w:rsidR="000A3B2A" w:rsidRPr="00E2493E" w:rsidRDefault="00EE11C1" w:rsidP="00DE76D0">
            <w:pPr>
              <w:pStyle w:val="tabletext"/>
              <w:cnfStyle w:val="000000100000" w:firstRow="0" w:lastRow="0" w:firstColumn="0" w:lastColumn="0" w:oddVBand="0" w:evenVBand="0" w:oddHBand="1" w:evenHBand="0" w:firstRowFirstColumn="0" w:firstRowLastColumn="0" w:lastRowFirstColumn="0" w:lastRowLastColumn="0"/>
            </w:pPr>
            <w:r>
              <w:t>$</w:t>
            </w:r>
            <w:r w:rsidR="000A3B2A" w:rsidRPr="00E2493E">
              <w:t>210,300</w:t>
            </w:r>
          </w:p>
        </w:tc>
      </w:tr>
      <w:tr w:rsidR="000A3B2A" w:rsidRPr="0044105F" w14:paraId="0EF8CC69" w14:textId="77777777" w:rsidTr="00024AD9">
        <w:trPr>
          <w:cnfStyle w:val="000000010000" w:firstRow="0" w:lastRow="0" w:firstColumn="0" w:lastColumn="0" w:oddVBand="0" w:evenVBand="0" w:oddHBand="0" w:evenHBand="1"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3024" w:type="dxa"/>
            <w:tcBorders>
              <w:right w:val="none" w:sz="0" w:space="0" w:color="auto"/>
            </w:tcBorders>
            <w:vAlign w:val="center"/>
          </w:tcPr>
          <w:p w14:paraId="7CBDC8F2" w14:textId="08F2FDA4" w:rsidR="000A3B2A" w:rsidRPr="0044105F" w:rsidRDefault="000A3B2A" w:rsidP="00DE76D0">
            <w:pPr>
              <w:pStyle w:val="tabletext"/>
            </w:pPr>
            <w:r w:rsidRPr="0044105F">
              <w:t>CR01</w:t>
            </w:r>
          </w:p>
        </w:tc>
        <w:tc>
          <w:tcPr>
            <w:tcW w:w="2704" w:type="dxa"/>
            <w:tcBorders>
              <w:left w:val="none" w:sz="0" w:space="0" w:color="auto"/>
            </w:tcBorders>
            <w:vAlign w:val="center"/>
          </w:tcPr>
          <w:p w14:paraId="17D2D9C3" w14:textId="4E503ADA" w:rsidR="000A3B2A" w:rsidRPr="00E2493E" w:rsidRDefault="00EE11C1" w:rsidP="00DE76D0">
            <w:pPr>
              <w:pStyle w:val="tabletext"/>
              <w:cnfStyle w:val="000000010000" w:firstRow="0" w:lastRow="0" w:firstColumn="0" w:lastColumn="0" w:oddVBand="0" w:evenVBand="0" w:oddHBand="0" w:evenHBand="1" w:firstRowFirstColumn="0" w:firstRowLastColumn="0" w:lastRowFirstColumn="0" w:lastRowLastColumn="0"/>
            </w:pPr>
            <w:r>
              <w:t>$-</w:t>
            </w:r>
            <w:r w:rsidR="000A3B2A" w:rsidRPr="00E2493E">
              <w:t>17,100</w:t>
            </w:r>
          </w:p>
        </w:tc>
      </w:tr>
    </w:tbl>
    <w:p w14:paraId="78C5CB53" w14:textId="5E6CCC59" w:rsidR="00A20C5E" w:rsidRDefault="00DA6BC3" w:rsidP="006447F6">
      <w:pPr>
        <w:pStyle w:val="Heading1"/>
      </w:pPr>
      <w:bookmarkStart w:id="5" w:name="_Toc330127740"/>
      <w:r>
        <w:t>Va</w:t>
      </w:r>
      <w:r w:rsidR="009109D0">
        <w:t>lue-at-</w:t>
      </w:r>
      <w:r>
        <w:t>R</w:t>
      </w:r>
      <w:r w:rsidR="009109D0">
        <w:t xml:space="preserve">isk </w:t>
      </w:r>
      <w:r w:rsidR="00A66E11">
        <w:t>calculations</w:t>
      </w:r>
      <w:bookmarkEnd w:id="5"/>
    </w:p>
    <w:p w14:paraId="697E9C85" w14:textId="39478F35" w:rsidR="004F396C" w:rsidRPr="004F396C" w:rsidRDefault="00715EB8" w:rsidP="004F396C">
      <w:pPr>
        <w:pStyle w:val="Heading2"/>
      </w:pPr>
      <w:r>
        <w:t>Va</w:t>
      </w:r>
      <w:r w:rsidR="009109D0">
        <w:t xml:space="preserve">lue at </w:t>
      </w:r>
      <w:r>
        <w:t>R</w:t>
      </w:r>
      <w:r w:rsidR="009109D0">
        <w:t>isk (VaR)</w:t>
      </w:r>
      <w:r>
        <w:t xml:space="preserve"> and C</w:t>
      </w:r>
      <w:r w:rsidR="009109D0">
        <w:t xml:space="preserve">onditional </w:t>
      </w:r>
      <w:r>
        <w:t>V</w:t>
      </w:r>
      <w:r w:rsidR="009109D0">
        <w:t xml:space="preserve">alue </w:t>
      </w:r>
      <w:r>
        <w:t>a</w:t>
      </w:r>
      <w:r w:rsidR="009109D0">
        <w:t xml:space="preserve">t </w:t>
      </w:r>
      <w:r>
        <w:t>R</w:t>
      </w:r>
      <w:r w:rsidR="009109D0">
        <w:t>isk (CVaR)</w:t>
      </w:r>
    </w:p>
    <w:p w14:paraId="258A4BDE" w14:textId="459308EF" w:rsidR="005A3A95" w:rsidRPr="005A3A95" w:rsidRDefault="00C44A2C" w:rsidP="005A3A95">
      <w:pPr>
        <w:pStyle w:val="BodyText"/>
      </w:pPr>
      <w:r>
        <w:t xml:space="preserve">Under Basel II.5, Regulatory Value-at-Risk (VaR) is the estimate of the potential decline in the value of a position/portfolio under normal market conditions. We will consider a 10-day </w:t>
      </w:r>
      <w:r w:rsidR="00FD223C">
        <w:t>horizon</w:t>
      </w:r>
      <w:r>
        <w:t xml:space="preserve"> VaR at the 99th percentile for all our estimations, however in the table below we present values for different confidence level and time horizon</w:t>
      </w:r>
      <w:r w:rsidR="00FD223C">
        <w:t>s</w:t>
      </w:r>
      <w:r>
        <w:t xml:space="preserve">. Our model incorporates the volatilities and correlations of 150 market factors. For the calculation of VaR we consider a time horizon that goes from December 31, 2013 to June 30, 2016. We will use 2 methods for estimating VaR: Monte Carlo and Historical. Our calculations also include the Expected Shortfall (or CVaR), which gives more information about the tail of our Profit and Losses distribution by calculating the average of the losses that exceed VaR. The following table illustrates the values obtained for these </w:t>
      </w:r>
      <w:r w:rsidR="00FD223C">
        <w:t xml:space="preserve">statistical </w:t>
      </w:r>
      <w:r>
        <w:t>measures: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48"/>
        <w:gridCol w:w="5148"/>
      </w:tblGrid>
      <w:tr w:rsidR="005A3A95" w14:paraId="6EA1825B" w14:textId="77777777" w:rsidTr="005A3A95">
        <w:tc>
          <w:tcPr>
            <w:tcW w:w="5148" w:type="dxa"/>
          </w:tcPr>
          <w:p w14:paraId="5970EB77" w14:textId="7926A32F" w:rsidR="005A3A95" w:rsidRDefault="005A3A95" w:rsidP="005A3A95"/>
        </w:tc>
        <w:tc>
          <w:tcPr>
            <w:tcW w:w="5148" w:type="dxa"/>
          </w:tcPr>
          <w:p w14:paraId="5C060959" w14:textId="601AA486" w:rsidR="005A3A95" w:rsidRDefault="005A3A95" w:rsidP="005A3A95"/>
        </w:tc>
      </w:tr>
    </w:tbl>
    <w:p w14:paraId="0CF1C66B" w14:textId="18588216" w:rsidR="009109D0" w:rsidRDefault="00C44A2C" w:rsidP="004F396C">
      <w:pPr>
        <w:pStyle w:val="BodyText"/>
      </w:pPr>
      <w:r w:rsidRPr="004A3C39">
        <w:t xml:space="preserve">From our results we can see that the </w:t>
      </w:r>
      <w:r>
        <w:t>Historical VaR is</w:t>
      </w:r>
      <w:r w:rsidRPr="004A3C39">
        <w:t xml:space="preserve"> higher</w:t>
      </w:r>
      <w:r>
        <w:t xml:space="preserve"> than the VaR calculated using Monte Carlo</w:t>
      </w:r>
      <w:r w:rsidRPr="004A3C39">
        <w:t xml:space="preserve">. We must take into account that the analytical VAR is more </w:t>
      </w:r>
      <w:r w:rsidR="00FD223C">
        <w:t>model</w:t>
      </w:r>
      <w:r w:rsidRPr="004A3C39">
        <w:t xml:space="preserve"> dependent. To map the portfolio P&amp;L</w:t>
      </w:r>
      <w:r>
        <w:t xml:space="preserve"> </w:t>
      </w:r>
      <w:r w:rsidRPr="004A3C39">
        <w:t>to linear risk factors we work with the DV01 and CR01 (for bonds and CDS respectively). The mapping probably won’t be a</w:t>
      </w:r>
      <w:r>
        <w:t xml:space="preserve"> </w:t>
      </w:r>
      <w:r w:rsidRPr="004A3C39">
        <w:t>good approximation for large movements. That’s</w:t>
      </w:r>
      <w:r w:rsidR="00FD223C">
        <w:t xml:space="preserve"> why</w:t>
      </w:r>
      <w:r>
        <w:t xml:space="preserve"> the historical VAR number </w:t>
      </w:r>
      <w:r w:rsidRPr="004A3C39">
        <w:t>would be a better representation of our</w:t>
      </w:r>
      <w:r>
        <w:t xml:space="preserve"> </w:t>
      </w:r>
      <w:r w:rsidRPr="004A3C39">
        <w:t>PNL distribution.</w:t>
      </w:r>
    </w:p>
    <w:p w14:paraId="1809539A" w14:textId="77777777" w:rsidR="00024AD9" w:rsidRDefault="00024AD9" w:rsidP="004F396C">
      <w:pPr>
        <w:pStyle w:val="BodyText"/>
      </w:pPr>
    </w:p>
    <w:p w14:paraId="38D8F9BC" w14:textId="77777777" w:rsidR="00024AD9" w:rsidRDefault="00024AD9" w:rsidP="004F396C">
      <w:pPr>
        <w:pStyle w:val="BodyText"/>
      </w:pPr>
    </w:p>
    <w:p w14:paraId="76F18360" w14:textId="77777777" w:rsidR="00024AD9" w:rsidRDefault="00024AD9" w:rsidP="004F396C">
      <w:pPr>
        <w:pStyle w:val="BodyText"/>
      </w:pPr>
    </w:p>
    <w:p w14:paraId="2A49F12A" w14:textId="77777777" w:rsidR="00024AD9" w:rsidRDefault="00024AD9" w:rsidP="004F396C">
      <w:pPr>
        <w:pStyle w:val="BodyText"/>
      </w:pPr>
    </w:p>
    <w:tbl>
      <w:tblPr>
        <w:tblW w:w="10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917"/>
        <w:gridCol w:w="917"/>
        <w:gridCol w:w="822"/>
        <w:gridCol w:w="918"/>
        <w:gridCol w:w="1079"/>
        <w:gridCol w:w="1207"/>
        <w:gridCol w:w="1095"/>
        <w:gridCol w:w="1610"/>
        <w:gridCol w:w="1710"/>
      </w:tblGrid>
      <w:tr w:rsidR="003C2550" w:rsidRPr="003C2550" w14:paraId="7737B30E" w14:textId="77777777" w:rsidTr="003C2550">
        <w:trPr>
          <w:trHeight w:val="281"/>
        </w:trPr>
        <w:tc>
          <w:tcPr>
            <w:tcW w:w="917" w:type="dxa"/>
            <w:shd w:val="clear" w:color="auto" w:fill="20507E" w:themeFill="accent2"/>
            <w:tcMar>
              <w:top w:w="15" w:type="dxa"/>
              <w:left w:w="15" w:type="dxa"/>
              <w:bottom w:w="0" w:type="dxa"/>
              <w:right w:w="15" w:type="dxa"/>
            </w:tcMar>
            <w:vAlign w:val="center"/>
            <w:hideMark/>
          </w:tcPr>
          <w:p w14:paraId="2C01196F" w14:textId="77777777" w:rsidR="003C2550" w:rsidRPr="003C2550" w:rsidRDefault="003C2550" w:rsidP="003C2550">
            <w:pPr>
              <w:pStyle w:val="tabletextheader"/>
              <w:rPr>
                <w:b w:val="0"/>
              </w:rPr>
            </w:pPr>
            <w:r w:rsidRPr="003C2550">
              <w:rPr>
                <w:bCs/>
              </w:rPr>
              <w:lastRenderedPageBreak/>
              <w:t>Time Horizon</w:t>
            </w:r>
          </w:p>
        </w:tc>
        <w:tc>
          <w:tcPr>
            <w:tcW w:w="1739" w:type="dxa"/>
            <w:gridSpan w:val="2"/>
            <w:shd w:val="clear" w:color="auto" w:fill="20507E" w:themeFill="accent2"/>
            <w:tcMar>
              <w:top w:w="15" w:type="dxa"/>
              <w:left w:w="15" w:type="dxa"/>
              <w:bottom w:w="0" w:type="dxa"/>
              <w:right w:w="15" w:type="dxa"/>
            </w:tcMar>
            <w:vAlign w:val="center"/>
            <w:hideMark/>
          </w:tcPr>
          <w:p w14:paraId="41398088" w14:textId="77777777" w:rsidR="003C2550" w:rsidRPr="003C2550" w:rsidRDefault="003C2550" w:rsidP="003C2550">
            <w:pPr>
              <w:pStyle w:val="tabletextheader"/>
              <w:rPr>
                <w:b w:val="0"/>
              </w:rPr>
            </w:pPr>
            <w:r w:rsidRPr="003C2550">
              <w:rPr>
                <w:bCs/>
              </w:rPr>
              <w:t>VaR - 95%</w:t>
            </w:r>
          </w:p>
        </w:tc>
        <w:tc>
          <w:tcPr>
            <w:tcW w:w="1997" w:type="dxa"/>
            <w:gridSpan w:val="2"/>
            <w:shd w:val="clear" w:color="auto" w:fill="20507E" w:themeFill="accent2"/>
            <w:tcMar>
              <w:top w:w="15" w:type="dxa"/>
              <w:left w:w="15" w:type="dxa"/>
              <w:bottom w:w="0" w:type="dxa"/>
              <w:right w:w="15" w:type="dxa"/>
            </w:tcMar>
            <w:vAlign w:val="center"/>
            <w:hideMark/>
          </w:tcPr>
          <w:p w14:paraId="5604A6A4" w14:textId="77777777" w:rsidR="003C2550" w:rsidRPr="003C2550" w:rsidRDefault="003C2550" w:rsidP="003C2550">
            <w:pPr>
              <w:pStyle w:val="tabletextheader"/>
              <w:rPr>
                <w:b w:val="0"/>
              </w:rPr>
            </w:pPr>
            <w:r w:rsidRPr="003C2550">
              <w:rPr>
                <w:bCs/>
              </w:rPr>
              <w:t>VaR - 99%</w:t>
            </w:r>
          </w:p>
        </w:tc>
        <w:tc>
          <w:tcPr>
            <w:tcW w:w="1207" w:type="dxa"/>
            <w:shd w:val="clear" w:color="auto" w:fill="20507E" w:themeFill="accent2"/>
            <w:tcMar>
              <w:top w:w="15" w:type="dxa"/>
              <w:left w:w="15" w:type="dxa"/>
              <w:bottom w:w="0" w:type="dxa"/>
              <w:right w:w="15" w:type="dxa"/>
            </w:tcMar>
            <w:vAlign w:val="center"/>
            <w:hideMark/>
          </w:tcPr>
          <w:p w14:paraId="0B79B520" w14:textId="77777777" w:rsidR="003C2550" w:rsidRPr="003C2550" w:rsidRDefault="003C2550" w:rsidP="003C2550">
            <w:pPr>
              <w:pStyle w:val="tabletextheader"/>
              <w:rPr>
                <w:b w:val="0"/>
              </w:rPr>
            </w:pPr>
            <w:r w:rsidRPr="003C2550">
              <w:rPr>
                <w:bCs/>
              </w:rPr>
              <w:t>US S&amp;P IG Index</w:t>
            </w:r>
          </w:p>
        </w:tc>
        <w:tc>
          <w:tcPr>
            <w:tcW w:w="1095" w:type="dxa"/>
            <w:shd w:val="clear" w:color="auto" w:fill="20507E" w:themeFill="accent2"/>
            <w:tcMar>
              <w:top w:w="15" w:type="dxa"/>
              <w:left w:w="15" w:type="dxa"/>
              <w:bottom w:w="0" w:type="dxa"/>
              <w:right w:w="15" w:type="dxa"/>
            </w:tcMar>
            <w:vAlign w:val="center"/>
            <w:hideMark/>
          </w:tcPr>
          <w:p w14:paraId="57265468" w14:textId="77777777" w:rsidR="003C2550" w:rsidRPr="003C2550" w:rsidRDefault="003C2550" w:rsidP="003C2550">
            <w:pPr>
              <w:pStyle w:val="tabletextheader"/>
              <w:rPr>
                <w:b w:val="0"/>
              </w:rPr>
            </w:pPr>
            <w:r w:rsidRPr="003C2550">
              <w:rPr>
                <w:bCs/>
              </w:rPr>
              <w:t>S&amp;P 500</w:t>
            </w:r>
          </w:p>
        </w:tc>
        <w:tc>
          <w:tcPr>
            <w:tcW w:w="1610" w:type="dxa"/>
            <w:shd w:val="clear" w:color="auto" w:fill="20507E" w:themeFill="accent2"/>
            <w:tcMar>
              <w:top w:w="15" w:type="dxa"/>
              <w:left w:w="15" w:type="dxa"/>
              <w:bottom w:w="0" w:type="dxa"/>
              <w:right w:w="15" w:type="dxa"/>
            </w:tcMar>
            <w:vAlign w:val="center"/>
            <w:hideMark/>
          </w:tcPr>
          <w:p w14:paraId="7480F411" w14:textId="77777777" w:rsidR="003C2550" w:rsidRPr="003C2550" w:rsidRDefault="003C2550" w:rsidP="003C2550">
            <w:pPr>
              <w:pStyle w:val="tabletextheader"/>
              <w:rPr>
                <w:b w:val="0"/>
              </w:rPr>
            </w:pPr>
            <w:r w:rsidRPr="003C2550">
              <w:rPr>
                <w:bCs/>
              </w:rPr>
              <w:t>ES – 95%</w:t>
            </w:r>
          </w:p>
        </w:tc>
        <w:tc>
          <w:tcPr>
            <w:tcW w:w="1710" w:type="dxa"/>
            <w:shd w:val="clear" w:color="auto" w:fill="20507E" w:themeFill="accent2"/>
            <w:tcMar>
              <w:top w:w="15" w:type="dxa"/>
              <w:left w:w="15" w:type="dxa"/>
              <w:bottom w:w="0" w:type="dxa"/>
              <w:right w:w="15" w:type="dxa"/>
            </w:tcMar>
            <w:vAlign w:val="center"/>
            <w:hideMark/>
          </w:tcPr>
          <w:p w14:paraId="12202BA9" w14:textId="77777777" w:rsidR="003C2550" w:rsidRPr="003C2550" w:rsidRDefault="003C2550" w:rsidP="003C2550">
            <w:pPr>
              <w:pStyle w:val="tabletextheader"/>
              <w:rPr>
                <w:b w:val="0"/>
              </w:rPr>
            </w:pPr>
            <w:r w:rsidRPr="003C2550">
              <w:rPr>
                <w:bCs/>
              </w:rPr>
              <w:t>ES – 99%</w:t>
            </w:r>
          </w:p>
        </w:tc>
      </w:tr>
      <w:tr w:rsidR="003C2550" w:rsidRPr="003C2550" w14:paraId="46B0444B" w14:textId="77777777" w:rsidTr="000570E6">
        <w:trPr>
          <w:trHeight w:val="294"/>
        </w:trPr>
        <w:tc>
          <w:tcPr>
            <w:tcW w:w="917" w:type="dxa"/>
            <w:shd w:val="clear" w:color="auto" w:fill="FFFFFF" w:themeFill="background1"/>
            <w:tcMar>
              <w:top w:w="15" w:type="dxa"/>
              <w:left w:w="15" w:type="dxa"/>
              <w:bottom w:w="0" w:type="dxa"/>
              <w:right w:w="15" w:type="dxa"/>
            </w:tcMar>
            <w:vAlign w:val="center"/>
            <w:hideMark/>
          </w:tcPr>
          <w:p w14:paraId="2EDD16EC"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1-day</w:t>
            </w:r>
          </w:p>
        </w:tc>
        <w:tc>
          <w:tcPr>
            <w:tcW w:w="917" w:type="dxa"/>
            <w:shd w:val="clear" w:color="auto" w:fill="FFFFFF" w:themeFill="background1"/>
            <w:tcMar>
              <w:top w:w="15" w:type="dxa"/>
              <w:left w:w="15" w:type="dxa"/>
              <w:bottom w:w="0" w:type="dxa"/>
              <w:right w:w="15" w:type="dxa"/>
            </w:tcMar>
            <w:vAlign w:val="center"/>
            <w:hideMark/>
          </w:tcPr>
          <w:p w14:paraId="72C538DE"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$2.68M</w:t>
            </w:r>
          </w:p>
        </w:tc>
        <w:tc>
          <w:tcPr>
            <w:tcW w:w="822" w:type="dxa"/>
            <w:shd w:val="clear" w:color="auto" w:fill="FFFFFF" w:themeFill="background1"/>
            <w:tcMar>
              <w:top w:w="15" w:type="dxa"/>
              <w:left w:w="15" w:type="dxa"/>
              <w:bottom w:w="0" w:type="dxa"/>
              <w:right w:w="15" w:type="dxa"/>
            </w:tcMar>
            <w:vAlign w:val="center"/>
            <w:hideMark/>
          </w:tcPr>
          <w:p w14:paraId="13239463"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1.09%</w:t>
            </w:r>
          </w:p>
        </w:tc>
        <w:tc>
          <w:tcPr>
            <w:tcW w:w="918" w:type="dxa"/>
            <w:shd w:val="clear" w:color="auto" w:fill="FFFFFF" w:themeFill="background1"/>
            <w:tcMar>
              <w:top w:w="15" w:type="dxa"/>
              <w:left w:w="15" w:type="dxa"/>
              <w:bottom w:w="0" w:type="dxa"/>
              <w:right w:w="15" w:type="dxa"/>
            </w:tcMar>
            <w:vAlign w:val="center"/>
            <w:hideMark/>
          </w:tcPr>
          <w:p w14:paraId="570057A1"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$3.79M</w:t>
            </w:r>
          </w:p>
        </w:tc>
        <w:tc>
          <w:tcPr>
            <w:tcW w:w="1079" w:type="dxa"/>
            <w:shd w:val="clear" w:color="auto" w:fill="FFFFFF" w:themeFill="background1"/>
            <w:tcMar>
              <w:top w:w="15" w:type="dxa"/>
              <w:left w:w="15" w:type="dxa"/>
              <w:bottom w:w="0" w:type="dxa"/>
              <w:right w:w="15" w:type="dxa"/>
            </w:tcMar>
            <w:vAlign w:val="center"/>
            <w:hideMark/>
          </w:tcPr>
          <w:p w14:paraId="432EA822"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1.54%</w:t>
            </w:r>
          </w:p>
        </w:tc>
        <w:tc>
          <w:tcPr>
            <w:tcW w:w="1207" w:type="dxa"/>
            <w:shd w:val="clear" w:color="auto" w:fill="FFFFFF" w:themeFill="background1"/>
            <w:tcMar>
              <w:top w:w="15" w:type="dxa"/>
              <w:left w:w="15" w:type="dxa"/>
              <w:bottom w:w="0" w:type="dxa"/>
              <w:right w:w="15" w:type="dxa"/>
            </w:tcMar>
            <w:vAlign w:val="center"/>
            <w:hideMark/>
          </w:tcPr>
          <w:p w14:paraId="6FF508B9"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0.59%</w:t>
            </w:r>
          </w:p>
        </w:tc>
        <w:tc>
          <w:tcPr>
            <w:tcW w:w="1095" w:type="dxa"/>
            <w:shd w:val="clear" w:color="auto" w:fill="FFFFFF" w:themeFill="background1"/>
            <w:tcMar>
              <w:top w:w="15" w:type="dxa"/>
              <w:left w:w="15" w:type="dxa"/>
              <w:bottom w:w="0" w:type="dxa"/>
              <w:right w:w="15" w:type="dxa"/>
            </w:tcMar>
            <w:vAlign w:val="center"/>
            <w:hideMark/>
          </w:tcPr>
          <w:p w14:paraId="265CA263"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2.28%</w:t>
            </w:r>
          </w:p>
        </w:tc>
        <w:tc>
          <w:tcPr>
            <w:tcW w:w="1610" w:type="dxa"/>
            <w:shd w:val="clear" w:color="auto" w:fill="FFFFFF" w:themeFill="background1"/>
            <w:tcMar>
              <w:top w:w="15" w:type="dxa"/>
              <w:left w:w="15" w:type="dxa"/>
              <w:bottom w:w="0" w:type="dxa"/>
              <w:right w:w="15" w:type="dxa"/>
            </w:tcMar>
            <w:vAlign w:val="center"/>
            <w:hideMark/>
          </w:tcPr>
          <w:p w14:paraId="4ACE6923" w14:textId="4A9980F5" w:rsidR="003C2550" w:rsidRPr="003C2550" w:rsidRDefault="003C2550" w:rsidP="003C2550">
            <w:pPr>
              <w:pStyle w:val="BodyText"/>
              <w:jc w:val="center"/>
              <w:rPr>
                <w:rFonts w:ascii="Calibri" w:hAnsi="Calibri"/>
                <w:sz w:val="24"/>
                <w:szCs w:val="24"/>
              </w:rPr>
            </w:pPr>
            <w:r w:rsidRPr="003C2550">
              <w:rPr>
                <w:rFonts w:ascii="Calibri" w:hAnsi="Calibri"/>
                <w:sz w:val="24"/>
                <w:szCs w:val="24"/>
              </w:rPr>
              <w:t>$3.35M (1.36%)</w:t>
            </w:r>
          </w:p>
        </w:tc>
        <w:tc>
          <w:tcPr>
            <w:tcW w:w="1710" w:type="dxa"/>
            <w:shd w:val="clear" w:color="auto" w:fill="FFFFFF" w:themeFill="background1"/>
            <w:tcMar>
              <w:top w:w="15" w:type="dxa"/>
              <w:left w:w="15" w:type="dxa"/>
              <w:bottom w:w="0" w:type="dxa"/>
              <w:right w:w="15" w:type="dxa"/>
            </w:tcMar>
            <w:vAlign w:val="center"/>
            <w:hideMark/>
          </w:tcPr>
          <w:p w14:paraId="14817D4A" w14:textId="0D1F1372" w:rsidR="003C2550" w:rsidRPr="003C2550" w:rsidRDefault="003C2550" w:rsidP="003C2550">
            <w:pPr>
              <w:pStyle w:val="BodyText"/>
              <w:jc w:val="center"/>
              <w:rPr>
                <w:rFonts w:ascii="Calibri" w:hAnsi="Calibri"/>
                <w:sz w:val="24"/>
                <w:szCs w:val="24"/>
              </w:rPr>
            </w:pPr>
            <w:r w:rsidRPr="003C2550">
              <w:rPr>
                <w:rFonts w:ascii="Calibri" w:hAnsi="Calibri"/>
                <w:sz w:val="24"/>
                <w:szCs w:val="24"/>
              </w:rPr>
              <w:t>$4.33M (1.76%)</w:t>
            </w:r>
          </w:p>
        </w:tc>
      </w:tr>
      <w:tr w:rsidR="003C2550" w:rsidRPr="003C2550" w14:paraId="557975B2" w14:textId="77777777" w:rsidTr="000570E6">
        <w:trPr>
          <w:trHeight w:val="294"/>
        </w:trPr>
        <w:tc>
          <w:tcPr>
            <w:tcW w:w="917" w:type="dxa"/>
            <w:shd w:val="clear" w:color="auto" w:fill="B9D4ED"/>
            <w:tcMar>
              <w:top w:w="15" w:type="dxa"/>
              <w:left w:w="15" w:type="dxa"/>
              <w:bottom w:w="0" w:type="dxa"/>
              <w:right w:w="15" w:type="dxa"/>
            </w:tcMar>
            <w:vAlign w:val="center"/>
            <w:hideMark/>
          </w:tcPr>
          <w:p w14:paraId="7338C4DD"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10-day</w:t>
            </w:r>
          </w:p>
        </w:tc>
        <w:tc>
          <w:tcPr>
            <w:tcW w:w="917" w:type="dxa"/>
            <w:shd w:val="clear" w:color="auto" w:fill="B9D4ED"/>
            <w:tcMar>
              <w:top w:w="15" w:type="dxa"/>
              <w:left w:w="15" w:type="dxa"/>
              <w:bottom w:w="0" w:type="dxa"/>
              <w:right w:w="15" w:type="dxa"/>
            </w:tcMar>
            <w:vAlign w:val="center"/>
            <w:hideMark/>
          </w:tcPr>
          <w:p w14:paraId="63E54765"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$8.48M</w:t>
            </w:r>
          </w:p>
        </w:tc>
        <w:tc>
          <w:tcPr>
            <w:tcW w:w="822" w:type="dxa"/>
            <w:shd w:val="clear" w:color="auto" w:fill="B9D4ED"/>
            <w:tcMar>
              <w:top w:w="15" w:type="dxa"/>
              <w:left w:w="15" w:type="dxa"/>
              <w:bottom w:w="0" w:type="dxa"/>
              <w:right w:w="15" w:type="dxa"/>
            </w:tcMar>
            <w:vAlign w:val="center"/>
            <w:hideMark/>
          </w:tcPr>
          <w:p w14:paraId="6DF0EA4B"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3.45%</w:t>
            </w:r>
          </w:p>
        </w:tc>
        <w:tc>
          <w:tcPr>
            <w:tcW w:w="918" w:type="dxa"/>
            <w:shd w:val="clear" w:color="auto" w:fill="B9D4ED"/>
            <w:tcMar>
              <w:top w:w="15" w:type="dxa"/>
              <w:left w:w="15" w:type="dxa"/>
              <w:bottom w:w="0" w:type="dxa"/>
              <w:right w:w="15" w:type="dxa"/>
            </w:tcMar>
            <w:vAlign w:val="center"/>
            <w:hideMark/>
          </w:tcPr>
          <w:p w14:paraId="4E594212"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$12M</w:t>
            </w:r>
          </w:p>
        </w:tc>
        <w:tc>
          <w:tcPr>
            <w:tcW w:w="1079" w:type="dxa"/>
            <w:shd w:val="clear" w:color="auto" w:fill="B9D4ED"/>
            <w:tcMar>
              <w:top w:w="15" w:type="dxa"/>
              <w:left w:w="15" w:type="dxa"/>
              <w:bottom w:w="0" w:type="dxa"/>
              <w:right w:w="15" w:type="dxa"/>
            </w:tcMar>
            <w:vAlign w:val="center"/>
            <w:hideMark/>
          </w:tcPr>
          <w:p w14:paraId="51488C12"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4.88%</w:t>
            </w:r>
          </w:p>
        </w:tc>
        <w:tc>
          <w:tcPr>
            <w:tcW w:w="1207" w:type="dxa"/>
            <w:shd w:val="clear" w:color="auto" w:fill="B9D4ED"/>
            <w:tcMar>
              <w:top w:w="15" w:type="dxa"/>
              <w:left w:w="15" w:type="dxa"/>
              <w:bottom w:w="0" w:type="dxa"/>
              <w:right w:w="15" w:type="dxa"/>
            </w:tcMar>
            <w:vAlign w:val="center"/>
            <w:hideMark/>
          </w:tcPr>
          <w:p w14:paraId="67327F14"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1.88%</w:t>
            </w:r>
          </w:p>
        </w:tc>
        <w:tc>
          <w:tcPr>
            <w:tcW w:w="1095" w:type="dxa"/>
            <w:shd w:val="clear" w:color="auto" w:fill="B9D4ED"/>
            <w:tcMar>
              <w:top w:w="15" w:type="dxa"/>
              <w:left w:w="15" w:type="dxa"/>
              <w:bottom w:w="0" w:type="dxa"/>
              <w:right w:w="15" w:type="dxa"/>
            </w:tcMar>
            <w:vAlign w:val="center"/>
            <w:hideMark/>
          </w:tcPr>
          <w:p w14:paraId="17421BBA"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7.20%</w:t>
            </w:r>
          </w:p>
        </w:tc>
        <w:tc>
          <w:tcPr>
            <w:tcW w:w="1610" w:type="dxa"/>
            <w:shd w:val="clear" w:color="auto" w:fill="B9D4ED"/>
            <w:tcMar>
              <w:top w:w="15" w:type="dxa"/>
              <w:left w:w="15" w:type="dxa"/>
              <w:bottom w:w="0" w:type="dxa"/>
              <w:right w:w="15" w:type="dxa"/>
            </w:tcMar>
            <w:vAlign w:val="center"/>
            <w:hideMark/>
          </w:tcPr>
          <w:p w14:paraId="5E2E72E7" w14:textId="77777777" w:rsidR="003C2550" w:rsidRPr="003C2550" w:rsidRDefault="003C2550" w:rsidP="003C2550">
            <w:pPr>
              <w:pStyle w:val="BodyText"/>
              <w:jc w:val="center"/>
              <w:rPr>
                <w:rFonts w:ascii="Calibri" w:hAnsi="Calibri"/>
                <w:sz w:val="24"/>
                <w:szCs w:val="24"/>
              </w:rPr>
            </w:pPr>
          </w:p>
        </w:tc>
        <w:tc>
          <w:tcPr>
            <w:tcW w:w="1710" w:type="dxa"/>
            <w:shd w:val="clear" w:color="auto" w:fill="B9D4ED"/>
            <w:tcMar>
              <w:top w:w="15" w:type="dxa"/>
              <w:left w:w="15" w:type="dxa"/>
              <w:bottom w:w="0" w:type="dxa"/>
              <w:right w:w="15" w:type="dxa"/>
            </w:tcMar>
            <w:vAlign w:val="center"/>
            <w:hideMark/>
          </w:tcPr>
          <w:p w14:paraId="36FAFAEF" w14:textId="77777777" w:rsidR="003C2550" w:rsidRPr="003C2550" w:rsidRDefault="003C2550" w:rsidP="003C2550">
            <w:pPr>
              <w:pStyle w:val="BodyText"/>
              <w:jc w:val="center"/>
              <w:rPr>
                <w:rFonts w:ascii="Calibri" w:hAnsi="Calibri"/>
                <w:sz w:val="24"/>
                <w:szCs w:val="24"/>
              </w:rPr>
            </w:pPr>
          </w:p>
        </w:tc>
      </w:tr>
      <w:tr w:rsidR="003C2550" w:rsidRPr="003C2550" w14:paraId="1AE20645" w14:textId="77777777" w:rsidTr="000570E6">
        <w:trPr>
          <w:trHeight w:val="31"/>
        </w:trPr>
        <w:tc>
          <w:tcPr>
            <w:tcW w:w="917" w:type="dxa"/>
            <w:shd w:val="clear" w:color="auto" w:fill="FFFFFF" w:themeFill="background1"/>
            <w:tcMar>
              <w:top w:w="15" w:type="dxa"/>
              <w:left w:w="15" w:type="dxa"/>
              <w:bottom w:w="0" w:type="dxa"/>
              <w:right w:w="15" w:type="dxa"/>
            </w:tcMar>
            <w:vAlign w:val="center"/>
            <w:hideMark/>
          </w:tcPr>
          <w:p w14:paraId="2FA50375"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1-year</w:t>
            </w:r>
          </w:p>
        </w:tc>
        <w:tc>
          <w:tcPr>
            <w:tcW w:w="917" w:type="dxa"/>
            <w:shd w:val="clear" w:color="auto" w:fill="FFFFFF" w:themeFill="background1"/>
            <w:tcMar>
              <w:top w:w="15" w:type="dxa"/>
              <w:left w:w="15" w:type="dxa"/>
              <w:bottom w:w="0" w:type="dxa"/>
              <w:right w:w="15" w:type="dxa"/>
            </w:tcMar>
            <w:vAlign w:val="center"/>
            <w:hideMark/>
          </w:tcPr>
          <w:p w14:paraId="68827884"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$54.45M</w:t>
            </w:r>
          </w:p>
        </w:tc>
        <w:tc>
          <w:tcPr>
            <w:tcW w:w="822" w:type="dxa"/>
            <w:shd w:val="clear" w:color="auto" w:fill="FFFFFF" w:themeFill="background1"/>
            <w:tcMar>
              <w:top w:w="15" w:type="dxa"/>
              <w:left w:w="15" w:type="dxa"/>
              <w:bottom w:w="0" w:type="dxa"/>
              <w:right w:w="15" w:type="dxa"/>
            </w:tcMar>
            <w:vAlign w:val="center"/>
            <w:hideMark/>
          </w:tcPr>
          <w:p w14:paraId="70565810"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22.14%</w:t>
            </w:r>
          </w:p>
        </w:tc>
        <w:tc>
          <w:tcPr>
            <w:tcW w:w="918" w:type="dxa"/>
            <w:shd w:val="clear" w:color="auto" w:fill="FFFFFF" w:themeFill="background1"/>
            <w:tcMar>
              <w:top w:w="15" w:type="dxa"/>
              <w:left w:w="15" w:type="dxa"/>
              <w:bottom w:w="0" w:type="dxa"/>
              <w:right w:w="15" w:type="dxa"/>
            </w:tcMar>
            <w:vAlign w:val="center"/>
            <w:hideMark/>
          </w:tcPr>
          <w:p w14:paraId="3B7D3E2C"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$78.39M</w:t>
            </w:r>
          </w:p>
        </w:tc>
        <w:tc>
          <w:tcPr>
            <w:tcW w:w="1079" w:type="dxa"/>
            <w:shd w:val="clear" w:color="auto" w:fill="FFFFFF" w:themeFill="background1"/>
            <w:tcMar>
              <w:top w:w="15" w:type="dxa"/>
              <w:left w:w="15" w:type="dxa"/>
              <w:bottom w:w="0" w:type="dxa"/>
              <w:right w:w="15" w:type="dxa"/>
            </w:tcMar>
            <w:vAlign w:val="center"/>
            <w:hideMark/>
          </w:tcPr>
          <w:p w14:paraId="4EC6E83D"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31.87%</w:t>
            </w:r>
          </w:p>
        </w:tc>
        <w:tc>
          <w:tcPr>
            <w:tcW w:w="1207" w:type="dxa"/>
            <w:shd w:val="clear" w:color="auto" w:fill="FFFFFF" w:themeFill="background1"/>
            <w:tcMar>
              <w:top w:w="15" w:type="dxa"/>
              <w:left w:w="15" w:type="dxa"/>
              <w:bottom w:w="0" w:type="dxa"/>
              <w:right w:w="15" w:type="dxa"/>
            </w:tcMar>
            <w:vAlign w:val="center"/>
            <w:hideMark/>
          </w:tcPr>
          <w:p w14:paraId="3FC84639"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9.42%</w:t>
            </w:r>
          </w:p>
        </w:tc>
        <w:tc>
          <w:tcPr>
            <w:tcW w:w="1095" w:type="dxa"/>
            <w:shd w:val="clear" w:color="auto" w:fill="FFFFFF" w:themeFill="background1"/>
            <w:tcMar>
              <w:top w:w="15" w:type="dxa"/>
              <w:left w:w="15" w:type="dxa"/>
              <w:bottom w:w="0" w:type="dxa"/>
              <w:right w:w="15" w:type="dxa"/>
            </w:tcMar>
            <w:vAlign w:val="center"/>
            <w:hideMark/>
          </w:tcPr>
          <w:p w14:paraId="013ADF4A"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36.14%</w:t>
            </w:r>
          </w:p>
        </w:tc>
        <w:tc>
          <w:tcPr>
            <w:tcW w:w="1610" w:type="dxa"/>
            <w:shd w:val="clear" w:color="auto" w:fill="FFFFFF" w:themeFill="background1"/>
            <w:tcMar>
              <w:top w:w="15" w:type="dxa"/>
              <w:left w:w="15" w:type="dxa"/>
              <w:bottom w:w="0" w:type="dxa"/>
              <w:right w:w="15" w:type="dxa"/>
            </w:tcMar>
            <w:vAlign w:val="center"/>
            <w:hideMark/>
          </w:tcPr>
          <w:p w14:paraId="4A94C08C" w14:textId="77777777" w:rsidR="003C2550" w:rsidRPr="003C2550" w:rsidRDefault="003C2550" w:rsidP="003C2550">
            <w:pPr>
              <w:pStyle w:val="BodyText"/>
              <w:jc w:val="center"/>
              <w:rPr>
                <w:rFonts w:ascii="Calibri" w:hAnsi="Calibri"/>
                <w:sz w:val="24"/>
                <w:szCs w:val="24"/>
              </w:rPr>
            </w:pPr>
          </w:p>
        </w:tc>
        <w:tc>
          <w:tcPr>
            <w:tcW w:w="1710" w:type="dxa"/>
            <w:shd w:val="clear" w:color="auto" w:fill="FFFFFF" w:themeFill="background1"/>
            <w:tcMar>
              <w:top w:w="15" w:type="dxa"/>
              <w:left w:w="15" w:type="dxa"/>
              <w:bottom w:w="0" w:type="dxa"/>
              <w:right w:w="15" w:type="dxa"/>
            </w:tcMar>
            <w:vAlign w:val="center"/>
            <w:hideMark/>
          </w:tcPr>
          <w:p w14:paraId="47AB8A36" w14:textId="77777777" w:rsidR="003C2550" w:rsidRPr="003C2550" w:rsidRDefault="003C2550" w:rsidP="003C2550">
            <w:pPr>
              <w:pStyle w:val="BodyText"/>
              <w:jc w:val="center"/>
              <w:rPr>
                <w:rFonts w:ascii="Calibri" w:hAnsi="Calibri"/>
                <w:sz w:val="24"/>
                <w:szCs w:val="24"/>
              </w:rPr>
            </w:pPr>
          </w:p>
        </w:tc>
      </w:tr>
    </w:tbl>
    <w:p w14:paraId="2E8BDA34" w14:textId="4C3EF098" w:rsidR="00FD223C" w:rsidRDefault="0055020D" w:rsidP="004F396C">
      <w:pPr>
        <w:pStyle w:val="BodyText"/>
        <w:rPr>
          <w:b/>
          <w:bCs/>
        </w:rPr>
      </w:pPr>
      <w:r>
        <w:rPr>
          <w:noProof/>
        </w:rPr>
        <mc:AlternateContent>
          <mc:Choice Requires="wps">
            <w:drawing>
              <wp:anchor distT="0" distB="0" distL="114300" distR="114300" simplePos="0" relativeHeight="251670016" behindDoc="0" locked="0" layoutInCell="1" allowOverlap="1" wp14:anchorId="24B6E00D" wp14:editId="17C37458">
                <wp:simplePos x="0" y="0"/>
                <wp:positionH relativeFrom="column">
                  <wp:posOffset>0</wp:posOffset>
                </wp:positionH>
                <wp:positionV relativeFrom="paragraph">
                  <wp:posOffset>1800225</wp:posOffset>
                </wp:positionV>
                <wp:extent cx="2400300" cy="2286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7BD8C9" w14:textId="77979575" w:rsidR="0055020D" w:rsidRDefault="0055020D" w:rsidP="0055020D">
                            <w:r>
                              <w:t>Table2</w:t>
                            </w:r>
                            <w:r>
                              <w:t xml:space="preserve">. </w:t>
                            </w:r>
                            <w:r>
                              <w:t>Historical VaR</w:t>
                            </w:r>
                          </w:p>
                          <w:p w14:paraId="25387A27" w14:textId="77777777" w:rsidR="0055020D" w:rsidRDefault="0055020D" w:rsidP="005502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B6E00D" id="_x0000_t202" coordsize="21600,21600" o:spt="202" path="m,l,21600r21600,l21600,xe">
                <v:stroke joinstyle="miter"/>
                <v:path gradientshapeok="t" o:connecttype="rect"/>
              </v:shapetype>
              <v:shape id="Text Box 22" o:spid="_x0000_s1026" type="#_x0000_t202" style="position:absolute;left:0;text-align:left;margin-left:0;margin-top:141.75pt;width:189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" filled="f" stroked="f">
                <v:textbox>
                  <w:txbxContent>
                    <w:p w14:paraId="377BD8C9" w14:textId="77979575" w:rsidR="0055020D" w:rsidRDefault="0055020D" w:rsidP="0055020D">
                      <w:r>
                        <w:t>Table2</w:t>
                      </w:r>
                      <w:r>
                        <w:t xml:space="preserve">. </w:t>
                      </w:r>
                      <w:r>
                        <w:t>Historical VaR</w:t>
                      </w:r>
                    </w:p>
                    <w:p w14:paraId="25387A27" w14:textId="77777777" w:rsidR="0055020D" w:rsidRDefault="0055020D" w:rsidP="0055020D"/>
                  </w:txbxContent>
                </v:textbox>
                <w10:wrap type="square"/>
              </v:shape>
            </w:pict>
          </mc:Fallback>
        </mc:AlternateContent>
      </w:r>
      <w:r w:rsidR="003C2550">
        <w:rPr>
          <w:noProof/>
        </w:rPr>
        <mc:AlternateContent>
          <mc:Choice Requires="wps">
            <w:drawing>
              <wp:anchor distT="0" distB="0" distL="114300" distR="114300" simplePos="0" relativeHeight="251649536" behindDoc="0" locked="0" layoutInCell="1" allowOverlap="1" wp14:anchorId="7956B0D7" wp14:editId="44053B5F">
                <wp:simplePos x="0" y="0"/>
                <wp:positionH relativeFrom="column">
                  <wp:posOffset>0</wp:posOffset>
                </wp:positionH>
                <wp:positionV relativeFrom="paragraph">
                  <wp:posOffset>6985</wp:posOffset>
                </wp:positionV>
                <wp:extent cx="24003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A2C8D4" w14:textId="0769E309" w:rsidR="003C2550" w:rsidRDefault="003C2550" w:rsidP="003C2550">
                            <w:r>
                              <w:t>Table1</w:t>
                            </w:r>
                            <w:r>
                              <w:t>. Monte Carlo</w:t>
                            </w:r>
                            <w:r>
                              <w:t xml:space="preserve"> VaR</w:t>
                            </w:r>
                          </w:p>
                          <w:p w14:paraId="5FA694FD" w14:textId="77777777" w:rsidR="003C2550" w:rsidRDefault="003C2550" w:rsidP="003C2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56B0D7" id="Text Box 21" o:spid="_x0000_s1027" type="#_x0000_t202" style="position:absolute;left:0;text-align:left;margin-left:0;margin-top:.55pt;width:189pt;height:18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" filled="f" stroked="f">
                <v:textbox>
                  <w:txbxContent>
                    <w:p w14:paraId="2AA2C8D4" w14:textId="0769E309" w:rsidR="003C2550" w:rsidRDefault="003C2550" w:rsidP="003C2550">
                      <w:r>
                        <w:t>Table1</w:t>
                      </w:r>
                      <w:r>
                        <w:t>. Monte Carlo</w:t>
                      </w:r>
                      <w:r>
                        <w:t xml:space="preserve"> VaR</w:t>
                      </w:r>
                    </w:p>
                    <w:p w14:paraId="5FA694FD" w14:textId="77777777" w:rsidR="003C2550" w:rsidRDefault="003C2550" w:rsidP="003C2550"/>
                  </w:txbxContent>
                </v:textbox>
                <w10:wrap type="square"/>
              </v:shape>
            </w:pict>
          </mc:Fallback>
        </mc:AlternateContent>
      </w:r>
    </w:p>
    <w:tbl>
      <w:tblPr>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915"/>
        <w:gridCol w:w="904"/>
        <w:gridCol w:w="806"/>
        <w:gridCol w:w="904"/>
        <w:gridCol w:w="1076"/>
        <w:gridCol w:w="1260"/>
        <w:gridCol w:w="1080"/>
        <w:gridCol w:w="1620"/>
        <w:gridCol w:w="1746"/>
      </w:tblGrid>
      <w:tr w:rsidR="003C2550" w:rsidRPr="003C2550" w14:paraId="09D0B799" w14:textId="77777777" w:rsidTr="00BF0782">
        <w:trPr>
          <w:trHeight w:val="360"/>
        </w:trPr>
        <w:tc>
          <w:tcPr>
            <w:tcW w:w="915" w:type="dxa"/>
            <w:shd w:val="clear" w:color="auto" w:fill="20507E" w:themeFill="accent2"/>
            <w:tcMar>
              <w:top w:w="15" w:type="dxa"/>
              <w:left w:w="15" w:type="dxa"/>
              <w:bottom w:w="0" w:type="dxa"/>
              <w:right w:w="15" w:type="dxa"/>
            </w:tcMar>
            <w:vAlign w:val="center"/>
            <w:hideMark/>
          </w:tcPr>
          <w:p w14:paraId="5BED5A92" w14:textId="77777777" w:rsidR="003C2550" w:rsidRPr="003C2550" w:rsidRDefault="003C2550" w:rsidP="003C2550">
            <w:pPr>
              <w:pStyle w:val="tabletextheader"/>
              <w:rPr>
                <w:bCs/>
              </w:rPr>
            </w:pPr>
            <w:r w:rsidRPr="003C2550">
              <w:rPr>
                <w:bCs/>
              </w:rPr>
              <w:t>Time Horizon</w:t>
            </w:r>
          </w:p>
        </w:tc>
        <w:tc>
          <w:tcPr>
            <w:tcW w:w="1710" w:type="dxa"/>
            <w:gridSpan w:val="2"/>
            <w:shd w:val="clear" w:color="auto" w:fill="20507E" w:themeFill="accent2"/>
            <w:tcMar>
              <w:top w:w="15" w:type="dxa"/>
              <w:left w:w="15" w:type="dxa"/>
              <w:bottom w:w="0" w:type="dxa"/>
              <w:right w:w="15" w:type="dxa"/>
            </w:tcMar>
            <w:vAlign w:val="center"/>
            <w:hideMark/>
          </w:tcPr>
          <w:p w14:paraId="3BB86B9B" w14:textId="77777777" w:rsidR="003C2550" w:rsidRPr="003C2550" w:rsidRDefault="003C2550" w:rsidP="003C2550">
            <w:pPr>
              <w:pStyle w:val="tabletextheader"/>
              <w:rPr>
                <w:bCs/>
              </w:rPr>
            </w:pPr>
            <w:r w:rsidRPr="003C2550">
              <w:rPr>
                <w:bCs/>
              </w:rPr>
              <w:t>VaR - 95%</w:t>
            </w:r>
          </w:p>
        </w:tc>
        <w:tc>
          <w:tcPr>
            <w:tcW w:w="1980" w:type="dxa"/>
            <w:gridSpan w:val="2"/>
            <w:shd w:val="clear" w:color="auto" w:fill="20507E" w:themeFill="accent2"/>
            <w:tcMar>
              <w:top w:w="15" w:type="dxa"/>
              <w:left w:w="15" w:type="dxa"/>
              <w:bottom w:w="0" w:type="dxa"/>
              <w:right w:w="15" w:type="dxa"/>
            </w:tcMar>
            <w:vAlign w:val="center"/>
            <w:hideMark/>
          </w:tcPr>
          <w:p w14:paraId="2D04E79C" w14:textId="77777777" w:rsidR="003C2550" w:rsidRPr="003C2550" w:rsidRDefault="003C2550" w:rsidP="003C2550">
            <w:pPr>
              <w:pStyle w:val="tabletextheader"/>
              <w:rPr>
                <w:bCs/>
              </w:rPr>
            </w:pPr>
            <w:r w:rsidRPr="003C2550">
              <w:rPr>
                <w:bCs/>
              </w:rPr>
              <w:t>VaR - 99%</w:t>
            </w:r>
          </w:p>
        </w:tc>
        <w:tc>
          <w:tcPr>
            <w:tcW w:w="1260" w:type="dxa"/>
            <w:shd w:val="clear" w:color="auto" w:fill="20507E" w:themeFill="accent2"/>
            <w:tcMar>
              <w:top w:w="15" w:type="dxa"/>
              <w:left w:w="15" w:type="dxa"/>
              <w:bottom w:w="0" w:type="dxa"/>
              <w:right w:w="15" w:type="dxa"/>
            </w:tcMar>
            <w:vAlign w:val="center"/>
            <w:hideMark/>
          </w:tcPr>
          <w:p w14:paraId="30361E65" w14:textId="77777777" w:rsidR="003C2550" w:rsidRPr="003C2550" w:rsidRDefault="003C2550" w:rsidP="003C2550">
            <w:pPr>
              <w:pStyle w:val="tabletextheader"/>
              <w:rPr>
                <w:bCs/>
              </w:rPr>
            </w:pPr>
            <w:r w:rsidRPr="003C2550">
              <w:rPr>
                <w:bCs/>
              </w:rPr>
              <w:t>US S&amp;P IG Index</w:t>
            </w:r>
          </w:p>
        </w:tc>
        <w:tc>
          <w:tcPr>
            <w:tcW w:w="1080" w:type="dxa"/>
            <w:shd w:val="clear" w:color="auto" w:fill="20507E" w:themeFill="accent2"/>
            <w:tcMar>
              <w:top w:w="15" w:type="dxa"/>
              <w:left w:w="15" w:type="dxa"/>
              <w:bottom w:w="0" w:type="dxa"/>
              <w:right w:w="15" w:type="dxa"/>
            </w:tcMar>
            <w:vAlign w:val="center"/>
            <w:hideMark/>
          </w:tcPr>
          <w:p w14:paraId="2738D08D" w14:textId="77777777" w:rsidR="003C2550" w:rsidRPr="003C2550" w:rsidRDefault="003C2550" w:rsidP="003C2550">
            <w:pPr>
              <w:pStyle w:val="tabletextheader"/>
              <w:rPr>
                <w:bCs/>
              </w:rPr>
            </w:pPr>
            <w:r w:rsidRPr="003C2550">
              <w:rPr>
                <w:bCs/>
              </w:rPr>
              <w:t>S&amp;P 500</w:t>
            </w:r>
          </w:p>
        </w:tc>
        <w:tc>
          <w:tcPr>
            <w:tcW w:w="1620" w:type="dxa"/>
            <w:shd w:val="clear" w:color="auto" w:fill="20507E" w:themeFill="accent2"/>
            <w:tcMar>
              <w:top w:w="15" w:type="dxa"/>
              <w:left w:w="15" w:type="dxa"/>
              <w:bottom w:w="0" w:type="dxa"/>
              <w:right w:w="15" w:type="dxa"/>
            </w:tcMar>
            <w:vAlign w:val="center"/>
            <w:hideMark/>
          </w:tcPr>
          <w:p w14:paraId="49A56C1E" w14:textId="77777777" w:rsidR="003C2550" w:rsidRPr="003C2550" w:rsidRDefault="003C2550" w:rsidP="003C2550">
            <w:pPr>
              <w:pStyle w:val="tabletextheader"/>
              <w:rPr>
                <w:bCs/>
              </w:rPr>
            </w:pPr>
            <w:r w:rsidRPr="003C2550">
              <w:rPr>
                <w:bCs/>
              </w:rPr>
              <w:t>ES – 95%</w:t>
            </w:r>
          </w:p>
        </w:tc>
        <w:tc>
          <w:tcPr>
            <w:tcW w:w="1746" w:type="dxa"/>
            <w:shd w:val="clear" w:color="auto" w:fill="20507E" w:themeFill="accent2"/>
            <w:tcMar>
              <w:top w:w="15" w:type="dxa"/>
              <w:left w:w="15" w:type="dxa"/>
              <w:bottom w:w="0" w:type="dxa"/>
              <w:right w:w="15" w:type="dxa"/>
            </w:tcMar>
            <w:vAlign w:val="center"/>
            <w:hideMark/>
          </w:tcPr>
          <w:p w14:paraId="6A318BE5" w14:textId="77777777" w:rsidR="003C2550" w:rsidRPr="003C2550" w:rsidRDefault="003C2550" w:rsidP="003C2550">
            <w:pPr>
              <w:pStyle w:val="tabletextheader"/>
              <w:rPr>
                <w:bCs/>
              </w:rPr>
            </w:pPr>
            <w:r w:rsidRPr="003C2550">
              <w:rPr>
                <w:bCs/>
              </w:rPr>
              <w:t>ES – 99%</w:t>
            </w:r>
          </w:p>
        </w:tc>
      </w:tr>
      <w:tr w:rsidR="000570E6" w:rsidRPr="003C2550" w14:paraId="5F452EB5" w14:textId="77777777" w:rsidTr="00024AD9">
        <w:trPr>
          <w:trHeight w:val="479"/>
        </w:trPr>
        <w:tc>
          <w:tcPr>
            <w:tcW w:w="915" w:type="dxa"/>
            <w:shd w:val="clear" w:color="auto" w:fill="FFFFFF" w:themeFill="background1"/>
            <w:tcMar>
              <w:top w:w="15" w:type="dxa"/>
              <w:left w:w="15" w:type="dxa"/>
              <w:bottom w:w="0" w:type="dxa"/>
              <w:right w:w="15" w:type="dxa"/>
            </w:tcMar>
            <w:vAlign w:val="center"/>
            <w:hideMark/>
          </w:tcPr>
          <w:p w14:paraId="27200F2C"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1-day</w:t>
            </w:r>
          </w:p>
        </w:tc>
        <w:tc>
          <w:tcPr>
            <w:tcW w:w="904" w:type="dxa"/>
            <w:shd w:val="clear" w:color="auto" w:fill="FFFFFF" w:themeFill="background1"/>
            <w:tcMar>
              <w:top w:w="15" w:type="dxa"/>
              <w:left w:w="15" w:type="dxa"/>
              <w:bottom w:w="0" w:type="dxa"/>
              <w:right w:w="15" w:type="dxa"/>
            </w:tcMar>
            <w:vAlign w:val="center"/>
            <w:hideMark/>
          </w:tcPr>
          <w:p w14:paraId="13F2D35E"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$2.97M</w:t>
            </w:r>
          </w:p>
        </w:tc>
        <w:tc>
          <w:tcPr>
            <w:tcW w:w="806" w:type="dxa"/>
            <w:shd w:val="clear" w:color="auto" w:fill="FFFFFF" w:themeFill="background1"/>
            <w:tcMar>
              <w:top w:w="15" w:type="dxa"/>
              <w:left w:w="15" w:type="dxa"/>
              <w:bottom w:w="0" w:type="dxa"/>
              <w:right w:w="15" w:type="dxa"/>
            </w:tcMar>
            <w:vAlign w:val="center"/>
            <w:hideMark/>
          </w:tcPr>
          <w:p w14:paraId="65A38275"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1.19%</w:t>
            </w:r>
          </w:p>
        </w:tc>
        <w:tc>
          <w:tcPr>
            <w:tcW w:w="904" w:type="dxa"/>
            <w:shd w:val="clear" w:color="auto" w:fill="FFFFFF" w:themeFill="background1"/>
            <w:tcMar>
              <w:top w:w="15" w:type="dxa"/>
              <w:left w:w="15" w:type="dxa"/>
              <w:bottom w:w="0" w:type="dxa"/>
              <w:right w:w="15" w:type="dxa"/>
            </w:tcMar>
            <w:vAlign w:val="center"/>
            <w:hideMark/>
          </w:tcPr>
          <w:p w14:paraId="4CD09D04"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$4.57M</w:t>
            </w:r>
          </w:p>
        </w:tc>
        <w:tc>
          <w:tcPr>
            <w:tcW w:w="1076" w:type="dxa"/>
            <w:shd w:val="clear" w:color="auto" w:fill="FFFFFF" w:themeFill="background1"/>
            <w:tcMar>
              <w:top w:w="15" w:type="dxa"/>
              <w:left w:w="15" w:type="dxa"/>
              <w:bottom w:w="0" w:type="dxa"/>
              <w:right w:w="15" w:type="dxa"/>
            </w:tcMar>
            <w:vAlign w:val="center"/>
            <w:hideMark/>
          </w:tcPr>
          <w:p w14:paraId="7A248C79"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1.84%</w:t>
            </w:r>
          </w:p>
        </w:tc>
        <w:tc>
          <w:tcPr>
            <w:tcW w:w="1260" w:type="dxa"/>
            <w:shd w:val="clear" w:color="auto" w:fill="FFFFFF" w:themeFill="background1"/>
            <w:tcMar>
              <w:top w:w="15" w:type="dxa"/>
              <w:left w:w="15" w:type="dxa"/>
              <w:bottom w:w="0" w:type="dxa"/>
              <w:right w:w="15" w:type="dxa"/>
            </w:tcMar>
            <w:vAlign w:val="center"/>
            <w:hideMark/>
          </w:tcPr>
          <w:p w14:paraId="672DFEFB"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0.59%</w:t>
            </w:r>
          </w:p>
        </w:tc>
        <w:tc>
          <w:tcPr>
            <w:tcW w:w="1080" w:type="dxa"/>
            <w:shd w:val="clear" w:color="auto" w:fill="FFFFFF" w:themeFill="background1"/>
            <w:tcMar>
              <w:top w:w="15" w:type="dxa"/>
              <w:left w:w="15" w:type="dxa"/>
              <w:bottom w:w="0" w:type="dxa"/>
              <w:right w:w="15" w:type="dxa"/>
            </w:tcMar>
            <w:vAlign w:val="center"/>
            <w:hideMark/>
          </w:tcPr>
          <w:p w14:paraId="6A9BDB4B"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2.28%</w:t>
            </w:r>
          </w:p>
        </w:tc>
        <w:tc>
          <w:tcPr>
            <w:tcW w:w="1620" w:type="dxa"/>
            <w:shd w:val="clear" w:color="auto" w:fill="FFFFFF" w:themeFill="background1"/>
            <w:tcMar>
              <w:top w:w="15" w:type="dxa"/>
              <w:left w:w="15" w:type="dxa"/>
              <w:bottom w:w="0" w:type="dxa"/>
              <w:right w:w="15" w:type="dxa"/>
            </w:tcMar>
            <w:vAlign w:val="center"/>
            <w:hideMark/>
          </w:tcPr>
          <w:p w14:paraId="7838AC9A"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$5.40M (2.17%)</w:t>
            </w:r>
          </w:p>
        </w:tc>
        <w:tc>
          <w:tcPr>
            <w:tcW w:w="1746" w:type="dxa"/>
            <w:shd w:val="clear" w:color="auto" w:fill="FFFFFF" w:themeFill="background1"/>
            <w:tcMar>
              <w:top w:w="15" w:type="dxa"/>
              <w:left w:w="15" w:type="dxa"/>
              <w:bottom w:w="0" w:type="dxa"/>
              <w:right w:w="15" w:type="dxa"/>
            </w:tcMar>
            <w:vAlign w:val="center"/>
            <w:hideMark/>
          </w:tcPr>
          <w:p w14:paraId="3142806A"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$11.33M (4.56%)</w:t>
            </w:r>
          </w:p>
        </w:tc>
      </w:tr>
      <w:tr w:rsidR="000570E6" w:rsidRPr="003C2550" w14:paraId="08B7EC39" w14:textId="77777777" w:rsidTr="00172DBF">
        <w:trPr>
          <w:trHeight w:val="376"/>
        </w:trPr>
        <w:tc>
          <w:tcPr>
            <w:tcW w:w="915" w:type="dxa"/>
            <w:shd w:val="clear" w:color="auto" w:fill="B9D4ED"/>
            <w:tcMar>
              <w:top w:w="15" w:type="dxa"/>
              <w:left w:w="15" w:type="dxa"/>
              <w:bottom w:w="0" w:type="dxa"/>
              <w:right w:w="15" w:type="dxa"/>
            </w:tcMar>
            <w:vAlign w:val="center"/>
            <w:hideMark/>
          </w:tcPr>
          <w:p w14:paraId="7C1DCB8A" w14:textId="5C66D311" w:rsidR="003C2550" w:rsidRPr="003C2550" w:rsidRDefault="003C2550" w:rsidP="003C2550">
            <w:pPr>
              <w:pStyle w:val="BodyText"/>
              <w:jc w:val="center"/>
              <w:rPr>
                <w:rFonts w:ascii="Calibri" w:hAnsi="Calibri"/>
                <w:sz w:val="24"/>
                <w:szCs w:val="24"/>
              </w:rPr>
            </w:pPr>
            <w:r w:rsidRPr="003C2550">
              <w:rPr>
                <w:rFonts w:ascii="Calibri" w:hAnsi="Calibri"/>
                <w:sz w:val="24"/>
                <w:szCs w:val="24"/>
              </w:rPr>
              <w:t>10-day</w:t>
            </w:r>
          </w:p>
        </w:tc>
        <w:tc>
          <w:tcPr>
            <w:tcW w:w="904" w:type="dxa"/>
            <w:shd w:val="clear" w:color="auto" w:fill="B9D4ED"/>
            <w:tcMar>
              <w:top w:w="15" w:type="dxa"/>
              <w:left w:w="15" w:type="dxa"/>
              <w:bottom w:w="0" w:type="dxa"/>
              <w:right w:w="15" w:type="dxa"/>
            </w:tcMar>
            <w:vAlign w:val="center"/>
            <w:hideMark/>
          </w:tcPr>
          <w:p w14:paraId="1E165BA8"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$9.38M</w:t>
            </w:r>
          </w:p>
        </w:tc>
        <w:tc>
          <w:tcPr>
            <w:tcW w:w="806" w:type="dxa"/>
            <w:shd w:val="clear" w:color="auto" w:fill="B9D4ED"/>
            <w:tcMar>
              <w:top w:w="15" w:type="dxa"/>
              <w:left w:w="15" w:type="dxa"/>
              <w:bottom w:w="0" w:type="dxa"/>
              <w:right w:w="15" w:type="dxa"/>
            </w:tcMar>
            <w:vAlign w:val="center"/>
            <w:hideMark/>
          </w:tcPr>
          <w:p w14:paraId="5AC6EC82"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3.77%</w:t>
            </w:r>
          </w:p>
        </w:tc>
        <w:tc>
          <w:tcPr>
            <w:tcW w:w="904" w:type="dxa"/>
            <w:shd w:val="clear" w:color="auto" w:fill="B9D4ED"/>
            <w:tcMar>
              <w:top w:w="15" w:type="dxa"/>
              <w:left w:w="15" w:type="dxa"/>
              <w:bottom w:w="0" w:type="dxa"/>
              <w:right w:w="15" w:type="dxa"/>
            </w:tcMar>
            <w:vAlign w:val="center"/>
            <w:hideMark/>
          </w:tcPr>
          <w:p w14:paraId="1C6C2513"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$14.46M</w:t>
            </w:r>
          </w:p>
        </w:tc>
        <w:tc>
          <w:tcPr>
            <w:tcW w:w="1076" w:type="dxa"/>
            <w:shd w:val="clear" w:color="auto" w:fill="B9D4ED"/>
            <w:tcMar>
              <w:top w:w="15" w:type="dxa"/>
              <w:left w:w="15" w:type="dxa"/>
              <w:bottom w:w="0" w:type="dxa"/>
              <w:right w:w="15" w:type="dxa"/>
            </w:tcMar>
            <w:vAlign w:val="center"/>
            <w:hideMark/>
          </w:tcPr>
          <w:p w14:paraId="7BD70850"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5.82%</w:t>
            </w:r>
          </w:p>
        </w:tc>
        <w:tc>
          <w:tcPr>
            <w:tcW w:w="1260" w:type="dxa"/>
            <w:shd w:val="clear" w:color="auto" w:fill="B9D4ED"/>
            <w:tcMar>
              <w:top w:w="15" w:type="dxa"/>
              <w:left w:w="15" w:type="dxa"/>
              <w:bottom w:w="0" w:type="dxa"/>
              <w:right w:w="15" w:type="dxa"/>
            </w:tcMar>
            <w:vAlign w:val="center"/>
            <w:hideMark/>
          </w:tcPr>
          <w:p w14:paraId="0366F108"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1.88%</w:t>
            </w:r>
          </w:p>
        </w:tc>
        <w:tc>
          <w:tcPr>
            <w:tcW w:w="1080" w:type="dxa"/>
            <w:shd w:val="clear" w:color="auto" w:fill="B9D4ED"/>
            <w:tcMar>
              <w:top w:w="15" w:type="dxa"/>
              <w:left w:w="15" w:type="dxa"/>
              <w:bottom w:w="0" w:type="dxa"/>
              <w:right w:w="15" w:type="dxa"/>
            </w:tcMar>
            <w:vAlign w:val="center"/>
            <w:hideMark/>
          </w:tcPr>
          <w:p w14:paraId="1F397F13"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7.20%</w:t>
            </w:r>
          </w:p>
        </w:tc>
        <w:tc>
          <w:tcPr>
            <w:tcW w:w="1620" w:type="dxa"/>
            <w:shd w:val="clear" w:color="auto" w:fill="B9D4ED"/>
            <w:tcMar>
              <w:top w:w="15" w:type="dxa"/>
              <w:left w:w="15" w:type="dxa"/>
              <w:bottom w:w="0" w:type="dxa"/>
              <w:right w:w="15" w:type="dxa"/>
            </w:tcMar>
            <w:vAlign w:val="center"/>
            <w:hideMark/>
          </w:tcPr>
          <w:p w14:paraId="7BCCB418" w14:textId="77777777" w:rsidR="003C2550" w:rsidRPr="003C2550" w:rsidRDefault="003C2550" w:rsidP="003C2550">
            <w:pPr>
              <w:pStyle w:val="BodyText"/>
              <w:jc w:val="center"/>
              <w:rPr>
                <w:rFonts w:ascii="Calibri" w:hAnsi="Calibri"/>
                <w:sz w:val="24"/>
                <w:szCs w:val="24"/>
              </w:rPr>
            </w:pPr>
          </w:p>
        </w:tc>
        <w:tc>
          <w:tcPr>
            <w:tcW w:w="1746" w:type="dxa"/>
            <w:shd w:val="clear" w:color="auto" w:fill="B9D4ED"/>
            <w:tcMar>
              <w:top w:w="15" w:type="dxa"/>
              <w:left w:w="15" w:type="dxa"/>
              <w:bottom w:w="0" w:type="dxa"/>
              <w:right w:w="15" w:type="dxa"/>
            </w:tcMar>
            <w:vAlign w:val="center"/>
            <w:hideMark/>
          </w:tcPr>
          <w:p w14:paraId="772605C2" w14:textId="77777777" w:rsidR="003C2550" w:rsidRPr="003C2550" w:rsidRDefault="003C2550" w:rsidP="003C2550">
            <w:pPr>
              <w:pStyle w:val="BodyText"/>
              <w:jc w:val="center"/>
              <w:rPr>
                <w:rFonts w:ascii="Calibri" w:hAnsi="Calibri"/>
                <w:sz w:val="24"/>
                <w:szCs w:val="24"/>
              </w:rPr>
            </w:pPr>
          </w:p>
        </w:tc>
      </w:tr>
      <w:tr w:rsidR="000570E6" w:rsidRPr="003C2550" w14:paraId="15809038" w14:textId="77777777" w:rsidTr="00172DBF">
        <w:trPr>
          <w:trHeight w:val="376"/>
        </w:trPr>
        <w:tc>
          <w:tcPr>
            <w:tcW w:w="915" w:type="dxa"/>
            <w:shd w:val="clear" w:color="auto" w:fill="FFFFFF" w:themeFill="background1"/>
            <w:tcMar>
              <w:top w:w="15" w:type="dxa"/>
              <w:left w:w="15" w:type="dxa"/>
              <w:bottom w:w="0" w:type="dxa"/>
              <w:right w:w="15" w:type="dxa"/>
            </w:tcMar>
            <w:vAlign w:val="center"/>
            <w:hideMark/>
          </w:tcPr>
          <w:p w14:paraId="12EE0D38" w14:textId="76CDFBDA" w:rsidR="003C2550" w:rsidRPr="003C2550" w:rsidRDefault="003C2550" w:rsidP="003C2550">
            <w:pPr>
              <w:pStyle w:val="BodyText"/>
              <w:jc w:val="center"/>
              <w:rPr>
                <w:rFonts w:ascii="Calibri" w:hAnsi="Calibri"/>
                <w:sz w:val="24"/>
                <w:szCs w:val="24"/>
              </w:rPr>
            </w:pPr>
            <w:r w:rsidRPr="003C2550">
              <w:rPr>
                <w:rFonts w:ascii="Calibri" w:hAnsi="Calibri"/>
                <w:sz w:val="24"/>
                <w:szCs w:val="24"/>
              </w:rPr>
              <w:t>1-year</w:t>
            </w:r>
          </w:p>
        </w:tc>
        <w:tc>
          <w:tcPr>
            <w:tcW w:w="904" w:type="dxa"/>
            <w:shd w:val="clear" w:color="auto" w:fill="FFFFFF" w:themeFill="background1"/>
            <w:tcMar>
              <w:top w:w="15" w:type="dxa"/>
              <w:left w:w="15" w:type="dxa"/>
              <w:bottom w:w="0" w:type="dxa"/>
              <w:right w:w="15" w:type="dxa"/>
            </w:tcMar>
            <w:vAlign w:val="center"/>
            <w:hideMark/>
          </w:tcPr>
          <w:p w14:paraId="517DCDE6"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$47.08M</w:t>
            </w:r>
          </w:p>
        </w:tc>
        <w:tc>
          <w:tcPr>
            <w:tcW w:w="806" w:type="dxa"/>
            <w:shd w:val="clear" w:color="auto" w:fill="FFFFFF" w:themeFill="background1"/>
            <w:tcMar>
              <w:top w:w="15" w:type="dxa"/>
              <w:left w:w="15" w:type="dxa"/>
              <w:bottom w:w="0" w:type="dxa"/>
              <w:right w:w="15" w:type="dxa"/>
            </w:tcMar>
            <w:vAlign w:val="center"/>
            <w:hideMark/>
          </w:tcPr>
          <w:p w14:paraId="6250BF01"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18.94%</w:t>
            </w:r>
          </w:p>
        </w:tc>
        <w:tc>
          <w:tcPr>
            <w:tcW w:w="904" w:type="dxa"/>
            <w:shd w:val="clear" w:color="auto" w:fill="FFFFFF" w:themeFill="background1"/>
            <w:tcMar>
              <w:top w:w="15" w:type="dxa"/>
              <w:left w:w="15" w:type="dxa"/>
              <w:bottom w:w="0" w:type="dxa"/>
              <w:right w:w="15" w:type="dxa"/>
            </w:tcMar>
            <w:vAlign w:val="center"/>
            <w:hideMark/>
          </w:tcPr>
          <w:p w14:paraId="4EBC6A05"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$72.61M</w:t>
            </w:r>
          </w:p>
        </w:tc>
        <w:tc>
          <w:tcPr>
            <w:tcW w:w="1076" w:type="dxa"/>
            <w:shd w:val="clear" w:color="auto" w:fill="FFFFFF" w:themeFill="background1"/>
            <w:tcMar>
              <w:top w:w="15" w:type="dxa"/>
              <w:left w:w="15" w:type="dxa"/>
              <w:bottom w:w="0" w:type="dxa"/>
              <w:right w:w="15" w:type="dxa"/>
            </w:tcMar>
            <w:vAlign w:val="center"/>
            <w:hideMark/>
          </w:tcPr>
          <w:p w14:paraId="2D3C27CC"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29.22%</w:t>
            </w:r>
          </w:p>
        </w:tc>
        <w:tc>
          <w:tcPr>
            <w:tcW w:w="1260" w:type="dxa"/>
            <w:shd w:val="clear" w:color="auto" w:fill="FFFFFF" w:themeFill="background1"/>
            <w:tcMar>
              <w:top w:w="15" w:type="dxa"/>
              <w:left w:w="15" w:type="dxa"/>
              <w:bottom w:w="0" w:type="dxa"/>
              <w:right w:w="15" w:type="dxa"/>
            </w:tcMar>
            <w:vAlign w:val="center"/>
            <w:hideMark/>
          </w:tcPr>
          <w:p w14:paraId="77CF78C0"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9.42%</w:t>
            </w:r>
          </w:p>
        </w:tc>
        <w:tc>
          <w:tcPr>
            <w:tcW w:w="1080" w:type="dxa"/>
            <w:shd w:val="clear" w:color="auto" w:fill="FFFFFF" w:themeFill="background1"/>
            <w:tcMar>
              <w:top w:w="15" w:type="dxa"/>
              <w:left w:w="15" w:type="dxa"/>
              <w:bottom w:w="0" w:type="dxa"/>
              <w:right w:w="15" w:type="dxa"/>
            </w:tcMar>
            <w:vAlign w:val="center"/>
            <w:hideMark/>
          </w:tcPr>
          <w:p w14:paraId="6D584E11" w14:textId="77777777" w:rsidR="003C2550" w:rsidRPr="003C2550" w:rsidRDefault="003C2550" w:rsidP="003C2550">
            <w:pPr>
              <w:pStyle w:val="BodyText"/>
              <w:jc w:val="center"/>
              <w:rPr>
                <w:rFonts w:ascii="Calibri" w:hAnsi="Calibri"/>
                <w:sz w:val="24"/>
                <w:szCs w:val="24"/>
              </w:rPr>
            </w:pPr>
            <w:r w:rsidRPr="003C2550">
              <w:rPr>
                <w:rFonts w:ascii="Calibri" w:hAnsi="Calibri"/>
                <w:sz w:val="24"/>
                <w:szCs w:val="24"/>
              </w:rPr>
              <w:t>36.14%</w:t>
            </w:r>
          </w:p>
        </w:tc>
        <w:tc>
          <w:tcPr>
            <w:tcW w:w="1620" w:type="dxa"/>
            <w:shd w:val="clear" w:color="auto" w:fill="FFFFFF" w:themeFill="background1"/>
            <w:tcMar>
              <w:top w:w="15" w:type="dxa"/>
              <w:left w:w="15" w:type="dxa"/>
              <w:bottom w:w="0" w:type="dxa"/>
              <w:right w:w="15" w:type="dxa"/>
            </w:tcMar>
            <w:vAlign w:val="center"/>
            <w:hideMark/>
          </w:tcPr>
          <w:p w14:paraId="6FB7C6CD" w14:textId="77777777" w:rsidR="003C2550" w:rsidRPr="003C2550" w:rsidRDefault="003C2550" w:rsidP="003C2550">
            <w:pPr>
              <w:pStyle w:val="BodyText"/>
              <w:jc w:val="center"/>
              <w:rPr>
                <w:rFonts w:ascii="Calibri" w:hAnsi="Calibri"/>
                <w:sz w:val="24"/>
                <w:szCs w:val="24"/>
              </w:rPr>
            </w:pPr>
          </w:p>
        </w:tc>
        <w:tc>
          <w:tcPr>
            <w:tcW w:w="1746" w:type="dxa"/>
            <w:shd w:val="clear" w:color="auto" w:fill="FFFFFF" w:themeFill="background1"/>
            <w:tcMar>
              <w:top w:w="15" w:type="dxa"/>
              <w:left w:w="15" w:type="dxa"/>
              <w:bottom w:w="0" w:type="dxa"/>
              <w:right w:w="15" w:type="dxa"/>
            </w:tcMar>
            <w:vAlign w:val="center"/>
            <w:hideMark/>
          </w:tcPr>
          <w:p w14:paraId="7852A493" w14:textId="77777777" w:rsidR="003C2550" w:rsidRPr="003C2550" w:rsidRDefault="003C2550" w:rsidP="003C2550">
            <w:pPr>
              <w:pStyle w:val="BodyText"/>
              <w:jc w:val="center"/>
              <w:rPr>
                <w:rFonts w:ascii="Calibri" w:hAnsi="Calibri"/>
                <w:sz w:val="24"/>
                <w:szCs w:val="24"/>
              </w:rPr>
            </w:pPr>
          </w:p>
        </w:tc>
      </w:tr>
    </w:tbl>
    <w:p w14:paraId="4C610E2F" w14:textId="244D8047" w:rsidR="003C2550" w:rsidRDefault="003C2550" w:rsidP="009109D0">
      <w:pPr>
        <w:pStyle w:val="Heading2"/>
      </w:pPr>
    </w:p>
    <w:p w14:paraId="322B5DD2" w14:textId="0FBB6A79" w:rsidR="004E155E" w:rsidRDefault="00F448FC" w:rsidP="009109D0">
      <w:pPr>
        <w:pStyle w:val="Heading2"/>
      </w:pPr>
      <w:r>
        <w:t>Marginal V</w:t>
      </w:r>
      <w:r w:rsidR="009109D0">
        <w:t xml:space="preserve">alue </w:t>
      </w:r>
      <w:r>
        <w:t>a</w:t>
      </w:r>
      <w:r w:rsidR="009109D0">
        <w:t xml:space="preserve">t </w:t>
      </w:r>
      <w:r>
        <w:t>R</w:t>
      </w:r>
      <w:r w:rsidR="009109D0">
        <w:t>isk (M</w:t>
      </w:r>
      <w:r w:rsidR="0036367B">
        <w:t>V</w:t>
      </w:r>
      <w:r w:rsidR="009109D0">
        <w:t>aR)</w:t>
      </w:r>
    </w:p>
    <w:p w14:paraId="463ECABE" w14:textId="568F39BD" w:rsidR="00FD223C" w:rsidRPr="005D4D55" w:rsidRDefault="00FD223C" w:rsidP="00FD223C">
      <w:pPr>
        <w:jc w:val="both"/>
        <w:rPr>
          <w:rFonts w:ascii="Cambria" w:hAnsi="Cambria"/>
          <w:color w:val="auto"/>
          <w:szCs w:val="20"/>
        </w:rPr>
      </w:pPr>
      <w:r w:rsidRPr="005D4D55">
        <w:rPr>
          <w:rFonts w:ascii="Cambria" w:hAnsi="Cambria"/>
          <w:color w:val="auto"/>
          <w:szCs w:val="20"/>
          <w:shd w:val="clear" w:color="auto" w:fill="FEFEFE"/>
        </w:rPr>
        <w:t>When calculating VaR it is always important to report the Marginal Value at Risk so that it is possible to have an idea of what the contribution of each asset class is to the total Value-at-Risk. Marginal VaR allows to study the effects of adding or subtracting positions from an investment portfolio, since our portfolio is greatly exposed to Bonds, we will expect the MVaR for this asset class is higher than all the others.</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2409"/>
        <w:gridCol w:w="1204"/>
        <w:gridCol w:w="1213"/>
      </w:tblGrid>
      <w:tr w:rsidR="009109D0" w:rsidRPr="00743AC8" w14:paraId="09884FA5" w14:textId="77777777" w:rsidTr="00FB0C30">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48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743AC8" w:rsidRDefault="009109D0" w:rsidP="00743AC8">
            <w:pPr>
              <w:pStyle w:val="tabletextheader"/>
              <w:rPr>
                <w:b/>
              </w:rPr>
            </w:pPr>
            <w:r w:rsidRPr="00743AC8">
              <w:rPr>
                <w:b/>
              </w:rPr>
              <w:t>1-day 99% M</w:t>
            </w:r>
            <w:r w:rsidR="0036367B" w:rsidRPr="00743AC8">
              <w:rPr>
                <w:b/>
              </w:rPr>
              <w:t>V</w:t>
            </w:r>
            <w:r w:rsidRPr="00743AC8">
              <w:rPr>
                <w:b/>
              </w:rPr>
              <w:t>aR</w:t>
            </w:r>
          </w:p>
        </w:tc>
      </w:tr>
      <w:tr w:rsidR="001C6AE0" w:rsidRPr="00E2493E" w14:paraId="730E19B3" w14:textId="77777777" w:rsidTr="00DE76D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4A5D734C" w14:textId="7EFCE0F5" w:rsidR="001C6AE0" w:rsidRPr="00DE76D0" w:rsidRDefault="001C6AE0" w:rsidP="00DE76D0">
            <w:pPr>
              <w:pStyle w:val="tabletextheader"/>
              <w:rPr>
                <w:b/>
              </w:rPr>
            </w:pPr>
            <w:r w:rsidRPr="00DE76D0">
              <w:rPr>
                <w:b/>
              </w:rPr>
              <w:t>Asset Class</w:t>
            </w:r>
          </w:p>
        </w:tc>
        <w:tc>
          <w:tcPr>
            <w:tcW w:w="1204"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7E1D0CFD" w14:textId="2FD22CBD" w:rsidR="001C6AE0" w:rsidRPr="00DE76D0" w:rsidRDefault="001C6AE0" w:rsidP="00DE76D0">
            <w:pPr>
              <w:pStyle w:val="tabletextheader"/>
              <w:cnfStyle w:val="000000100000" w:firstRow="0" w:lastRow="0" w:firstColumn="0" w:lastColumn="0" w:oddVBand="0" w:evenVBand="0" w:oddHBand="1" w:evenHBand="0" w:firstRowFirstColumn="0" w:firstRowLastColumn="0" w:lastRowFirstColumn="0" w:lastRowLastColumn="0"/>
            </w:pPr>
            <w:r w:rsidRPr="00DE76D0">
              <w:t>VaR</w:t>
            </w:r>
          </w:p>
        </w:tc>
        <w:tc>
          <w:tcPr>
            <w:tcW w:w="1213"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3B8832B5" w14:textId="6A6619EF" w:rsidR="001C6AE0" w:rsidRPr="00DE76D0" w:rsidRDefault="001C6AE0" w:rsidP="00DE76D0">
            <w:pPr>
              <w:pStyle w:val="tabletextheader"/>
              <w:cnfStyle w:val="000000100000" w:firstRow="0" w:lastRow="0" w:firstColumn="0" w:lastColumn="0" w:oddVBand="0" w:evenVBand="0" w:oddHBand="1" w:evenHBand="0" w:firstRowFirstColumn="0" w:firstRowLastColumn="0" w:lastRowFirstColumn="0" w:lastRowLastColumn="0"/>
            </w:pPr>
            <w:r w:rsidRPr="00DE76D0">
              <w:t>% AUM</w:t>
            </w:r>
          </w:p>
        </w:tc>
      </w:tr>
      <w:tr w:rsidR="009109D0" w:rsidRPr="00E2493E" w14:paraId="132012DC" w14:textId="77777777" w:rsidTr="00FB0C30">
        <w:trPr>
          <w:cnfStyle w:val="000000010000" w:firstRow="0" w:lastRow="0" w:firstColumn="0" w:lastColumn="0" w:oddVBand="0" w:evenVBand="0" w:oddHBand="0" w:evenHBand="1"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000000" w:themeColor="text1"/>
              <w:left w:val="single" w:sz="4" w:space="0" w:color="auto"/>
              <w:bottom w:val="single" w:sz="4" w:space="0" w:color="auto"/>
              <w:right w:val="single" w:sz="4" w:space="0" w:color="auto"/>
            </w:tcBorders>
            <w:vAlign w:val="center"/>
          </w:tcPr>
          <w:p w14:paraId="6915F26F" w14:textId="017999A1" w:rsidR="009109D0" w:rsidRPr="00E2493E" w:rsidRDefault="002A30B5" w:rsidP="00DE76D0">
            <w:pPr>
              <w:pStyle w:val="tabletext"/>
            </w:pPr>
            <w:r>
              <w:t>B</w:t>
            </w:r>
            <w:r w:rsidR="009109D0" w:rsidRPr="00E2493E">
              <w:t>onds</w:t>
            </w:r>
          </w:p>
        </w:tc>
        <w:tc>
          <w:tcPr>
            <w:tcW w:w="120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FD223C" w:rsidRDefault="000A3B2A" w:rsidP="00DE76D0">
            <w:pPr>
              <w:pStyle w:val="tabletext"/>
              <w:cnfStyle w:val="000000010000" w:firstRow="0" w:lastRow="0" w:firstColumn="0" w:lastColumn="0" w:oddVBand="0" w:evenVBand="0" w:oddHBand="0" w:evenHBand="1" w:firstRowFirstColumn="0" w:firstRowLastColumn="0" w:lastRowFirstColumn="0" w:lastRowLastColumn="0"/>
            </w:pPr>
            <w:r w:rsidRPr="00FD223C">
              <w:t>3.87M</w:t>
            </w:r>
          </w:p>
        </w:tc>
        <w:tc>
          <w:tcPr>
            <w:tcW w:w="1213"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FD223C" w:rsidRDefault="00011326" w:rsidP="00DE76D0">
            <w:pPr>
              <w:pStyle w:val="tabletext"/>
              <w:cnfStyle w:val="000000010000" w:firstRow="0" w:lastRow="0" w:firstColumn="0" w:lastColumn="0" w:oddVBand="0" w:evenVBand="0" w:oddHBand="0" w:evenHBand="1" w:firstRowFirstColumn="0" w:firstRowLastColumn="0" w:lastRowFirstColumn="0" w:lastRowLastColumn="0"/>
            </w:pPr>
            <w:r w:rsidRPr="00FD223C">
              <w:t>1.58%</w:t>
            </w:r>
          </w:p>
        </w:tc>
      </w:tr>
      <w:tr w:rsidR="009109D0" w:rsidRPr="00E2493E" w14:paraId="629B8F91" w14:textId="77777777" w:rsidTr="00FB0C3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DE76D0">
            <w:pPr>
              <w:pStyle w:val="tabletext"/>
            </w:pPr>
            <w:r w:rsidRPr="00E2493E">
              <w:t>CDS</w:t>
            </w:r>
          </w:p>
        </w:tc>
        <w:tc>
          <w:tcPr>
            <w:tcW w:w="120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FD223C" w:rsidRDefault="000A3B2A" w:rsidP="00DE76D0">
            <w:pPr>
              <w:pStyle w:val="tabletext"/>
              <w:cnfStyle w:val="000000100000" w:firstRow="0" w:lastRow="0" w:firstColumn="0" w:lastColumn="0" w:oddVBand="0" w:evenVBand="0" w:oddHBand="1" w:evenHBand="0" w:firstRowFirstColumn="0" w:firstRowLastColumn="0" w:lastRowFirstColumn="0" w:lastRowLastColumn="0"/>
            </w:pPr>
            <w:r w:rsidRPr="00FD223C">
              <w:t>-0.015M</w:t>
            </w:r>
          </w:p>
        </w:tc>
        <w:tc>
          <w:tcPr>
            <w:tcW w:w="1213" w:type="dxa"/>
            <w:tcBorders>
              <w:top w:val="single" w:sz="4" w:space="0" w:color="D4E2F0" w:themeColor="accent1"/>
              <w:left w:val="single" w:sz="4" w:space="0" w:color="auto"/>
              <w:bottom w:val="single" w:sz="4" w:space="0" w:color="auto"/>
              <w:right w:val="single" w:sz="4" w:space="0" w:color="auto"/>
            </w:tcBorders>
            <w:vAlign w:val="center"/>
          </w:tcPr>
          <w:p w14:paraId="50803C71" w14:textId="464F1DCD" w:rsidR="009109D0" w:rsidRPr="00FD223C" w:rsidRDefault="001C6AE0" w:rsidP="00DE76D0">
            <w:pPr>
              <w:pStyle w:val="tabletext"/>
              <w:cnfStyle w:val="000000100000" w:firstRow="0" w:lastRow="0" w:firstColumn="0" w:lastColumn="0" w:oddVBand="0" w:evenVBand="0" w:oddHBand="1" w:evenHBand="0" w:firstRowFirstColumn="0" w:firstRowLastColumn="0" w:lastRowFirstColumn="0" w:lastRowLastColumn="0"/>
            </w:pPr>
            <w:r>
              <w:t>-</w:t>
            </w:r>
            <w:r w:rsidR="00011326" w:rsidRPr="00FD223C">
              <w:t>0.01%</w:t>
            </w:r>
          </w:p>
        </w:tc>
      </w:tr>
      <w:tr w:rsidR="009109D0" w:rsidRPr="00E2493E" w14:paraId="137D69A8" w14:textId="77777777" w:rsidTr="00FB0C30">
        <w:trPr>
          <w:cnfStyle w:val="000000010000" w:firstRow="0" w:lastRow="0" w:firstColumn="0" w:lastColumn="0" w:oddVBand="0" w:evenVBand="0" w:oddHBand="0" w:evenHBand="1"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vAlign w:val="center"/>
          </w:tcPr>
          <w:p w14:paraId="7ACFD65C" w14:textId="030DCC05" w:rsidR="009109D0" w:rsidRPr="00E2493E" w:rsidRDefault="002A30B5" w:rsidP="00DE76D0">
            <w:pPr>
              <w:pStyle w:val="tabletext"/>
            </w:pPr>
            <w:r>
              <w:t>O</w:t>
            </w:r>
            <w:r w:rsidR="009109D0" w:rsidRPr="00E2493E">
              <w:t>ptions</w:t>
            </w:r>
          </w:p>
        </w:tc>
        <w:tc>
          <w:tcPr>
            <w:tcW w:w="120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FD223C" w:rsidRDefault="000A3B2A" w:rsidP="00DE76D0">
            <w:pPr>
              <w:pStyle w:val="tabletext"/>
              <w:cnfStyle w:val="000000010000" w:firstRow="0" w:lastRow="0" w:firstColumn="0" w:lastColumn="0" w:oddVBand="0" w:evenVBand="0" w:oddHBand="0" w:evenHBand="1" w:firstRowFirstColumn="0" w:firstRowLastColumn="0" w:lastRowFirstColumn="0" w:lastRowLastColumn="0"/>
            </w:pPr>
            <w:r w:rsidRPr="00FD223C">
              <w:t>0.01M</w:t>
            </w:r>
          </w:p>
        </w:tc>
        <w:tc>
          <w:tcPr>
            <w:tcW w:w="1213"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FD223C" w:rsidRDefault="00011326" w:rsidP="00DE76D0">
            <w:pPr>
              <w:pStyle w:val="tabletext"/>
              <w:cnfStyle w:val="000000010000" w:firstRow="0" w:lastRow="0" w:firstColumn="0" w:lastColumn="0" w:oddVBand="0" w:evenVBand="0" w:oddHBand="0" w:evenHBand="1" w:firstRowFirstColumn="0" w:firstRowLastColumn="0" w:lastRowFirstColumn="0" w:lastRowLastColumn="0"/>
            </w:pPr>
            <w:r w:rsidRPr="00FD223C">
              <w:t>0.005%</w:t>
            </w:r>
          </w:p>
        </w:tc>
      </w:tr>
      <w:tr w:rsidR="009109D0" w:rsidRPr="00E2493E" w14:paraId="5224DDA4" w14:textId="77777777" w:rsidTr="00FB0C30">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vAlign w:val="center"/>
          </w:tcPr>
          <w:p w14:paraId="2AD3CA6D" w14:textId="39F215AA" w:rsidR="009109D0" w:rsidRPr="00E2493E" w:rsidRDefault="002A30B5" w:rsidP="009109D0">
            <w:pPr>
              <w:jc w:val="center"/>
              <w:rPr>
                <w:bCs w:val="0"/>
                <w:color w:val="000000" w:themeColor="text1"/>
                <w:sz w:val="24"/>
                <w:szCs w:val="24"/>
              </w:rPr>
            </w:pPr>
            <w:r>
              <w:rPr>
                <w:bCs w:val="0"/>
                <w:color w:val="000000" w:themeColor="text1"/>
                <w:sz w:val="24"/>
                <w:szCs w:val="24"/>
              </w:rPr>
              <w:t>S</w:t>
            </w:r>
            <w:r w:rsidR="009109D0" w:rsidRPr="00E2493E">
              <w:rPr>
                <w:bCs w:val="0"/>
                <w:color w:val="000000" w:themeColor="text1"/>
                <w:sz w:val="24"/>
                <w:szCs w:val="24"/>
              </w:rPr>
              <w:t>tocks</w:t>
            </w:r>
          </w:p>
        </w:tc>
        <w:tc>
          <w:tcPr>
            <w:tcW w:w="120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FD223C" w:rsidRDefault="000A3B2A" w:rsidP="009109D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FD223C">
              <w:rPr>
                <w:rFonts w:ascii="Calibri" w:hAnsi="Calibri"/>
                <w:color w:val="000000" w:themeColor="text1"/>
                <w:sz w:val="24"/>
                <w:szCs w:val="24"/>
              </w:rPr>
              <w:t>0.05M</w:t>
            </w:r>
          </w:p>
        </w:tc>
        <w:tc>
          <w:tcPr>
            <w:tcW w:w="1213" w:type="dxa"/>
            <w:tcBorders>
              <w:top w:val="single" w:sz="4" w:space="0" w:color="auto"/>
              <w:left w:val="single" w:sz="4" w:space="0" w:color="auto"/>
              <w:bottom w:val="single" w:sz="4" w:space="0" w:color="auto"/>
              <w:right w:val="single" w:sz="4" w:space="0" w:color="auto"/>
            </w:tcBorders>
            <w:vAlign w:val="center"/>
          </w:tcPr>
          <w:p w14:paraId="4D4B05A8" w14:textId="6437129E" w:rsidR="009109D0" w:rsidRPr="00FD223C" w:rsidRDefault="00011326" w:rsidP="009109D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FD223C">
              <w:rPr>
                <w:rFonts w:ascii="Calibri" w:hAnsi="Calibri"/>
                <w:color w:val="000000" w:themeColor="text1"/>
                <w:sz w:val="24"/>
                <w:szCs w:val="24"/>
              </w:rPr>
              <w:t>0.02%</w:t>
            </w:r>
          </w:p>
        </w:tc>
      </w:tr>
    </w:tbl>
    <w:p w14:paraId="62852815" w14:textId="77777777" w:rsidR="00FD1FE6" w:rsidRDefault="00FD1FE6" w:rsidP="00C00A57">
      <w:pPr>
        <w:pStyle w:val="Heading2"/>
      </w:pPr>
    </w:p>
    <w:p w14:paraId="0CC97695" w14:textId="5C5BD245" w:rsidR="00C00A57" w:rsidRDefault="00C00A57" w:rsidP="00C00A57">
      <w:pPr>
        <w:pStyle w:val="Heading2"/>
      </w:pPr>
      <w:r>
        <w:t>Incremental V</w:t>
      </w:r>
      <w:r w:rsidR="009A05C2">
        <w:t xml:space="preserve">alue </w:t>
      </w:r>
      <w:r>
        <w:t>a</w:t>
      </w:r>
      <w:r w:rsidR="009A05C2">
        <w:t xml:space="preserve">t </w:t>
      </w:r>
      <w:r>
        <w:t>R</w:t>
      </w:r>
      <w:r w:rsidR="009A05C2">
        <w:t>isk (IVaR)</w:t>
      </w:r>
    </w:p>
    <w:p w14:paraId="022BF074" w14:textId="3344B5C6" w:rsidR="00D60723" w:rsidRDefault="005D4D55" w:rsidP="00B1220E">
      <w:pPr>
        <w:rPr>
          <w:rFonts w:ascii="Cambria" w:hAnsi="Cambria"/>
          <w:color w:val="auto"/>
          <w:szCs w:val="20"/>
        </w:rPr>
      </w:pPr>
      <w:r w:rsidRPr="005D4D55">
        <w:rPr>
          <w:rFonts w:ascii="Cambria" w:hAnsi="Cambria"/>
          <w:color w:val="auto"/>
          <w:szCs w:val="20"/>
          <w:shd w:val="clear" w:color="auto" w:fill="FEFEFE"/>
        </w:rPr>
        <w:t xml:space="preserve">Incremental VaR represents the amount of risk added or subtracted when adding the asset class to our portfolio. If the IVaR of a position is positive then increasing the size of the position slightly will increase the value at risk of the portfolio. Likewise, if the IVaR is negative then increasing the size of the position slightly will lower the value at risk of the portfolio. What we can see from the following table is that Bonds add the most risk to our portfolio. This could be due to the great exposure we have to </w:t>
      </w:r>
      <w:r w:rsidR="005B7556">
        <w:rPr>
          <w:rFonts w:ascii="Cambria" w:hAnsi="Cambria"/>
          <w:color w:val="auto"/>
          <w:szCs w:val="20"/>
          <w:shd w:val="clear" w:color="auto" w:fill="FEFEFE"/>
        </w:rPr>
        <w:t>these</w:t>
      </w:r>
      <w:r w:rsidRPr="005D4D55">
        <w:rPr>
          <w:rFonts w:ascii="Cambria" w:hAnsi="Cambria"/>
          <w:color w:val="auto"/>
          <w:szCs w:val="20"/>
          <w:shd w:val="clear" w:color="auto" w:fill="FEFEFE"/>
        </w:rPr>
        <w:t xml:space="preserve"> instruments</w:t>
      </w:r>
    </w:p>
    <w:p w14:paraId="6AB44983" w14:textId="77777777" w:rsidR="00D60723" w:rsidRPr="005D4D55" w:rsidRDefault="00D60723" w:rsidP="00B1220E">
      <w:pPr>
        <w:rPr>
          <w:rFonts w:ascii="Cambria" w:hAnsi="Cambria"/>
          <w:color w:val="auto"/>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B1220E" w14:paraId="121CB1CA" w14:textId="77777777" w:rsidTr="002A30B5">
        <w:tc>
          <w:tcPr>
            <w:tcW w:w="5148" w:type="dxa"/>
          </w:tcPr>
          <w:tbl>
            <w:tblPr>
              <w:tblStyle w:val="MediumShading1-Accent2"/>
              <w:tblW w:w="0" w:type="auto"/>
              <w:jc w:val="center"/>
              <w:tblLook w:val="04A0" w:firstRow="1" w:lastRow="0" w:firstColumn="1" w:lastColumn="0" w:noHBand="0" w:noVBand="1"/>
            </w:tblPr>
            <w:tblGrid>
              <w:gridCol w:w="2298"/>
              <w:gridCol w:w="1320"/>
              <w:gridCol w:w="1304"/>
            </w:tblGrid>
            <w:tr w:rsidR="00B1220E" w:rsidRPr="00743AC8" w14:paraId="114F569C" w14:textId="77777777" w:rsidTr="0005032E">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492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2D5CD6" w14:textId="77777777" w:rsidR="00B1220E" w:rsidRPr="00743AC8" w:rsidRDefault="00B1220E" w:rsidP="00FB4457">
                  <w:pPr>
                    <w:pStyle w:val="tabletextheader"/>
                    <w:rPr>
                      <w:b/>
                    </w:rPr>
                  </w:pPr>
                  <w:r w:rsidRPr="00743AC8">
                    <w:rPr>
                      <w:b/>
                    </w:rPr>
                    <w:lastRenderedPageBreak/>
                    <w:t>1-day 99% IVaR</w:t>
                  </w:r>
                </w:p>
              </w:tc>
            </w:tr>
            <w:tr w:rsidR="00BE1175" w:rsidRPr="00E2493E" w14:paraId="7F845FE9" w14:textId="77777777" w:rsidTr="0005032E">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7EA9FDFB" w14:textId="2F630017" w:rsidR="00BE1175" w:rsidRPr="0005032E" w:rsidRDefault="00BE1175" w:rsidP="00BE1175">
                  <w:pPr>
                    <w:pStyle w:val="tabletextheader"/>
                    <w:rPr>
                      <w:b/>
                      <w:bCs w:val="0"/>
                    </w:rPr>
                  </w:pPr>
                  <w:r w:rsidRPr="0005032E">
                    <w:rPr>
                      <w:b/>
                      <w:bCs w:val="0"/>
                    </w:rPr>
                    <w:t>Asset Class</w:t>
                  </w:r>
                </w:p>
              </w:tc>
              <w:tc>
                <w:tcPr>
                  <w:tcW w:w="1320"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5A818616" w14:textId="0407375E" w:rsidR="00BE1175" w:rsidRPr="0005032E" w:rsidRDefault="00BE1175" w:rsidP="00BE1175">
                  <w:pPr>
                    <w:pStyle w:val="tabletextheader"/>
                    <w:cnfStyle w:val="000000100000" w:firstRow="0" w:lastRow="0" w:firstColumn="0" w:lastColumn="0" w:oddVBand="0" w:evenVBand="0" w:oddHBand="1" w:evenHBand="0" w:firstRowFirstColumn="0" w:firstRowLastColumn="0" w:lastRowFirstColumn="0" w:lastRowLastColumn="0"/>
                    <w:rPr>
                      <w:bCs/>
                    </w:rPr>
                  </w:pPr>
                  <w:r w:rsidRPr="0005032E">
                    <w:rPr>
                      <w:bCs/>
                    </w:rPr>
                    <w:t>VaR</w:t>
                  </w:r>
                </w:p>
              </w:tc>
              <w:tc>
                <w:tcPr>
                  <w:tcW w:w="1304"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3601D63B" w14:textId="23E3CFCA" w:rsidR="00BE1175" w:rsidRPr="0005032E" w:rsidRDefault="00BE1175" w:rsidP="00BE1175">
                  <w:pPr>
                    <w:pStyle w:val="tabletextheader"/>
                    <w:cnfStyle w:val="000000100000" w:firstRow="0" w:lastRow="0" w:firstColumn="0" w:lastColumn="0" w:oddVBand="0" w:evenVBand="0" w:oddHBand="1" w:evenHBand="0" w:firstRowFirstColumn="0" w:firstRowLastColumn="0" w:lastRowFirstColumn="0" w:lastRowLastColumn="0"/>
                    <w:rPr>
                      <w:bCs/>
                    </w:rPr>
                  </w:pPr>
                  <w:r w:rsidRPr="0005032E">
                    <w:rPr>
                      <w:bCs/>
                    </w:rPr>
                    <w:t>% AUM</w:t>
                  </w:r>
                </w:p>
              </w:tc>
            </w:tr>
            <w:tr w:rsidR="00BE1175" w:rsidRPr="00E2493E" w14:paraId="0D4CD28C" w14:textId="77777777" w:rsidTr="00BE1175">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000000" w:themeColor="text1"/>
                    <w:left w:val="single" w:sz="4" w:space="0" w:color="auto"/>
                    <w:bottom w:val="single" w:sz="4" w:space="0" w:color="auto"/>
                    <w:right w:val="single" w:sz="4" w:space="0" w:color="auto"/>
                  </w:tcBorders>
                  <w:vAlign w:val="center"/>
                </w:tcPr>
                <w:p w14:paraId="2BBA627C" w14:textId="1E2A0419" w:rsidR="00BE1175" w:rsidRPr="00E2493E" w:rsidRDefault="00BE1175" w:rsidP="00BE1175">
                  <w:pPr>
                    <w:pStyle w:val="tabletext"/>
                  </w:pPr>
                  <w:r>
                    <w:t>B</w:t>
                  </w:r>
                  <w:r w:rsidRPr="00E2493E">
                    <w:t>onds</w:t>
                  </w:r>
                </w:p>
              </w:tc>
              <w:tc>
                <w:tcPr>
                  <w:tcW w:w="1320" w:type="dxa"/>
                  <w:tcBorders>
                    <w:top w:val="single" w:sz="4" w:space="0" w:color="000000" w:themeColor="text1"/>
                    <w:left w:val="single" w:sz="4" w:space="0" w:color="auto"/>
                    <w:bottom w:val="single" w:sz="4" w:space="0" w:color="auto"/>
                    <w:right w:val="single" w:sz="4" w:space="0" w:color="auto"/>
                  </w:tcBorders>
                  <w:vAlign w:val="center"/>
                </w:tcPr>
                <w:p w14:paraId="2860F149" w14:textId="77777777" w:rsidR="00BE1175" w:rsidRPr="00E2493E"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BE6F1D">
                    <w:t>3.46</w:t>
                  </w:r>
                  <w:r w:rsidRPr="00E2493E">
                    <w:t>M</w:t>
                  </w:r>
                </w:p>
              </w:tc>
              <w:tc>
                <w:tcPr>
                  <w:tcW w:w="1304" w:type="dxa"/>
                  <w:tcBorders>
                    <w:top w:val="single" w:sz="4" w:space="0" w:color="000000" w:themeColor="text1"/>
                    <w:left w:val="single" w:sz="4" w:space="0" w:color="auto"/>
                    <w:bottom w:val="single" w:sz="4" w:space="0" w:color="auto"/>
                    <w:right w:val="single" w:sz="4" w:space="0" w:color="auto"/>
                  </w:tcBorders>
                  <w:vAlign w:val="center"/>
                </w:tcPr>
                <w:p w14:paraId="2A1546E0" w14:textId="77777777" w:rsidR="00BE1175" w:rsidRPr="00E2493E"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E2493E">
                    <w:t>1.39%</w:t>
                  </w:r>
                </w:p>
              </w:tc>
            </w:tr>
            <w:tr w:rsidR="00BE1175" w:rsidRPr="00E2493E" w14:paraId="03EBE5C3" w14:textId="77777777" w:rsidTr="00BE1175">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D4E2F0" w:themeColor="accent1"/>
                    <w:left w:val="single" w:sz="4" w:space="0" w:color="auto"/>
                    <w:bottom w:val="single" w:sz="4" w:space="0" w:color="auto"/>
                    <w:right w:val="single" w:sz="4" w:space="0" w:color="auto"/>
                  </w:tcBorders>
                  <w:vAlign w:val="center"/>
                </w:tcPr>
                <w:p w14:paraId="57361029" w14:textId="77777777" w:rsidR="00BE1175" w:rsidRPr="00E2493E" w:rsidRDefault="00BE1175" w:rsidP="00BE1175">
                  <w:pPr>
                    <w:pStyle w:val="tabletext"/>
                  </w:pPr>
                  <w:r w:rsidRPr="00E2493E">
                    <w:t>CDS</w:t>
                  </w:r>
                </w:p>
              </w:tc>
              <w:tc>
                <w:tcPr>
                  <w:tcW w:w="1320" w:type="dxa"/>
                  <w:tcBorders>
                    <w:top w:val="single" w:sz="4" w:space="0" w:color="D4E2F0" w:themeColor="accent1"/>
                    <w:left w:val="single" w:sz="4" w:space="0" w:color="auto"/>
                    <w:bottom w:val="single" w:sz="4" w:space="0" w:color="auto"/>
                    <w:right w:val="single" w:sz="4" w:space="0" w:color="auto"/>
                  </w:tcBorders>
                  <w:vAlign w:val="center"/>
                </w:tcPr>
                <w:p w14:paraId="5016E3CA" w14:textId="77777777" w:rsidR="00BE1175" w:rsidRPr="00E2493E"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BE6F1D">
                    <w:t>0.46</w:t>
                  </w:r>
                  <w:r w:rsidRPr="00E2493E">
                    <w:t>M</w:t>
                  </w:r>
                </w:p>
              </w:tc>
              <w:tc>
                <w:tcPr>
                  <w:tcW w:w="1304" w:type="dxa"/>
                  <w:tcBorders>
                    <w:top w:val="single" w:sz="4" w:space="0" w:color="D4E2F0" w:themeColor="accent1"/>
                    <w:left w:val="single" w:sz="4" w:space="0" w:color="auto"/>
                    <w:bottom w:val="single" w:sz="4" w:space="0" w:color="auto"/>
                    <w:right w:val="single" w:sz="4" w:space="0" w:color="auto"/>
                  </w:tcBorders>
                  <w:vAlign w:val="center"/>
                </w:tcPr>
                <w:p w14:paraId="192D8FA1" w14:textId="77777777" w:rsidR="00BE1175" w:rsidRPr="00E2493E"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E2493E">
                    <w:t>0.19%</w:t>
                  </w:r>
                </w:p>
              </w:tc>
            </w:tr>
            <w:tr w:rsidR="00BE1175" w:rsidRPr="00E2493E" w14:paraId="5778E402" w14:textId="77777777" w:rsidTr="00BE1175">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left w:val="single" w:sz="4" w:space="0" w:color="auto"/>
                    <w:bottom w:val="single" w:sz="4" w:space="0" w:color="auto"/>
                    <w:right w:val="single" w:sz="4" w:space="0" w:color="auto"/>
                  </w:tcBorders>
                  <w:vAlign w:val="center"/>
                </w:tcPr>
                <w:p w14:paraId="0BDA2E41" w14:textId="1223C02D" w:rsidR="00BE1175" w:rsidRPr="00E2493E" w:rsidRDefault="00BE1175" w:rsidP="00BE1175">
                  <w:pPr>
                    <w:pStyle w:val="tabletext"/>
                  </w:pPr>
                  <w:r>
                    <w:t>O</w:t>
                  </w:r>
                  <w:r w:rsidRPr="00E2493E">
                    <w:t>ptions</w:t>
                  </w:r>
                </w:p>
              </w:tc>
              <w:tc>
                <w:tcPr>
                  <w:tcW w:w="1320" w:type="dxa"/>
                  <w:tcBorders>
                    <w:top w:val="single" w:sz="4" w:space="0" w:color="auto"/>
                    <w:left w:val="single" w:sz="4" w:space="0" w:color="auto"/>
                    <w:bottom w:val="single" w:sz="4" w:space="0" w:color="auto"/>
                    <w:right w:val="single" w:sz="4" w:space="0" w:color="auto"/>
                  </w:tcBorders>
                  <w:vAlign w:val="center"/>
                </w:tcPr>
                <w:p w14:paraId="4C2D20DF" w14:textId="77777777" w:rsidR="00BE1175" w:rsidRPr="00E2493E"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BE6F1D">
                    <w:t>0.54</w:t>
                  </w:r>
                  <w:r w:rsidRPr="00E2493E">
                    <w:t>M</w:t>
                  </w:r>
                </w:p>
              </w:tc>
              <w:tc>
                <w:tcPr>
                  <w:tcW w:w="1304" w:type="dxa"/>
                  <w:tcBorders>
                    <w:top w:val="single" w:sz="4" w:space="0" w:color="auto"/>
                    <w:left w:val="single" w:sz="4" w:space="0" w:color="auto"/>
                    <w:bottom w:val="single" w:sz="4" w:space="0" w:color="auto"/>
                    <w:right w:val="single" w:sz="4" w:space="0" w:color="auto"/>
                  </w:tcBorders>
                  <w:vAlign w:val="center"/>
                </w:tcPr>
                <w:p w14:paraId="7A52D9C2" w14:textId="77777777" w:rsidR="00BE1175" w:rsidRPr="00E2493E"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E2493E">
                    <w:t>0.22%</w:t>
                  </w:r>
                </w:p>
              </w:tc>
            </w:tr>
            <w:tr w:rsidR="00BE1175" w:rsidRPr="00E2493E" w14:paraId="0DCFDD28" w14:textId="77777777" w:rsidTr="00BE1175">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left w:val="single" w:sz="4" w:space="0" w:color="auto"/>
                    <w:bottom w:val="single" w:sz="4" w:space="0" w:color="auto"/>
                    <w:right w:val="single" w:sz="4" w:space="0" w:color="auto"/>
                  </w:tcBorders>
                  <w:vAlign w:val="center"/>
                </w:tcPr>
                <w:p w14:paraId="53CFF65E" w14:textId="35C6097B" w:rsidR="00BE1175" w:rsidRPr="00E2493E" w:rsidRDefault="00BE1175" w:rsidP="00BE1175">
                  <w:pPr>
                    <w:pStyle w:val="tabletext"/>
                  </w:pPr>
                  <w:r>
                    <w:t>S</w:t>
                  </w:r>
                  <w:r w:rsidRPr="00E2493E">
                    <w:t>tocks</w:t>
                  </w:r>
                </w:p>
              </w:tc>
              <w:tc>
                <w:tcPr>
                  <w:tcW w:w="1320" w:type="dxa"/>
                  <w:tcBorders>
                    <w:top w:val="single" w:sz="4" w:space="0" w:color="auto"/>
                    <w:left w:val="single" w:sz="4" w:space="0" w:color="auto"/>
                    <w:bottom w:val="single" w:sz="4" w:space="0" w:color="auto"/>
                    <w:right w:val="single" w:sz="4" w:space="0" w:color="auto"/>
                  </w:tcBorders>
                  <w:vAlign w:val="center"/>
                </w:tcPr>
                <w:p w14:paraId="6C2B6596" w14:textId="77777777" w:rsidR="00BE1175" w:rsidRPr="00E2493E"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BE6F1D">
                    <w:t>0.68</w:t>
                  </w:r>
                  <w:r w:rsidRPr="00E2493E">
                    <w:t>M</w:t>
                  </w:r>
                </w:p>
              </w:tc>
              <w:tc>
                <w:tcPr>
                  <w:tcW w:w="1304" w:type="dxa"/>
                  <w:tcBorders>
                    <w:top w:val="single" w:sz="4" w:space="0" w:color="auto"/>
                    <w:left w:val="single" w:sz="4" w:space="0" w:color="auto"/>
                    <w:bottom w:val="single" w:sz="4" w:space="0" w:color="auto"/>
                    <w:right w:val="single" w:sz="4" w:space="0" w:color="auto"/>
                  </w:tcBorders>
                  <w:vAlign w:val="center"/>
                </w:tcPr>
                <w:p w14:paraId="57E52BD8" w14:textId="77777777" w:rsidR="00BE1175" w:rsidRPr="00E2493E"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E2493E">
                    <w:t>0.27%</w:t>
                  </w:r>
                </w:p>
              </w:tc>
            </w:tr>
          </w:tbl>
          <w:p w14:paraId="02F50F94" w14:textId="77777777" w:rsidR="00B1220E" w:rsidRDefault="00B1220E" w:rsidP="00B1220E"/>
        </w:tc>
        <w:tc>
          <w:tcPr>
            <w:tcW w:w="5148" w:type="dxa"/>
          </w:tcPr>
          <w:tbl>
            <w:tblPr>
              <w:tblStyle w:val="MediumShading1-Accent2"/>
              <w:tblW w:w="0" w:type="auto"/>
              <w:jc w:val="center"/>
              <w:tblLook w:val="04A0" w:firstRow="1" w:lastRow="0" w:firstColumn="1" w:lastColumn="0" w:noHBand="0" w:noVBand="1"/>
            </w:tblPr>
            <w:tblGrid>
              <w:gridCol w:w="2298"/>
              <w:gridCol w:w="1320"/>
              <w:gridCol w:w="1304"/>
            </w:tblGrid>
            <w:tr w:rsidR="00B1220E" w:rsidRPr="00743AC8" w14:paraId="58937A3C" w14:textId="77777777" w:rsidTr="0005032E">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492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F66529" w14:textId="77777777" w:rsidR="00B1220E" w:rsidRPr="00743AC8" w:rsidRDefault="00B1220E" w:rsidP="00FB4457">
                  <w:pPr>
                    <w:pStyle w:val="tabletextheader"/>
                    <w:rPr>
                      <w:b/>
                    </w:rPr>
                  </w:pPr>
                  <w:r w:rsidRPr="00743AC8">
                    <w:rPr>
                      <w:b/>
                    </w:rPr>
                    <w:t>1-day 99% IVaR</w:t>
                  </w:r>
                </w:p>
              </w:tc>
            </w:tr>
            <w:tr w:rsidR="00BE1175" w:rsidRPr="000F171B" w14:paraId="5E4D88AF" w14:textId="77777777" w:rsidTr="0005032E">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0DA57309" w14:textId="1CFB2AD0" w:rsidR="00BE1175" w:rsidRPr="009A35BD" w:rsidRDefault="00BE1175" w:rsidP="0005032E">
                  <w:pPr>
                    <w:pStyle w:val="tabletextheader"/>
                    <w:rPr>
                      <w:b/>
                      <w:bCs w:val="0"/>
                    </w:rPr>
                  </w:pPr>
                  <w:r w:rsidRPr="009A35BD">
                    <w:rPr>
                      <w:b/>
                      <w:bCs w:val="0"/>
                    </w:rPr>
                    <w:t>Asset Class</w:t>
                  </w:r>
                </w:p>
              </w:tc>
              <w:tc>
                <w:tcPr>
                  <w:tcW w:w="1320"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1F3AD698" w14:textId="6AA63857" w:rsidR="00BE1175" w:rsidRPr="009A35BD" w:rsidRDefault="00BE1175" w:rsidP="0005032E">
                  <w:pPr>
                    <w:pStyle w:val="tabletextheader"/>
                    <w:cnfStyle w:val="000000100000" w:firstRow="0" w:lastRow="0" w:firstColumn="0" w:lastColumn="0" w:oddVBand="0" w:evenVBand="0" w:oddHBand="1" w:evenHBand="0" w:firstRowFirstColumn="0" w:firstRowLastColumn="0" w:lastRowFirstColumn="0" w:lastRowLastColumn="0"/>
                    <w:rPr>
                      <w:bCs/>
                    </w:rPr>
                  </w:pPr>
                  <w:r w:rsidRPr="009A35BD">
                    <w:rPr>
                      <w:bCs/>
                    </w:rPr>
                    <w:t>VaR</w:t>
                  </w:r>
                </w:p>
              </w:tc>
              <w:tc>
                <w:tcPr>
                  <w:tcW w:w="1304"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2F475325" w14:textId="05CC4617" w:rsidR="00BE1175" w:rsidRPr="009A35BD" w:rsidRDefault="00BE1175" w:rsidP="0005032E">
                  <w:pPr>
                    <w:pStyle w:val="tabletextheader"/>
                    <w:cnfStyle w:val="000000100000" w:firstRow="0" w:lastRow="0" w:firstColumn="0" w:lastColumn="0" w:oddVBand="0" w:evenVBand="0" w:oddHBand="1" w:evenHBand="0" w:firstRowFirstColumn="0" w:firstRowLastColumn="0" w:lastRowFirstColumn="0" w:lastRowLastColumn="0"/>
                    <w:rPr>
                      <w:bCs/>
                    </w:rPr>
                  </w:pPr>
                  <w:r w:rsidRPr="009A35BD">
                    <w:rPr>
                      <w:bCs/>
                    </w:rPr>
                    <w:t>% AUM</w:t>
                  </w:r>
                </w:p>
              </w:tc>
            </w:tr>
            <w:tr w:rsidR="00BE1175" w:rsidRPr="000F171B" w14:paraId="5582BDB8" w14:textId="77777777" w:rsidTr="0005032E">
              <w:trPr>
                <w:cnfStyle w:val="000000010000" w:firstRow="0" w:lastRow="0" w:firstColumn="0" w:lastColumn="0" w:oddVBand="0" w:evenVBand="0" w:oddHBand="0" w:evenHBand="1"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000000" w:themeColor="text1"/>
                    <w:left w:val="single" w:sz="4" w:space="0" w:color="auto"/>
                    <w:bottom w:val="single" w:sz="4" w:space="0" w:color="auto"/>
                    <w:right w:val="single" w:sz="4" w:space="0" w:color="auto"/>
                  </w:tcBorders>
                  <w:vAlign w:val="center"/>
                </w:tcPr>
                <w:p w14:paraId="2CC52D4F" w14:textId="26BF150A" w:rsidR="00BE1175" w:rsidRPr="000F171B" w:rsidRDefault="00BE1175" w:rsidP="00BE1175">
                  <w:pPr>
                    <w:pStyle w:val="tabletext"/>
                  </w:pPr>
                  <w:r>
                    <w:t>B</w:t>
                  </w:r>
                  <w:r w:rsidRPr="000F171B">
                    <w:t>onds</w:t>
                  </w:r>
                </w:p>
              </w:tc>
              <w:tc>
                <w:tcPr>
                  <w:tcW w:w="1320" w:type="dxa"/>
                  <w:tcBorders>
                    <w:top w:val="single" w:sz="4" w:space="0" w:color="000000" w:themeColor="text1"/>
                    <w:left w:val="single" w:sz="4" w:space="0" w:color="auto"/>
                    <w:bottom w:val="single" w:sz="4" w:space="0" w:color="auto"/>
                    <w:right w:val="single" w:sz="4" w:space="0" w:color="auto"/>
                  </w:tcBorders>
                  <w:vAlign w:val="center"/>
                </w:tcPr>
                <w:p w14:paraId="2367FD8D" w14:textId="77777777" w:rsidR="00BE1175" w:rsidRPr="008115C3"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8115C3">
                    <w:t>4.06M</w:t>
                  </w:r>
                </w:p>
              </w:tc>
              <w:tc>
                <w:tcPr>
                  <w:tcW w:w="1304" w:type="dxa"/>
                  <w:tcBorders>
                    <w:top w:val="single" w:sz="4" w:space="0" w:color="000000" w:themeColor="text1"/>
                    <w:left w:val="single" w:sz="4" w:space="0" w:color="auto"/>
                    <w:bottom w:val="single" w:sz="4" w:space="0" w:color="auto"/>
                    <w:right w:val="single" w:sz="4" w:space="0" w:color="auto"/>
                  </w:tcBorders>
                  <w:vAlign w:val="center"/>
                </w:tcPr>
                <w:p w14:paraId="6776D97F" w14:textId="77777777" w:rsidR="00BE1175" w:rsidRPr="008115C3"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8115C3">
                    <w:t>1.63%</w:t>
                  </w:r>
                </w:p>
              </w:tc>
            </w:tr>
            <w:tr w:rsidR="00BE1175" w:rsidRPr="000F171B" w14:paraId="2875FE03" w14:textId="77777777" w:rsidTr="00BE1175">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D4E2F0" w:themeColor="accent1"/>
                    <w:left w:val="single" w:sz="4" w:space="0" w:color="auto"/>
                    <w:bottom w:val="single" w:sz="4" w:space="0" w:color="auto"/>
                    <w:right w:val="single" w:sz="4" w:space="0" w:color="auto"/>
                  </w:tcBorders>
                  <w:vAlign w:val="center"/>
                </w:tcPr>
                <w:p w14:paraId="13B51ADB" w14:textId="77777777" w:rsidR="00BE1175" w:rsidRPr="000F171B" w:rsidRDefault="00BE1175" w:rsidP="00BE1175">
                  <w:pPr>
                    <w:pStyle w:val="tabletext"/>
                  </w:pPr>
                  <w:r w:rsidRPr="000F171B">
                    <w:t>CDS</w:t>
                  </w:r>
                </w:p>
              </w:tc>
              <w:tc>
                <w:tcPr>
                  <w:tcW w:w="1320" w:type="dxa"/>
                  <w:tcBorders>
                    <w:top w:val="single" w:sz="4" w:space="0" w:color="D4E2F0" w:themeColor="accent1"/>
                    <w:left w:val="single" w:sz="4" w:space="0" w:color="auto"/>
                    <w:bottom w:val="single" w:sz="4" w:space="0" w:color="auto"/>
                    <w:right w:val="single" w:sz="4" w:space="0" w:color="auto"/>
                  </w:tcBorders>
                  <w:vAlign w:val="center"/>
                </w:tcPr>
                <w:p w14:paraId="25D40353" w14:textId="77777777" w:rsidR="00BE1175" w:rsidRPr="008115C3"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8115C3">
                    <w:t>-0.33M</w:t>
                  </w:r>
                </w:p>
              </w:tc>
              <w:tc>
                <w:tcPr>
                  <w:tcW w:w="1304" w:type="dxa"/>
                  <w:tcBorders>
                    <w:top w:val="single" w:sz="4" w:space="0" w:color="D4E2F0" w:themeColor="accent1"/>
                    <w:left w:val="single" w:sz="4" w:space="0" w:color="auto"/>
                    <w:bottom w:val="single" w:sz="4" w:space="0" w:color="auto"/>
                    <w:right w:val="single" w:sz="4" w:space="0" w:color="auto"/>
                  </w:tcBorders>
                  <w:vAlign w:val="center"/>
                </w:tcPr>
                <w:p w14:paraId="519050BB" w14:textId="77777777" w:rsidR="00BE1175" w:rsidRPr="008115C3"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8115C3">
                    <w:t>-0.13%</w:t>
                  </w:r>
                </w:p>
              </w:tc>
            </w:tr>
            <w:tr w:rsidR="00BE1175" w:rsidRPr="000F171B" w14:paraId="73359174" w14:textId="77777777" w:rsidTr="0005032E">
              <w:trPr>
                <w:cnfStyle w:val="000000010000" w:firstRow="0" w:lastRow="0" w:firstColumn="0" w:lastColumn="0" w:oddVBand="0" w:evenVBand="0" w:oddHBand="0" w:evenHBand="1"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left w:val="single" w:sz="4" w:space="0" w:color="auto"/>
                    <w:bottom w:val="single" w:sz="4" w:space="0" w:color="auto"/>
                    <w:right w:val="single" w:sz="4" w:space="0" w:color="auto"/>
                  </w:tcBorders>
                  <w:vAlign w:val="center"/>
                </w:tcPr>
                <w:p w14:paraId="519E7807" w14:textId="36C3CBC8" w:rsidR="00BE1175" w:rsidRPr="000F171B" w:rsidRDefault="00BE1175" w:rsidP="00BE1175">
                  <w:pPr>
                    <w:pStyle w:val="tabletext"/>
                  </w:pPr>
                  <w:r>
                    <w:t>O</w:t>
                  </w:r>
                  <w:r w:rsidRPr="000F171B">
                    <w:t>ptions</w:t>
                  </w:r>
                </w:p>
              </w:tc>
              <w:tc>
                <w:tcPr>
                  <w:tcW w:w="1320" w:type="dxa"/>
                  <w:tcBorders>
                    <w:top w:val="single" w:sz="4" w:space="0" w:color="auto"/>
                    <w:left w:val="single" w:sz="4" w:space="0" w:color="auto"/>
                    <w:bottom w:val="single" w:sz="4" w:space="0" w:color="auto"/>
                    <w:right w:val="single" w:sz="4" w:space="0" w:color="auto"/>
                  </w:tcBorders>
                  <w:vAlign w:val="center"/>
                </w:tcPr>
                <w:p w14:paraId="476F9490" w14:textId="77777777" w:rsidR="00BE1175" w:rsidRPr="008115C3"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8115C3">
                    <w:t>-0.32M</w:t>
                  </w:r>
                </w:p>
              </w:tc>
              <w:tc>
                <w:tcPr>
                  <w:tcW w:w="1304" w:type="dxa"/>
                  <w:tcBorders>
                    <w:top w:val="single" w:sz="4" w:space="0" w:color="auto"/>
                    <w:left w:val="single" w:sz="4" w:space="0" w:color="auto"/>
                    <w:bottom w:val="single" w:sz="4" w:space="0" w:color="auto"/>
                    <w:right w:val="single" w:sz="4" w:space="0" w:color="auto"/>
                  </w:tcBorders>
                  <w:vAlign w:val="center"/>
                </w:tcPr>
                <w:p w14:paraId="1EA320FF" w14:textId="77777777" w:rsidR="00BE1175" w:rsidRPr="008115C3"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8115C3">
                    <w:t>-0.13%</w:t>
                  </w:r>
                </w:p>
              </w:tc>
            </w:tr>
            <w:tr w:rsidR="00BE1175" w:rsidRPr="000F171B" w14:paraId="4D4E2D89" w14:textId="77777777" w:rsidTr="0005032E">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left w:val="single" w:sz="4" w:space="0" w:color="auto"/>
                    <w:bottom w:val="single" w:sz="4" w:space="0" w:color="auto"/>
                    <w:right w:val="single" w:sz="4" w:space="0" w:color="auto"/>
                  </w:tcBorders>
                  <w:vAlign w:val="center"/>
                </w:tcPr>
                <w:p w14:paraId="6919FF88" w14:textId="54993C25" w:rsidR="00BE1175" w:rsidRPr="000F171B" w:rsidRDefault="00BE1175" w:rsidP="00BE1175">
                  <w:pPr>
                    <w:pStyle w:val="tabletext"/>
                  </w:pPr>
                  <w:r>
                    <w:t>S</w:t>
                  </w:r>
                  <w:r w:rsidRPr="000F171B">
                    <w:t>tocks</w:t>
                  </w:r>
                </w:p>
              </w:tc>
              <w:tc>
                <w:tcPr>
                  <w:tcW w:w="1320" w:type="dxa"/>
                  <w:tcBorders>
                    <w:top w:val="single" w:sz="4" w:space="0" w:color="auto"/>
                    <w:left w:val="single" w:sz="4" w:space="0" w:color="auto"/>
                    <w:bottom w:val="single" w:sz="4" w:space="0" w:color="auto"/>
                    <w:right w:val="single" w:sz="4" w:space="0" w:color="auto"/>
                  </w:tcBorders>
                  <w:vAlign w:val="center"/>
                </w:tcPr>
                <w:p w14:paraId="256CEFEE" w14:textId="77777777" w:rsidR="00BE1175" w:rsidRPr="008115C3"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8115C3">
                    <w:t>-0.26M</w:t>
                  </w:r>
                </w:p>
              </w:tc>
              <w:tc>
                <w:tcPr>
                  <w:tcW w:w="1304" w:type="dxa"/>
                  <w:tcBorders>
                    <w:top w:val="single" w:sz="4" w:space="0" w:color="auto"/>
                    <w:left w:val="single" w:sz="4" w:space="0" w:color="auto"/>
                    <w:bottom w:val="single" w:sz="4" w:space="0" w:color="auto"/>
                    <w:right w:val="single" w:sz="4" w:space="0" w:color="auto"/>
                  </w:tcBorders>
                  <w:vAlign w:val="center"/>
                </w:tcPr>
                <w:p w14:paraId="5F3D4A09" w14:textId="77777777" w:rsidR="00BE1175" w:rsidRPr="008115C3"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8115C3">
                    <w:t>-0.10%</w:t>
                  </w:r>
                </w:p>
              </w:tc>
            </w:tr>
          </w:tbl>
          <w:p w14:paraId="0E634A0E" w14:textId="77777777" w:rsidR="00B1220E" w:rsidRDefault="00B1220E" w:rsidP="00B1220E"/>
        </w:tc>
      </w:tr>
    </w:tbl>
    <w:p w14:paraId="3CE71062" w14:textId="0930BA10" w:rsidR="00B1220E" w:rsidRPr="00B1220E" w:rsidRDefault="002A30B5" w:rsidP="00B1220E">
      <w:r>
        <w:rPr>
          <w:noProof/>
        </w:rPr>
        <mc:AlternateContent>
          <mc:Choice Requires="wps">
            <w:drawing>
              <wp:anchor distT="0" distB="0" distL="114300" distR="114300" simplePos="0" relativeHeight="251646464" behindDoc="0" locked="0" layoutInCell="1" allowOverlap="1" wp14:anchorId="5E92BBD7" wp14:editId="60CD1F3B">
                <wp:simplePos x="0" y="0"/>
                <wp:positionH relativeFrom="column">
                  <wp:posOffset>3840480</wp:posOffset>
                </wp:positionH>
                <wp:positionV relativeFrom="paragraph">
                  <wp:posOffset>8890</wp:posOffset>
                </wp:positionV>
                <wp:extent cx="240030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B60ECF" w14:textId="7509C641" w:rsidR="009E6A28" w:rsidRDefault="009E6A28" w:rsidP="002A30B5">
                            <w:r>
                              <w:t>Table4. Historical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92BBD7" id="Text Box 10" o:spid="_x0000_s1028" type="#_x0000_t202" style="position:absolute;margin-left:302.4pt;margin-top:.7pt;width:189pt;height:18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" filled="f" stroked="f">
                <v:textbox>
                  <w:txbxContent>
                    <w:p w14:paraId="38B60ECF" w14:textId="7509C641" w:rsidR="009E6A28" w:rsidRDefault="009E6A28" w:rsidP="002A30B5">
                      <w:r>
                        <w:t>Table4. Historical</w:t>
                      </w:r>
                    </w:p>
                  </w:txbxContent>
                </v:textbox>
                <w10:wrap type="square"/>
              </v:shape>
            </w:pict>
          </mc:Fallback>
        </mc:AlternateContent>
      </w:r>
      <w:r>
        <w:rPr>
          <w:noProof/>
        </w:rPr>
        <mc:AlternateContent>
          <mc:Choice Requires="wps">
            <w:drawing>
              <wp:anchor distT="0" distB="0" distL="114300" distR="114300" simplePos="0" relativeHeight="251645440" behindDoc="0" locked="0" layoutInCell="1" allowOverlap="1" wp14:anchorId="38E0F56F" wp14:editId="3833F70C">
                <wp:simplePos x="0" y="0"/>
                <wp:positionH relativeFrom="column">
                  <wp:posOffset>228600</wp:posOffset>
                </wp:positionH>
                <wp:positionV relativeFrom="paragraph">
                  <wp:posOffset>8890</wp:posOffset>
                </wp:positionV>
                <wp:extent cx="24003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B2C96F" w14:textId="1010A654" w:rsidR="009E6A28" w:rsidRDefault="009E6A28" w:rsidP="002A30B5">
                            <w:r>
                              <w:t>Table3. Monte Carlo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E0F56F" id="Text Box 9" o:spid="_x0000_s1029" type="#_x0000_t202" style="position:absolute;margin-left:18pt;margin-top:.7pt;width:189pt;height:18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" filled="f" stroked="f">
                <v:textbox>
                  <w:txbxContent>
                    <w:p w14:paraId="6EB2C96F" w14:textId="1010A654" w:rsidR="009E6A28" w:rsidRDefault="009E6A28" w:rsidP="002A30B5">
                      <w:r>
                        <w:t>Table3. Monte Carlo</w:t>
                      </w:r>
                    </w:p>
                  </w:txbxContent>
                </v:textbox>
                <w10:wrap type="square"/>
              </v:shape>
            </w:pict>
          </mc:Fallback>
        </mc:AlternateContent>
      </w:r>
    </w:p>
    <w:p w14:paraId="73724888" w14:textId="36522A62" w:rsidR="00C00A57" w:rsidRPr="00C00A57" w:rsidRDefault="00C00A57" w:rsidP="00C00A57"/>
    <w:p w14:paraId="2A3C1B95" w14:textId="3DCB2D90" w:rsidR="00553A2E" w:rsidRDefault="00553A2E" w:rsidP="00553A2E">
      <w:pPr>
        <w:pStyle w:val="Heading1"/>
      </w:pPr>
      <w:bookmarkStart w:id="6" w:name="_Toc330127741"/>
      <w:r>
        <w:t>Credit VaR</w:t>
      </w:r>
      <w:bookmarkEnd w:id="6"/>
    </w:p>
    <w:p w14:paraId="737C99B7" w14:textId="43A1D7BC" w:rsidR="00FB4457" w:rsidRPr="00FB4457" w:rsidRDefault="00FB4457" w:rsidP="009828C6">
      <w:pPr>
        <w:pStyle w:val="BodyText"/>
      </w:pPr>
      <w:r>
        <w:t xml:space="preserve">To calculate the Credit Risk of our portfolio, we </w:t>
      </w:r>
      <w:r w:rsidR="009828C6">
        <w:t>u</w:t>
      </w:r>
      <w:r w:rsidR="00FD223C">
        <w:t>sed the CreditMetrics approach. T</w:t>
      </w:r>
      <w:r w:rsidR="009828C6">
        <w:t xml:space="preserve">his measure is of high importance </w:t>
      </w:r>
      <w:r w:rsidR="00FD223C">
        <w:t xml:space="preserve">since 90% of our portfolio is exposed to credit </w:t>
      </w:r>
      <w:r w:rsidR="009828C6">
        <w:t>instruments. To calculate this value we used the transition matrix from the S&amp;P 2015 Credit Report.</w:t>
      </w:r>
    </w:p>
    <w:tbl>
      <w:tblPr>
        <w:tblStyle w:val="MediumShading1-Accent2"/>
        <w:tblW w:w="0" w:type="auto"/>
        <w:jc w:val="center"/>
        <w:tblLook w:val="04A0" w:firstRow="1" w:lastRow="0" w:firstColumn="1" w:lastColumn="0" w:noHBand="0" w:noVBand="1"/>
      </w:tblPr>
      <w:tblGrid>
        <w:gridCol w:w="2395"/>
        <w:gridCol w:w="2395"/>
        <w:gridCol w:w="2396"/>
      </w:tblGrid>
      <w:tr w:rsidR="00736215" w:rsidRPr="00743AC8" w14:paraId="60D8C3FF" w14:textId="77777777" w:rsidTr="0005032E">
        <w:trPr>
          <w:cnfStyle w:val="100000000000" w:firstRow="1" w:lastRow="0" w:firstColumn="0" w:lastColumn="0" w:oddVBand="0" w:evenVBand="0" w:oddHBand="0" w:evenHBand="0" w:firstRowFirstColumn="0" w:firstRowLastColumn="0" w:lastRowFirstColumn="0" w:lastRowLastColumn="0"/>
          <w:trHeight w:val="178"/>
          <w:jc w:val="center"/>
        </w:trPr>
        <w:tc>
          <w:tcPr>
            <w:cnfStyle w:val="001000000000" w:firstRow="0" w:lastRow="0" w:firstColumn="1" w:lastColumn="0" w:oddVBand="0" w:evenVBand="0" w:oddHBand="0" w:evenHBand="0" w:firstRowFirstColumn="0" w:firstRowLastColumn="0" w:lastRowFirstColumn="0" w:lastRowLastColumn="0"/>
            <w:tcW w:w="7186" w:type="dxa"/>
            <w:gridSpan w:val="3"/>
            <w:tcBorders>
              <w:bottom w:val="single" w:sz="4" w:space="0" w:color="auto"/>
            </w:tcBorders>
            <w:vAlign w:val="center"/>
          </w:tcPr>
          <w:p w14:paraId="210BE83A" w14:textId="4CFCFE89" w:rsidR="00736215" w:rsidRPr="00743AC8" w:rsidRDefault="00D60723" w:rsidP="00D60723">
            <w:pPr>
              <w:pStyle w:val="tabletextheader"/>
              <w:rPr>
                <w:b/>
              </w:rPr>
            </w:pPr>
            <w:r>
              <w:rPr>
                <w:b/>
              </w:rPr>
              <w:t>Credit VaR</w:t>
            </w:r>
          </w:p>
        </w:tc>
      </w:tr>
      <w:tr w:rsidR="00D60723" w14:paraId="230D5813" w14:textId="77777777" w:rsidTr="00D60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shd w:val="clear" w:color="auto" w:fill="20507E" w:themeFill="accent2"/>
          </w:tcPr>
          <w:p w14:paraId="432B3229" w14:textId="51F88580" w:rsidR="00D60723" w:rsidRPr="00736215" w:rsidRDefault="00D60723" w:rsidP="00DE76D0">
            <w:pPr>
              <w:pStyle w:val="tabletext"/>
            </w:pPr>
            <w:r w:rsidRPr="00D60723">
              <w:rPr>
                <w:color w:val="FFFFFF" w:themeColor="background1"/>
              </w:rPr>
              <w:t>Confidence Level</w:t>
            </w:r>
          </w:p>
        </w:tc>
        <w:tc>
          <w:tcPr>
            <w:tcW w:w="2395"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6B302236" w14:textId="25588E55" w:rsidR="00D60723" w:rsidRPr="00743AC8" w:rsidRDefault="00854815" w:rsidP="00DE76D0">
            <w:pPr>
              <w:pStyle w:val="tabletext"/>
              <w:cnfStyle w:val="000000100000" w:firstRow="0" w:lastRow="0" w:firstColumn="0" w:lastColumn="0" w:oddVBand="0" w:evenVBand="0" w:oddHBand="1" w:evenHBand="0" w:firstRowFirstColumn="0" w:firstRowLastColumn="0" w:lastRowFirstColumn="0" w:lastRowLastColumn="0"/>
            </w:pPr>
            <w:r>
              <w:rPr>
                <w:b/>
                <w:bCs/>
                <w:color w:val="FFFFFF" w:themeColor="background1"/>
              </w:rPr>
              <w:t>VaR</w:t>
            </w:r>
          </w:p>
        </w:tc>
        <w:tc>
          <w:tcPr>
            <w:tcW w:w="2396"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309D7139" w14:textId="1D01F0B4" w:rsidR="00D60723" w:rsidRPr="008143F4" w:rsidRDefault="00854815" w:rsidP="00DE76D0">
            <w:pPr>
              <w:pStyle w:val="tabletext"/>
              <w:cnfStyle w:val="000000100000" w:firstRow="0" w:lastRow="0" w:firstColumn="0" w:lastColumn="0" w:oddVBand="0" w:evenVBand="0" w:oddHBand="1" w:evenHBand="0" w:firstRowFirstColumn="0" w:firstRowLastColumn="0" w:lastRowFirstColumn="0" w:lastRowLastColumn="0"/>
            </w:pPr>
            <w:r w:rsidRPr="009A35BD">
              <w:rPr>
                <w:b/>
                <w:bCs/>
                <w:color w:val="FFFFFF" w:themeColor="background1"/>
              </w:rPr>
              <w:t>% AUM</w:t>
            </w:r>
          </w:p>
        </w:tc>
      </w:tr>
      <w:tr w:rsidR="00D60723" w14:paraId="50E809F3" w14:textId="77777777" w:rsidTr="00FB0C30">
        <w:trPr>
          <w:cnfStyle w:val="000000010000" w:firstRow="0" w:lastRow="0" w:firstColumn="0" w:lastColumn="0" w:oddVBand="0" w:evenVBand="0" w:oddHBand="0" w:evenHBand="1"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6306D6AB" w14:textId="5E24FE4A" w:rsidR="00D60723" w:rsidRPr="00736215" w:rsidRDefault="00D60723" w:rsidP="00DE76D0">
            <w:pPr>
              <w:pStyle w:val="tabletext"/>
            </w:pPr>
            <w:r w:rsidRPr="00736215">
              <w:t>99.9%</w:t>
            </w:r>
          </w:p>
        </w:tc>
        <w:tc>
          <w:tcPr>
            <w:tcW w:w="2395" w:type="dxa"/>
            <w:tcBorders>
              <w:top w:val="single" w:sz="4" w:space="0" w:color="auto"/>
              <w:left w:val="single" w:sz="4" w:space="0" w:color="auto"/>
              <w:bottom w:val="single" w:sz="4" w:space="0" w:color="auto"/>
              <w:right w:val="single" w:sz="4" w:space="0" w:color="auto"/>
            </w:tcBorders>
            <w:vAlign w:val="center"/>
          </w:tcPr>
          <w:p w14:paraId="76E4000D" w14:textId="6E7CDCFD" w:rsidR="00D60723" w:rsidRPr="00743AC8" w:rsidRDefault="00D60723" w:rsidP="00854815">
            <w:pPr>
              <w:pStyle w:val="tabletext"/>
              <w:cnfStyle w:val="000000010000" w:firstRow="0" w:lastRow="0" w:firstColumn="0" w:lastColumn="0" w:oddVBand="0" w:evenVBand="0" w:oddHBand="0" w:evenHBand="1" w:firstRowFirstColumn="0" w:firstRowLastColumn="0" w:lastRowFirstColumn="0" w:lastRowLastColumn="0"/>
              <w:rPr>
                <w:b/>
              </w:rPr>
            </w:pPr>
            <w:r w:rsidRPr="00743AC8">
              <w:t>5</w:t>
            </w:r>
            <w:r w:rsidR="00854815">
              <w:t>2.49</w:t>
            </w:r>
            <w:r w:rsidRPr="00743AC8">
              <w:t>M</w:t>
            </w:r>
          </w:p>
        </w:tc>
        <w:tc>
          <w:tcPr>
            <w:tcW w:w="2396" w:type="dxa"/>
            <w:tcBorders>
              <w:top w:val="single" w:sz="4" w:space="0" w:color="auto"/>
              <w:left w:val="single" w:sz="4" w:space="0" w:color="auto"/>
              <w:bottom w:val="single" w:sz="4" w:space="0" w:color="auto"/>
              <w:right w:val="single" w:sz="4" w:space="0" w:color="auto"/>
            </w:tcBorders>
            <w:vAlign w:val="center"/>
          </w:tcPr>
          <w:p w14:paraId="23E2DA93" w14:textId="1D1FEF87" w:rsidR="00D60723" w:rsidRPr="008143F4" w:rsidRDefault="00854815" w:rsidP="00DE76D0">
            <w:pPr>
              <w:pStyle w:val="tabletext"/>
              <w:cnfStyle w:val="000000010000" w:firstRow="0" w:lastRow="0" w:firstColumn="0" w:lastColumn="0" w:oddVBand="0" w:evenVBand="0" w:oddHBand="0" w:evenHBand="1" w:firstRowFirstColumn="0" w:firstRowLastColumn="0" w:lastRowFirstColumn="0" w:lastRowLastColumn="0"/>
            </w:pPr>
            <w:r>
              <w:t>21.12</w:t>
            </w:r>
            <w:r w:rsidR="00D60723" w:rsidRPr="008143F4">
              <w:t>%</w:t>
            </w:r>
          </w:p>
        </w:tc>
      </w:tr>
    </w:tbl>
    <w:p w14:paraId="4090B1E1" w14:textId="555326D5" w:rsidR="00401F3E" w:rsidRDefault="00401F3E" w:rsidP="00401F3E">
      <w:pPr>
        <w:pStyle w:val="Heading1"/>
      </w:pPr>
      <w:bookmarkStart w:id="7" w:name="_Toc330127742"/>
      <w:r>
        <w:t>Credit and Debt Value Adjustments (CVA and DVA)</w:t>
      </w:r>
      <w:bookmarkEnd w:id="7"/>
    </w:p>
    <w:p w14:paraId="190B86AC" w14:textId="77777777" w:rsidR="00C938E8" w:rsidRPr="00C938E8" w:rsidRDefault="00C938E8" w:rsidP="00C938E8"/>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783"/>
      </w:tblGrid>
      <w:tr w:rsidR="00CF3835" w:rsidRPr="00F8072D" w14:paraId="52F19E8E" w14:textId="48BE75AA" w:rsidTr="00F8072D">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bottom w:val="single" w:sz="4" w:space="0" w:color="auto"/>
            </w:tcBorders>
            <w:vAlign w:val="center"/>
          </w:tcPr>
          <w:p w14:paraId="4D18FEBE" w14:textId="460E66BA" w:rsidR="00CF3835" w:rsidRPr="00F8072D" w:rsidRDefault="00CF3835" w:rsidP="00F8072D">
            <w:pPr>
              <w:pStyle w:val="tabletextheader"/>
              <w:rPr>
                <w:b/>
              </w:rPr>
            </w:pPr>
            <w:r w:rsidRPr="00F8072D">
              <w:rPr>
                <w:b/>
              </w:rPr>
              <w:t>CVA</w:t>
            </w:r>
          </w:p>
        </w:tc>
        <w:tc>
          <w:tcPr>
            <w:tcW w:w="1783" w:type="dxa"/>
            <w:tcBorders>
              <w:bottom w:val="single" w:sz="4" w:space="0" w:color="auto"/>
            </w:tcBorders>
            <w:vAlign w:val="center"/>
          </w:tcPr>
          <w:p w14:paraId="4DB4E468" w14:textId="0FB7E58A" w:rsidR="00CF3835" w:rsidRPr="00F8072D" w:rsidRDefault="00CF3835" w:rsidP="00F8072D">
            <w:pPr>
              <w:pStyle w:val="tabletextheader"/>
              <w:cnfStyle w:val="100000000000" w:firstRow="1" w:lastRow="0" w:firstColumn="0" w:lastColumn="0" w:oddVBand="0" w:evenVBand="0" w:oddHBand="0" w:evenHBand="0" w:firstRowFirstColumn="0" w:firstRowLastColumn="0" w:lastRowFirstColumn="0" w:lastRowLastColumn="0"/>
              <w:rPr>
                <w:b/>
              </w:rPr>
            </w:pPr>
            <w:r w:rsidRPr="00F8072D">
              <w:rPr>
                <w:b/>
              </w:rPr>
              <w:t>DVA</w:t>
            </w:r>
          </w:p>
        </w:tc>
      </w:tr>
      <w:tr w:rsidR="00CF3835" w14:paraId="0920AF55" w14:textId="2FAB47F8" w:rsidTr="00CF3835">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left w:val="single" w:sz="4" w:space="0" w:color="auto"/>
            </w:tcBorders>
            <w:shd w:val="clear" w:color="auto" w:fill="auto"/>
            <w:vAlign w:val="center"/>
          </w:tcPr>
          <w:p w14:paraId="6E2B2B15" w14:textId="70C3F5D7" w:rsidR="00CF3835" w:rsidRPr="00CF3835" w:rsidRDefault="00CF3835" w:rsidP="00DE76D0">
            <w:pPr>
              <w:pStyle w:val="tabletext"/>
            </w:pPr>
            <w:r w:rsidRPr="00736215">
              <w:t>114840</w:t>
            </w:r>
          </w:p>
        </w:tc>
        <w:tc>
          <w:tcPr>
            <w:tcW w:w="1783" w:type="dxa"/>
            <w:tcBorders>
              <w:left w:val="single" w:sz="4" w:space="0" w:color="auto"/>
            </w:tcBorders>
          </w:tcPr>
          <w:p w14:paraId="58F4B4EE" w14:textId="7E8B4CD0" w:rsidR="00CF3835" w:rsidRPr="00CF3835" w:rsidRDefault="00CF3835" w:rsidP="00DE76D0">
            <w:pPr>
              <w:pStyle w:val="tabletext"/>
              <w:cnfStyle w:val="000000100000" w:firstRow="0" w:lastRow="0" w:firstColumn="0" w:lastColumn="0" w:oddVBand="0" w:evenVBand="0" w:oddHBand="1" w:evenHBand="0" w:firstRowFirstColumn="0" w:firstRowLastColumn="0" w:lastRowFirstColumn="0" w:lastRowLastColumn="0"/>
            </w:pPr>
            <w:r w:rsidRPr="00CF3835">
              <w:t>257374</w:t>
            </w:r>
          </w:p>
        </w:tc>
      </w:tr>
    </w:tbl>
    <w:p w14:paraId="357219F2" w14:textId="77777777" w:rsidR="009C590C" w:rsidRDefault="009C590C" w:rsidP="009C590C">
      <w:pPr>
        <w:pStyle w:val="Heading1"/>
      </w:pPr>
      <w:bookmarkStart w:id="8" w:name="_Toc330127743"/>
      <w:r>
        <w:t>Stressed VaR (SVaR)</w:t>
      </w:r>
      <w:bookmarkEnd w:id="8"/>
    </w:p>
    <w:p w14:paraId="205FBE88" w14:textId="3516DCAA" w:rsidR="009C590C" w:rsidRPr="00D87A1F" w:rsidRDefault="009C590C" w:rsidP="004F396C">
      <w:pPr>
        <w:pStyle w:val="BodyText"/>
      </w:pPr>
      <w:r w:rsidRPr="00D87A1F">
        <w:t>The methodology for the SVaR is the same as for the Regulatory VaR methodology (99% confidence level and 10 day holding period) with the exception of the look back period. For the SVaR we calibrate the model to hist</w:t>
      </w:r>
      <w:r>
        <w:t xml:space="preserve">orical data </w:t>
      </w:r>
      <w:r w:rsidR="005D4D55">
        <w:t>using</w:t>
      </w:r>
      <w:r>
        <w:t xml:space="preserve"> a continuous 24</w:t>
      </w:r>
      <w:r w:rsidRPr="00D87A1F">
        <w:t>-month period that reflects significant financial stress</w:t>
      </w:r>
      <w:r>
        <w:t>. The period considered was</w:t>
      </w:r>
      <w:r w:rsidR="005D4D55">
        <w:t xml:space="preserve"> the</w:t>
      </w:r>
      <w:r>
        <w:t xml:space="preserve"> 2007</w:t>
      </w:r>
      <w:r w:rsidRPr="00D87A1F">
        <w:t>-</w:t>
      </w:r>
      <w:r w:rsidR="005D4D55">
        <w:t>20</w:t>
      </w:r>
      <w:r w:rsidRPr="00D87A1F">
        <w:t xml:space="preserve">09 financial crisis aftermath. </w:t>
      </w:r>
      <w:r>
        <w:t xml:space="preserve">We can see that </w:t>
      </w:r>
      <w:r w:rsidR="005D4D55">
        <w:t xml:space="preserve">the </w:t>
      </w:r>
      <w:r>
        <w:t>SVaR is $17.</w:t>
      </w:r>
      <w:r w:rsidRPr="00D87A1F">
        <w:t>3</w:t>
      </w:r>
      <w:r>
        <w:t>9</w:t>
      </w:r>
      <w:r w:rsidRPr="00D87A1F">
        <w:t xml:space="preserve"> MM, which exceeds </w:t>
      </w:r>
      <w:r w:rsidR="005D4D55">
        <w:t>the</w:t>
      </w:r>
      <w:r w:rsidRPr="00D87A1F">
        <w:t xml:space="preserve"> VaR calculated </w:t>
      </w:r>
      <w:r w:rsidR="005D4D55">
        <w:t>using</w:t>
      </w:r>
      <w:r w:rsidRPr="00D87A1F">
        <w:t xml:space="preserve"> </w:t>
      </w:r>
      <w:r>
        <w:t>Monte Carlo</w:t>
      </w:r>
      <w:r w:rsidRPr="00D87A1F">
        <w:t xml:space="preserve"> </w:t>
      </w:r>
      <w:r>
        <w:t>and</w:t>
      </w:r>
      <w:r w:rsidRPr="00D87A1F">
        <w:t xml:space="preserve"> historical methods. Therefore, it is important to take into account SVaR which gives a better insight of the portfolio potential decline </w:t>
      </w:r>
      <w:r w:rsidR="005D4D55">
        <w:t>during</w:t>
      </w:r>
      <w:r w:rsidRPr="00D87A1F">
        <w:t xml:space="preserve"> stressed periods</w:t>
      </w:r>
      <w:r>
        <w:t>.</w:t>
      </w:r>
    </w:p>
    <w:p w14:paraId="141D2F91" w14:textId="77777777" w:rsidR="009C590C" w:rsidRDefault="009C590C" w:rsidP="004F396C">
      <w:pPr>
        <w:pStyle w:val="BodyText"/>
      </w:pPr>
      <w:r w:rsidRPr="004F396C">
        <w:t xml:space="preserve">When computing the stressed Value-at-Risk it was found that the most stressed 504-day window occurred from </w:t>
      </w:r>
      <w:r w:rsidRPr="00AC01BF">
        <w:t>03/07/07 through 03/07/09. The reported stressed value at risk during this period was</w:t>
      </w:r>
    </w:p>
    <w:p w14:paraId="1CFBF0EE" w14:textId="77777777" w:rsidR="00E353AA" w:rsidRPr="00AC01BF" w:rsidRDefault="00E353AA" w:rsidP="004F396C">
      <w:pPr>
        <w:pStyle w:val="BodyText"/>
      </w:pPr>
    </w:p>
    <w:tbl>
      <w:tblPr>
        <w:tblStyle w:val="MediumShading1-Accent2"/>
        <w:tblW w:w="0" w:type="auto"/>
        <w:jc w:val="center"/>
        <w:tblLook w:val="04A0" w:firstRow="1" w:lastRow="0" w:firstColumn="1" w:lastColumn="0" w:noHBand="0" w:noVBand="1"/>
      </w:tblPr>
      <w:tblGrid>
        <w:gridCol w:w="2368"/>
        <w:gridCol w:w="2368"/>
        <w:gridCol w:w="2368"/>
      </w:tblGrid>
      <w:tr w:rsidR="00C72680" w:rsidRPr="00743AC8" w14:paraId="7A0FAC24" w14:textId="09873353" w:rsidTr="00811CA3">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2368" w:type="dxa"/>
            <w:tcBorders>
              <w:bottom w:val="single" w:sz="4" w:space="0" w:color="auto"/>
            </w:tcBorders>
            <w:vAlign w:val="center"/>
          </w:tcPr>
          <w:p w14:paraId="2E8E8363" w14:textId="77777777" w:rsidR="00C72680" w:rsidRPr="00743AC8" w:rsidRDefault="00C72680" w:rsidP="00255705">
            <w:pPr>
              <w:pStyle w:val="tabletextheader"/>
              <w:rPr>
                <w:bCs w:val="0"/>
              </w:rPr>
            </w:pPr>
            <w:r>
              <w:rPr>
                <w:b/>
              </w:rPr>
              <w:t>Stressed VaR</w:t>
            </w:r>
          </w:p>
        </w:tc>
        <w:tc>
          <w:tcPr>
            <w:tcW w:w="2368" w:type="dxa"/>
            <w:tcBorders>
              <w:bottom w:val="single" w:sz="4" w:space="0" w:color="auto"/>
            </w:tcBorders>
            <w:vAlign w:val="center"/>
          </w:tcPr>
          <w:p w14:paraId="3EB67E14" w14:textId="2C5344EF" w:rsidR="00C72680" w:rsidRPr="00743AC8" w:rsidRDefault="00C72680" w:rsidP="00255705">
            <w:pPr>
              <w:pStyle w:val="tabletextheader"/>
              <w:cnfStyle w:val="100000000000" w:firstRow="1" w:lastRow="0" w:firstColumn="0" w:lastColumn="0" w:oddVBand="0" w:evenVBand="0" w:oddHBand="0" w:evenHBand="0" w:firstRowFirstColumn="0" w:firstRowLastColumn="0" w:lastRowFirstColumn="0" w:lastRowLastColumn="0"/>
              <w:rPr>
                <w:b/>
              </w:rPr>
            </w:pPr>
            <w:r>
              <w:rPr>
                <w:b/>
              </w:rPr>
              <w:t>Market Value</w:t>
            </w:r>
          </w:p>
        </w:tc>
        <w:tc>
          <w:tcPr>
            <w:tcW w:w="2368" w:type="dxa"/>
            <w:tcBorders>
              <w:bottom w:val="single" w:sz="4" w:space="0" w:color="auto"/>
            </w:tcBorders>
            <w:vAlign w:val="center"/>
          </w:tcPr>
          <w:p w14:paraId="22C8C00F" w14:textId="2019B3FE" w:rsidR="00C72680" w:rsidRDefault="00C72680" w:rsidP="00255705">
            <w:pPr>
              <w:pStyle w:val="tabletextheader"/>
              <w:cnfStyle w:val="100000000000" w:firstRow="1" w:lastRow="0" w:firstColumn="0" w:lastColumn="0" w:oddVBand="0" w:evenVBand="0" w:oddHBand="0" w:evenHBand="0" w:firstRowFirstColumn="0" w:firstRowLastColumn="0" w:lastRowFirstColumn="0" w:lastRowLastColumn="0"/>
            </w:pPr>
            <w:r>
              <w:rPr>
                <w:b/>
              </w:rPr>
              <w:t>% AUM</w:t>
            </w:r>
          </w:p>
        </w:tc>
      </w:tr>
      <w:tr w:rsidR="00C72680" w14:paraId="11E7F269" w14:textId="0A7CCF2D" w:rsidTr="009E6A28">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right w:val="single" w:sz="4" w:space="0" w:color="auto"/>
            </w:tcBorders>
            <w:vAlign w:val="center"/>
          </w:tcPr>
          <w:p w14:paraId="464BC9FA" w14:textId="77777777" w:rsidR="00C72680" w:rsidRPr="00743AC8" w:rsidRDefault="00C72680" w:rsidP="00DE76D0">
            <w:pPr>
              <w:pStyle w:val="tabletext"/>
            </w:pPr>
            <w:r>
              <w:t>Daily</w:t>
            </w:r>
          </w:p>
        </w:tc>
        <w:tc>
          <w:tcPr>
            <w:tcW w:w="2368" w:type="dxa"/>
            <w:tcBorders>
              <w:top w:val="single" w:sz="4" w:space="0" w:color="auto"/>
              <w:left w:val="single" w:sz="4" w:space="0" w:color="auto"/>
              <w:bottom w:val="single" w:sz="4" w:space="0" w:color="auto"/>
              <w:right w:val="single" w:sz="4" w:space="0" w:color="auto"/>
            </w:tcBorders>
            <w:vAlign w:val="center"/>
          </w:tcPr>
          <w:p w14:paraId="6490610C" w14:textId="77777777" w:rsidR="00C72680" w:rsidRPr="008143F4" w:rsidRDefault="00C72680" w:rsidP="00DE76D0">
            <w:pPr>
              <w:pStyle w:val="tabletext"/>
              <w:cnfStyle w:val="000000100000" w:firstRow="0" w:lastRow="0" w:firstColumn="0" w:lastColumn="0" w:oddVBand="0" w:evenVBand="0" w:oddHBand="1" w:evenHBand="0" w:firstRowFirstColumn="0" w:firstRowLastColumn="0" w:lastRowFirstColumn="0" w:lastRowLastColumn="0"/>
            </w:pPr>
            <w:r>
              <w:t>5.5M</w:t>
            </w:r>
          </w:p>
        </w:tc>
        <w:tc>
          <w:tcPr>
            <w:tcW w:w="2368" w:type="dxa"/>
            <w:tcBorders>
              <w:top w:val="single" w:sz="4" w:space="0" w:color="auto"/>
              <w:left w:val="single" w:sz="4" w:space="0" w:color="auto"/>
              <w:bottom w:val="single" w:sz="4" w:space="0" w:color="auto"/>
              <w:right w:val="single" w:sz="4" w:space="0" w:color="auto"/>
            </w:tcBorders>
          </w:tcPr>
          <w:p w14:paraId="7124AF03" w14:textId="20644EA7" w:rsidR="00C72680" w:rsidRDefault="00C72680" w:rsidP="00DE76D0">
            <w:pPr>
              <w:pStyle w:val="tabletext"/>
              <w:cnfStyle w:val="000000100000" w:firstRow="0" w:lastRow="0" w:firstColumn="0" w:lastColumn="0" w:oddVBand="0" w:evenVBand="0" w:oddHBand="1" w:evenHBand="0" w:firstRowFirstColumn="0" w:firstRowLastColumn="0" w:lastRowFirstColumn="0" w:lastRowLastColumn="0"/>
            </w:pPr>
            <w:r>
              <w:t>2.2</w:t>
            </w:r>
            <w:r w:rsidR="00924F65">
              <w:t>1</w:t>
            </w:r>
            <w:r>
              <w:t>%</w:t>
            </w:r>
          </w:p>
        </w:tc>
      </w:tr>
      <w:tr w:rsidR="00C72680" w14:paraId="1DC11CC3" w14:textId="275AF2BD" w:rsidTr="009E6A28">
        <w:trPr>
          <w:cnfStyle w:val="000000010000" w:firstRow="0" w:lastRow="0" w:firstColumn="0" w:lastColumn="0" w:oddVBand="0" w:evenVBand="0" w:oddHBand="0" w:evenHBand="1"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right w:val="single" w:sz="4" w:space="0" w:color="auto"/>
            </w:tcBorders>
            <w:vAlign w:val="center"/>
          </w:tcPr>
          <w:p w14:paraId="0A4B72F3" w14:textId="77777777" w:rsidR="00C72680" w:rsidRDefault="00C72680" w:rsidP="00DE76D0">
            <w:pPr>
              <w:pStyle w:val="tabletext"/>
            </w:pPr>
            <w:r>
              <w:t>Ten Day</w:t>
            </w:r>
          </w:p>
        </w:tc>
        <w:tc>
          <w:tcPr>
            <w:tcW w:w="2368" w:type="dxa"/>
            <w:tcBorders>
              <w:top w:val="single" w:sz="4" w:space="0" w:color="auto"/>
              <w:left w:val="single" w:sz="4" w:space="0" w:color="auto"/>
              <w:bottom w:val="single" w:sz="4" w:space="0" w:color="auto"/>
              <w:right w:val="single" w:sz="4" w:space="0" w:color="auto"/>
            </w:tcBorders>
            <w:vAlign w:val="center"/>
          </w:tcPr>
          <w:p w14:paraId="0B858EBA" w14:textId="77777777" w:rsidR="00C72680" w:rsidRDefault="00C72680" w:rsidP="00DE76D0">
            <w:pPr>
              <w:pStyle w:val="tabletext"/>
              <w:cnfStyle w:val="000000010000" w:firstRow="0" w:lastRow="0" w:firstColumn="0" w:lastColumn="0" w:oddVBand="0" w:evenVBand="0" w:oddHBand="0" w:evenHBand="1" w:firstRowFirstColumn="0" w:firstRowLastColumn="0" w:lastRowFirstColumn="0" w:lastRowLastColumn="0"/>
            </w:pPr>
            <w:r>
              <w:t>17.4M</w:t>
            </w:r>
          </w:p>
        </w:tc>
        <w:tc>
          <w:tcPr>
            <w:tcW w:w="2368" w:type="dxa"/>
            <w:tcBorders>
              <w:top w:val="single" w:sz="4" w:space="0" w:color="auto"/>
              <w:left w:val="single" w:sz="4" w:space="0" w:color="auto"/>
              <w:bottom w:val="single" w:sz="4" w:space="0" w:color="auto"/>
              <w:right w:val="single" w:sz="4" w:space="0" w:color="auto"/>
            </w:tcBorders>
          </w:tcPr>
          <w:p w14:paraId="671EFED2" w14:textId="30D3593E" w:rsidR="00C72680" w:rsidRDefault="00C72680" w:rsidP="00DE76D0">
            <w:pPr>
              <w:pStyle w:val="tabletext"/>
              <w:cnfStyle w:val="000000010000" w:firstRow="0" w:lastRow="0" w:firstColumn="0" w:lastColumn="0" w:oddVBand="0" w:evenVBand="0" w:oddHBand="0" w:evenHBand="1" w:firstRowFirstColumn="0" w:firstRowLastColumn="0" w:lastRowFirstColumn="0" w:lastRowLastColumn="0"/>
            </w:pPr>
            <w:r>
              <w:t>7.00%</w:t>
            </w:r>
          </w:p>
        </w:tc>
      </w:tr>
    </w:tbl>
    <w:p w14:paraId="21998E89" w14:textId="2872D57D" w:rsidR="00401F3E" w:rsidRDefault="00792525" w:rsidP="00792525">
      <w:pPr>
        <w:pStyle w:val="Heading1"/>
      </w:pPr>
      <w:bookmarkStart w:id="9" w:name="_Toc330127744"/>
      <w:r>
        <w:t>Stress scenarios</w:t>
      </w:r>
      <w:bookmarkEnd w:id="9"/>
    </w:p>
    <w:p w14:paraId="4CEBC6D4" w14:textId="4A939A30" w:rsidR="009C590C" w:rsidRPr="009C590C" w:rsidRDefault="009C590C" w:rsidP="004F396C">
      <w:pPr>
        <w:pStyle w:val="BodyText"/>
        <w:rPr>
          <w:lang w:val="en-GB"/>
        </w:rPr>
      </w:pPr>
      <w:r w:rsidRPr="005B07CD">
        <w:rPr>
          <w:lang w:val="en-GB"/>
        </w:rPr>
        <w:t>To complement our VaR and SVaR results we will compute the value of the portfolio under determined historical scenarios/crisis under the historical scenario approach. This will help us estimate the impact of our portfolio to extreme market movements and evaluate the potential effects o</w:t>
      </w:r>
      <w:r>
        <w:rPr>
          <w:lang w:val="en-GB"/>
        </w:rPr>
        <w:t>f tail events on our portfolio and consider periods where the portfolio had make significant losses due to the market conditions.</w:t>
      </w:r>
    </w:p>
    <w:p w14:paraId="0C378FC8" w14:textId="4193C7C5" w:rsidR="009C590C" w:rsidRPr="002621CD" w:rsidRDefault="00D60723" w:rsidP="004F396C">
      <w:pPr>
        <w:pStyle w:val="BodyText"/>
        <w:rPr>
          <w:lang w:val="en-GB"/>
        </w:rPr>
      </w:pPr>
      <w:r>
        <w:rPr>
          <w:noProof/>
        </w:rPr>
        <mc:AlternateContent>
          <mc:Choice Requires="wps">
            <w:drawing>
              <wp:anchor distT="0" distB="0" distL="114300" distR="114300" simplePos="0" relativeHeight="251658752" behindDoc="0" locked="0" layoutInCell="1" allowOverlap="1" wp14:anchorId="357F5ACE" wp14:editId="3C994E51">
                <wp:simplePos x="0" y="0"/>
                <wp:positionH relativeFrom="column">
                  <wp:posOffset>726034</wp:posOffset>
                </wp:positionH>
                <wp:positionV relativeFrom="paragraph">
                  <wp:posOffset>458191</wp:posOffset>
                </wp:positionV>
                <wp:extent cx="474980" cy="226060"/>
                <wp:effectExtent l="0" t="0" r="1270" b="2540"/>
                <wp:wrapNone/>
                <wp:docPr id="13" name="Rectangle 13"/>
                <wp:cNvGraphicFramePr/>
                <a:graphic xmlns:a="http://schemas.openxmlformats.org/drawingml/2006/main">
                  <a:graphicData uri="http://schemas.microsoft.com/office/word/2010/wordprocessingShape">
                    <wps:wsp>
                      <wps:cNvSpPr/>
                      <wps:spPr>
                        <a:xfrm>
                          <a:off x="0" y="0"/>
                          <a:ext cx="474980" cy="2260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8B8F35" w14:textId="6CA2912D" w:rsidR="00122589" w:rsidRPr="009A35BD" w:rsidRDefault="00122589" w:rsidP="00122589">
                            <w:pPr>
                              <w:rPr>
                                <w:color w:val="262626" w:themeColor="text1" w:themeTint="D9"/>
                                <w:sz w:val="14"/>
                              </w:rPr>
                            </w:pPr>
                            <w:r w:rsidRPr="009A35BD">
                              <w:rPr>
                                <w:color w:val="262626" w:themeColor="text1" w:themeTint="D9"/>
                                <w:sz w:val="14"/>
                              </w:rPr>
                              <w:t>x 10</w:t>
                            </w:r>
                            <w:r w:rsidRPr="009A35BD">
                              <w:rPr>
                                <w:color w:val="262626" w:themeColor="text1" w:themeTint="D9"/>
                                <w:sz w:val="14"/>
                                <w:vertAlign w:val="superscript"/>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F5ACE" id="Rectangle 13" o:spid="_x0000_s1030" style="position:absolute;left:0;text-align:left;margin-left:57.15pt;margin-top:36.1pt;width:37.4pt;height:1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" fillcolor="white [3212]" stroked="f" strokeweight="1.52778mm">
                <v:stroke linestyle="thickThin"/>
                <v:textbox>
                  <w:txbxContent>
                    <w:p w14:paraId="398B8F35" w14:textId="6CA2912D" w:rsidR="00122589" w:rsidRPr="009A35BD" w:rsidRDefault="00122589" w:rsidP="00122589">
                      <w:pPr>
                        <w:rPr>
                          <w:color w:val="262626" w:themeColor="text1" w:themeTint="D9"/>
                          <w:sz w:val="14"/>
                        </w:rPr>
                      </w:pPr>
                      <w:r w:rsidRPr="009A35BD">
                        <w:rPr>
                          <w:color w:val="262626" w:themeColor="text1" w:themeTint="D9"/>
                          <w:sz w:val="14"/>
                        </w:rPr>
                        <w:t>x 10</w:t>
                      </w:r>
                      <w:r w:rsidRPr="009A35BD">
                        <w:rPr>
                          <w:color w:val="262626" w:themeColor="text1" w:themeTint="D9"/>
                          <w:sz w:val="14"/>
                          <w:vertAlign w:val="superscript"/>
                        </w:rPr>
                        <w:t>7</w:t>
                      </w:r>
                    </w:p>
                  </w:txbxContent>
                </v:textbox>
              </v:rect>
            </w:pict>
          </mc:Fallback>
        </mc:AlternateContent>
      </w:r>
      <w:r w:rsidR="009C590C" w:rsidRPr="002621CD">
        <w:rPr>
          <w:lang w:val="en-GB"/>
        </w:rPr>
        <w:t>We</w:t>
      </w:r>
      <w:r w:rsidR="009C590C">
        <w:t xml:space="preserve"> </w:t>
      </w:r>
      <w:r w:rsidR="004F396C">
        <w:rPr>
          <w:lang w:val="en-GB"/>
        </w:rPr>
        <w:t>chose 4 h</w:t>
      </w:r>
      <w:r w:rsidR="009C590C" w:rsidRPr="002621CD">
        <w:rPr>
          <w:lang w:val="en-GB"/>
        </w:rPr>
        <w:t>istorical</w:t>
      </w:r>
      <w:r w:rsidR="004F396C">
        <w:rPr>
          <w:lang w:val="en-GB"/>
        </w:rPr>
        <w:t xml:space="preserve"> scenarios and one </w:t>
      </w:r>
      <w:r w:rsidR="005964FD">
        <w:rPr>
          <w:lang w:val="en-GB"/>
        </w:rPr>
        <w:t>hypothetical;</w:t>
      </w:r>
      <w:r w:rsidR="009C590C">
        <w:rPr>
          <w:lang w:val="en-GB"/>
        </w:rPr>
        <w:t xml:space="preserve"> the losses of </w:t>
      </w:r>
      <w:r w:rsidR="005964FD">
        <w:rPr>
          <w:lang w:val="en-GB"/>
        </w:rPr>
        <w:t>these scenarios</w:t>
      </w:r>
      <w:r w:rsidR="009C590C">
        <w:rPr>
          <w:lang w:val="en-GB"/>
        </w:rPr>
        <w:t xml:space="preserve"> are represented in the following figure.</w:t>
      </w:r>
    </w:p>
    <w:p w14:paraId="206CD6E5" w14:textId="37F4B36A" w:rsidR="00792525" w:rsidRDefault="00792525" w:rsidP="00D60723">
      <w:r>
        <w:rPr>
          <w:noProof/>
        </w:rPr>
        <w:drawing>
          <wp:inline distT="0" distB="0" distL="0" distR="0" wp14:anchorId="2BC34849" wp14:editId="4AA98A9F">
            <wp:extent cx="5588813" cy="2875851"/>
            <wp:effectExtent l="0" t="0" r="0" b="1270"/>
            <wp:docPr id="4" name="Picture 4" descr="Macintosh HD:Users:pantelis:Dropbox:Risk Management Project:Report:Current:Figures:Stress_Scenario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Dropbox:Risk Management Project:Report:Current:Figures:Stress_Scenarios_Tot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4681" cy="2878871"/>
                    </a:xfrm>
                    <a:prstGeom prst="rect">
                      <a:avLst/>
                    </a:prstGeom>
                    <a:noFill/>
                    <a:ln>
                      <a:noFill/>
                    </a:ln>
                  </pic:spPr>
                </pic:pic>
              </a:graphicData>
            </a:graphic>
          </wp:inline>
        </w:drawing>
      </w:r>
    </w:p>
    <w:p w14:paraId="06BB39E3" w14:textId="5A1FEC02" w:rsidR="009C590C" w:rsidRPr="00D03398" w:rsidRDefault="009C590C" w:rsidP="00760C75">
      <w:pPr>
        <w:pStyle w:val="BodyText"/>
        <w:rPr>
          <w:lang w:val="en-GB"/>
        </w:rPr>
      </w:pPr>
      <w:r>
        <w:rPr>
          <w:lang w:val="en-GB"/>
        </w:rPr>
        <w:t xml:space="preserve">Given that the composition of our portfolio consists mainly </w:t>
      </w:r>
      <w:r w:rsidR="005D4D55">
        <w:rPr>
          <w:lang w:val="en-GB"/>
        </w:rPr>
        <w:t>of</w:t>
      </w:r>
      <w:r>
        <w:rPr>
          <w:lang w:val="en-GB"/>
        </w:rPr>
        <w:t xml:space="preserve"> bonds, the Credit Crisis of 2008 shows the worst historical loss; this gives an idea of the exposure to credit and fixed income instruments. The hypothetical scenario shows a severe loss in our Bond Portfolio, however we can see that all the other asset classes have a substantial loss.</w:t>
      </w:r>
    </w:p>
    <w:p w14:paraId="034F5592" w14:textId="77777777" w:rsidR="009C590C" w:rsidRDefault="009C590C" w:rsidP="009C590C">
      <w:pPr>
        <w:pStyle w:val="Heading1"/>
      </w:pPr>
      <w:bookmarkStart w:id="10" w:name="_Toc330127745"/>
      <w:r>
        <w:t>Capital Requirements</w:t>
      </w:r>
      <w:bookmarkEnd w:id="10"/>
    </w:p>
    <w:p w14:paraId="1592736B" w14:textId="77777777" w:rsidR="009C590C" w:rsidRPr="0075111E" w:rsidRDefault="009C590C" w:rsidP="009C590C">
      <w:pPr>
        <w:pStyle w:val="Heading2"/>
      </w:pPr>
      <w:r>
        <w:t>Market Risk</w:t>
      </w:r>
    </w:p>
    <w:p w14:paraId="2E629E40" w14:textId="77777777" w:rsidR="009C590C" w:rsidRDefault="009C590C" w:rsidP="00760C75">
      <w:pPr>
        <w:pStyle w:val="BodyText"/>
      </w:pPr>
      <w:r w:rsidRPr="00917446">
        <w:t>On Basel Regulatory Capital there are two principal components required to obtain</w:t>
      </w:r>
      <w:r>
        <w:t xml:space="preserve"> the capital </w:t>
      </w:r>
      <w:r w:rsidRPr="00917446">
        <w:t>requirements: one market component and one</w:t>
      </w:r>
      <w:r>
        <w:t xml:space="preserve"> credit</w:t>
      </w:r>
      <w:r w:rsidRPr="00917446">
        <w:t xml:space="preserve"> risk component.</w:t>
      </w:r>
      <w:r>
        <w:t xml:space="preserve"> </w:t>
      </w:r>
    </w:p>
    <w:p w14:paraId="185DC795" w14:textId="77777777" w:rsidR="009C590C" w:rsidRDefault="009C590C" w:rsidP="009C590C">
      <w:pPr>
        <w:pStyle w:val="BodyText"/>
      </w:pPr>
      <w:r>
        <w:lastRenderedPageBreak/>
        <w:t>Based on the Basel II</w:t>
      </w:r>
      <w:r w:rsidRPr="006B589E">
        <w:t>.5 document, the following formula needs to be used to calculate our market risk regulatory capital:</w:t>
      </w:r>
    </w:p>
    <w:p w14:paraId="15ADEF28" w14:textId="4CBC909F" w:rsidR="005D4D55" w:rsidRDefault="009C590C" w:rsidP="009C590C">
      <w:pPr>
        <w:pStyle w:val="BodyText"/>
      </w:pPr>
      <m:oMathPara>
        <m:oMath>
          <m:r>
            <w:rPr>
              <w:rFonts w:ascii="Cambria Math" w:hAnsi="Cambria Math"/>
            </w:rPr>
            <m:t>K=</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Va</m:t>
                  </m:r>
                  <m:sSub>
                    <m:sSubPr>
                      <m:ctrlPr>
                        <w:rPr>
                          <w:rFonts w:ascii="Cambria Math" w:hAnsi="Cambria Math"/>
                          <w:i/>
                        </w:rPr>
                      </m:ctrlPr>
                    </m:sSubPr>
                    <m:e>
                      <m:r>
                        <w:rPr>
                          <w:rFonts w:ascii="Cambria Math" w:hAnsi="Cambria Math"/>
                        </w:rPr>
                        <m:t>R</m:t>
                      </m:r>
                    </m:e>
                    <m:sub>
                      <m:r>
                        <w:rPr>
                          <w:rFonts w:ascii="Cambria Math" w:hAnsi="Cambria Math"/>
                        </w:rPr>
                        <m:t>avr 10d 99%</m:t>
                      </m:r>
                    </m:sub>
                  </m:sSub>
                </m:e>
              </m:d>
            </m:e>
          </m:func>
          <m:r>
            <w:rPr>
              <w:rFonts w:ascii="Cambria Math" w:hAnsi="Cambria Math"/>
            </w:rPr>
            <m:t>+</m:t>
          </m:r>
          <m:r>
            <m:rPr>
              <m:sty m:val="p"/>
            </m:rPr>
            <w:rPr>
              <w:rFonts w:ascii="Cambria Math" w:hAnsi="Cambria Math"/>
            </w:rPr>
            <m:t>max⁡</m:t>
          </m:r>
          <m:r>
            <w:rPr>
              <w:rFonts w:ascii="Cambria Math" w:hAnsi="Cambria Math"/>
            </w:rPr>
            <m:t>(SVa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SVa</m:t>
          </m:r>
          <m:sSub>
            <m:sSubPr>
              <m:ctrlPr>
                <w:rPr>
                  <w:rFonts w:ascii="Cambria Math" w:hAnsi="Cambria Math"/>
                  <w:i/>
                </w:rPr>
              </m:ctrlPr>
            </m:sSubPr>
            <m:e>
              <m:r>
                <w:rPr>
                  <w:rFonts w:ascii="Cambria Math" w:hAnsi="Cambria Math"/>
                </w:rPr>
                <m:t>R</m:t>
              </m:r>
            </m:e>
            <m:sub>
              <m:r>
                <w:rPr>
                  <w:rFonts w:ascii="Cambria Math" w:hAnsi="Cambria Math"/>
                </w:rPr>
                <m:t>avr 10d 99%</m:t>
              </m:r>
            </m:sub>
          </m:sSub>
          <m:r>
            <w:rPr>
              <w:rFonts w:ascii="Cambria Math" w:hAnsi="Cambria Math"/>
            </w:rPr>
            <m:t>)</m:t>
          </m:r>
        </m:oMath>
      </m:oMathPara>
    </w:p>
    <w:p w14:paraId="68F76068" w14:textId="77777777" w:rsidR="005964FD" w:rsidRDefault="005964FD" w:rsidP="009C590C">
      <w:pPr>
        <w:pStyle w:val="BodyText"/>
      </w:pPr>
    </w:p>
    <w:p w14:paraId="0187C992" w14:textId="77777777" w:rsidR="009C590C" w:rsidRDefault="009C590C" w:rsidP="009C590C">
      <w:pPr>
        <w:pStyle w:val="BodyText"/>
      </w:pPr>
      <w:r>
        <w:t>The following table represents the total Regulatory Market Capital:</w:t>
      </w:r>
    </w:p>
    <w:tbl>
      <w:tblPr>
        <w:tblStyle w:val="MediumShading1-Accent2"/>
        <w:tblW w:w="0" w:type="auto"/>
        <w:jc w:val="center"/>
        <w:tblLook w:val="04A0" w:firstRow="1" w:lastRow="0" w:firstColumn="1" w:lastColumn="0" w:noHBand="0" w:noVBand="1"/>
      </w:tblPr>
      <w:tblGrid>
        <w:gridCol w:w="3115"/>
        <w:gridCol w:w="3115"/>
      </w:tblGrid>
      <w:tr w:rsidR="009C590C" w:rsidRPr="00743AC8" w14:paraId="00CD0419" w14:textId="77777777" w:rsidTr="00096BFD">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514C8D13" w14:textId="77777777" w:rsidR="009C590C" w:rsidRPr="00743AC8" w:rsidRDefault="009C590C" w:rsidP="00255705">
            <w:pPr>
              <w:pStyle w:val="tabletextheader"/>
              <w:rPr>
                <w:b/>
              </w:rPr>
            </w:pPr>
            <w:r>
              <w:rPr>
                <w:b/>
              </w:rPr>
              <w:t>Market Regulatory Capital</w:t>
            </w:r>
          </w:p>
        </w:tc>
      </w:tr>
      <w:tr w:rsidR="009A35BD" w14:paraId="2502C1C5" w14:textId="77777777" w:rsidTr="00096BFD">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28F9478C" w14:textId="3A08F0EE" w:rsidR="009A35BD" w:rsidRPr="009A35BD" w:rsidRDefault="009A35BD" w:rsidP="009A35BD">
            <w:pPr>
              <w:pStyle w:val="tabletextheader"/>
              <w:rPr>
                <w:bCs w:val="0"/>
              </w:rPr>
            </w:pPr>
            <w:r>
              <w:rPr>
                <w:bCs w:val="0"/>
              </w:rPr>
              <w:t xml:space="preserve">Market </w:t>
            </w:r>
            <w:r w:rsidRPr="009A35BD">
              <w:rPr>
                <w:bCs w:val="0"/>
              </w:rPr>
              <w:t>Value</w:t>
            </w:r>
          </w:p>
        </w:tc>
        <w:tc>
          <w:tcPr>
            <w:tcW w:w="3115"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7E3A7E0D" w14:textId="4D8438EE" w:rsidR="009A35BD" w:rsidRPr="009A35BD" w:rsidRDefault="009A35BD" w:rsidP="009A35BD">
            <w:pPr>
              <w:pStyle w:val="tabletextheader"/>
              <w:cnfStyle w:val="000000100000" w:firstRow="0" w:lastRow="0" w:firstColumn="0" w:lastColumn="0" w:oddVBand="0" w:evenVBand="0" w:oddHBand="1" w:evenHBand="0" w:firstRowFirstColumn="0" w:firstRowLastColumn="0" w:lastRowFirstColumn="0" w:lastRowLastColumn="0"/>
              <w:rPr>
                <w:bCs/>
              </w:rPr>
            </w:pPr>
            <w:r w:rsidRPr="009A35BD">
              <w:rPr>
                <w:bCs/>
              </w:rPr>
              <w:t>% AUM</w:t>
            </w:r>
          </w:p>
        </w:tc>
      </w:tr>
      <w:tr w:rsidR="009C590C" w14:paraId="3FEB6CF2" w14:textId="77777777" w:rsidTr="00255705">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422EB21" w14:textId="77777777" w:rsidR="009C590C" w:rsidRPr="00743AC8" w:rsidRDefault="009C590C" w:rsidP="00DE76D0">
            <w:pPr>
              <w:pStyle w:val="tabletext"/>
            </w:pPr>
            <w:r>
              <w:t>98.6M</w:t>
            </w:r>
          </w:p>
        </w:tc>
        <w:tc>
          <w:tcPr>
            <w:tcW w:w="3115" w:type="dxa"/>
            <w:tcBorders>
              <w:top w:val="single" w:sz="4" w:space="0" w:color="auto"/>
              <w:left w:val="single" w:sz="4" w:space="0" w:color="auto"/>
              <w:bottom w:val="single" w:sz="4" w:space="0" w:color="auto"/>
              <w:right w:val="single" w:sz="4" w:space="0" w:color="auto"/>
            </w:tcBorders>
            <w:vAlign w:val="center"/>
          </w:tcPr>
          <w:p w14:paraId="5AA325BB" w14:textId="77777777" w:rsidR="009C590C" w:rsidRPr="008143F4" w:rsidRDefault="009C590C" w:rsidP="00DE76D0">
            <w:pPr>
              <w:pStyle w:val="tabletext"/>
              <w:cnfStyle w:val="000000010000" w:firstRow="0" w:lastRow="0" w:firstColumn="0" w:lastColumn="0" w:oddVBand="0" w:evenVBand="0" w:oddHBand="0" w:evenHBand="1" w:firstRowFirstColumn="0" w:firstRowLastColumn="0" w:lastRowFirstColumn="0" w:lastRowLastColumn="0"/>
            </w:pPr>
            <w:r>
              <w:t>39.7%</w:t>
            </w:r>
          </w:p>
        </w:tc>
      </w:tr>
    </w:tbl>
    <w:p w14:paraId="45BF5CFA" w14:textId="77777777" w:rsidR="009C590C" w:rsidRDefault="009C590C" w:rsidP="009C590C">
      <w:pPr>
        <w:pStyle w:val="Heading2"/>
      </w:pPr>
    </w:p>
    <w:p w14:paraId="595EAD39" w14:textId="77777777" w:rsidR="009C590C" w:rsidRPr="00EC19A7" w:rsidRDefault="009C590C" w:rsidP="009C590C">
      <w:pPr>
        <w:pStyle w:val="Heading2"/>
      </w:pPr>
      <w:r w:rsidRPr="0075111E">
        <w:t>Incremental Risk Charge (IRC)</w:t>
      </w:r>
    </w:p>
    <w:p w14:paraId="44ED3D17" w14:textId="35E27853" w:rsidR="009C590C" w:rsidRPr="00584DDC" w:rsidRDefault="009C590C" w:rsidP="00760C75">
      <w:pPr>
        <w:pStyle w:val="BodyText"/>
      </w:pPr>
      <w:r w:rsidRPr="00584DDC">
        <w:t>The incremental risk charge (IRC) complements the VaR framework by projecting the effect</w:t>
      </w:r>
      <w:r w:rsidR="005D4D55">
        <w:t>s</w:t>
      </w:r>
      <w:r w:rsidRPr="00584DDC">
        <w:t xml:space="preserve"> of credit rat</w:t>
      </w:r>
      <w:r w:rsidR="005D4D55">
        <w:t xml:space="preserve">ing migration into VaR. In IRB, only the default events are considered in the credit risk capital. The IRC metric is a more robust measure since downgrades are also considered in the credit risk modelling. </w:t>
      </w:r>
      <w:r w:rsidRPr="00584DDC">
        <w:t>To consider the migration we will use a Transition Matrix obtained from S&amp;P</w:t>
      </w:r>
      <w:r w:rsidR="005D4D55">
        <w:t>.</w:t>
      </w:r>
    </w:p>
    <w:p w14:paraId="5C4D6921" w14:textId="4C2ED04F" w:rsidR="009C590C" w:rsidRDefault="009C590C" w:rsidP="00760C75">
      <w:pPr>
        <w:pStyle w:val="BodyText"/>
      </w:pPr>
      <w:r w:rsidRPr="00584DDC">
        <w:t xml:space="preserve">CreditMetrics methodology as well as Gaussian copulas </w:t>
      </w:r>
      <w:r w:rsidR="005D4D55">
        <w:t>are</w:t>
      </w:r>
      <w:r w:rsidRPr="00584DDC">
        <w:t xml:space="preserve"> used to model the rating transitions. The details of the methodology ca</w:t>
      </w:r>
      <w:r w:rsidR="005D4D55">
        <w:t>n be found in our documentation</w:t>
      </w:r>
      <w:r w:rsidRPr="00584DDC">
        <w:t xml:space="preserve">. The one-year </w:t>
      </w:r>
      <w:r>
        <w:t>99.9% VaR is calculated using 2</w:t>
      </w:r>
      <w:r w:rsidRPr="00584DDC">
        <w:t>000 MC</w:t>
      </w:r>
      <w:r>
        <w:t xml:space="preserve"> </w:t>
      </w:r>
      <w:r w:rsidRPr="00584DDC">
        <w:t>simulations</w:t>
      </w:r>
      <w:r w:rsidR="005D4D55">
        <w:t>.</w:t>
      </w:r>
    </w:p>
    <w:p w14:paraId="20C705A9" w14:textId="77777777" w:rsidR="009C590C" w:rsidRDefault="009C590C" w:rsidP="009C590C"/>
    <w:tbl>
      <w:tblPr>
        <w:tblStyle w:val="MediumShading1-Accent2"/>
        <w:tblW w:w="0" w:type="auto"/>
        <w:jc w:val="center"/>
        <w:tblLook w:val="04A0" w:firstRow="1" w:lastRow="0" w:firstColumn="1" w:lastColumn="0" w:noHBand="0" w:noVBand="1"/>
      </w:tblPr>
      <w:tblGrid>
        <w:gridCol w:w="3115"/>
        <w:gridCol w:w="3115"/>
      </w:tblGrid>
      <w:tr w:rsidR="009C590C" w:rsidRPr="00743AC8" w14:paraId="047724EF" w14:textId="77777777" w:rsidTr="12577DF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0E30E2BD" w14:textId="77777777" w:rsidR="009C590C" w:rsidRPr="00743AC8" w:rsidRDefault="009C590C" w:rsidP="00255705">
            <w:pPr>
              <w:pStyle w:val="tabletextheader"/>
              <w:rPr>
                <w:b/>
              </w:rPr>
            </w:pPr>
            <w:r>
              <w:rPr>
                <w:b/>
              </w:rPr>
              <w:t xml:space="preserve">IRC VaR - </w:t>
            </w:r>
            <w:r w:rsidRPr="002D3E5A">
              <w:rPr>
                <w:b/>
              </w:rPr>
              <w:t>99.9% 1y</w:t>
            </w:r>
          </w:p>
        </w:tc>
      </w:tr>
      <w:tr w:rsidR="00096BFD" w14:paraId="428D20A3" w14:textId="77777777" w:rsidTr="00096BFD">
        <w:trPr>
          <w:cnfStyle w:val="000000100000" w:firstRow="0" w:lastRow="0" w:firstColumn="0" w:lastColumn="0" w:oddVBand="0" w:evenVBand="0" w:oddHBand="1"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5B18332B" w14:textId="76534539" w:rsidR="00096BFD" w:rsidRPr="00096BFD" w:rsidRDefault="00096BFD" w:rsidP="00096BFD">
            <w:pPr>
              <w:pStyle w:val="tabletextheader"/>
              <w:rPr>
                <w:bCs w:val="0"/>
              </w:rPr>
            </w:pPr>
            <w:r>
              <w:rPr>
                <w:bCs w:val="0"/>
              </w:rPr>
              <w:t xml:space="preserve">Market </w:t>
            </w:r>
            <w:r w:rsidRPr="009A35BD">
              <w:rPr>
                <w:bCs w:val="0"/>
              </w:rPr>
              <w:t>Value</w:t>
            </w:r>
          </w:p>
        </w:tc>
        <w:tc>
          <w:tcPr>
            <w:tcW w:w="3115"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4A6FEABD" w14:textId="73938B46" w:rsidR="00096BFD" w:rsidRPr="00096BFD" w:rsidRDefault="00096BFD" w:rsidP="00096BFD">
            <w:pPr>
              <w:pStyle w:val="tabletextheader"/>
              <w:cnfStyle w:val="000000100000" w:firstRow="0" w:lastRow="0" w:firstColumn="0" w:lastColumn="0" w:oddVBand="0" w:evenVBand="0" w:oddHBand="1" w:evenHBand="0" w:firstRowFirstColumn="0" w:firstRowLastColumn="0" w:lastRowFirstColumn="0" w:lastRowLastColumn="0"/>
              <w:rPr>
                <w:bCs/>
              </w:rPr>
            </w:pPr>
            <w:r w:rsidRPr="009A35BD">
              <w:rPr>
                <w:bCs/>
              </w:rPr>
              <w:t>% AUM</w:t>
            </w:r>
          </w:p>
        </w:tc>
      </w:tr>
      <w:tr w:rsidR="00096BFD" w14:paraId="71894142" w14:textId="77777777" w:rsidTr="12577DF5">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69D0A81C" w14:textId="51C34554" w:rsidR="00096BFD" w:rsidRPr="00743AC8" w:rsidRDefault="00096BFD" w:rsidP="00096BFD">
            <w:pPr>
              <w:pStyle w:val="tabletext"/>
            </w:pPr>
            <w:r>
              <w:t>55.7M</w:t>
            </w:r>
          </w:p>
        </w:tc>
        <w:tc>
          <w:tcPr>
            <w:tcW w:w="3115" w:type="dxa"/>
            <w:tcBorders>
              <w:top w:val="single" w:sz="4" w:space="0" w:color="auto"/>
              <w:left w:val="single" w:sz="4" w:space="0" w:color="auto"/>
              <w:bottom w:val="single" w:sz="4" w:space="0" w:color="auto"/>
              <w:right w:val="single" w:sz="4" w:space="0" w:color="auto"/>
            </w:tcBorders>
            <w:vAlign w:val="center"/>
          </w:tcPr>
          <w:p w14:paraId="04CE185C" w14:textId="63F14AE6" w:rsidR="00096BFD" w:rsidRPr="008143F4" w:rsidRDefault="00096BFD" w:rsidP="00096BFD">
            <w:pPr>
              <w:pStyle w:val="tabletext"/>
              <w:cnfStyle w:val="000000010000" w:firstRow="0" w:lastRow="0" w:firstColumn="0" w:lastColumn="0" w:oddVBand="0" w:evenVBand="0" w:oddHBand="0" w:evenHBand="1" w:firstRowFirstColumn="0" w:firstRowLastColumn="0" w:lastRowFirstColumn="0" w:lastRowLastColumn="0"/>
            </w:pPr>
            <w:r>
              <w:t>22.4%</w:t>
            </w:r>
          </w:p>
        </w:tc>
      </w:tr>
    </w:tbl>
    <w:p w14:paraId="399977E3" w14:textId="77777777" w:rsidR="009C590C" w:rsidRDefault="009C590C" w:rsidP="009C590C">
      <w:pPr>
        <w:rPr>
          <w:rFonts w:ascii="Cambria" w:hAnsi="Cambria"/>
          <w:color w:val="000000" w:themeColor="text1"/>
        </w:rPr>
      </w:pPr>
    </w:p>
    <w:p w14:paraId="5ED3091A" w14:textId="7338880D" w:rsidR="00760C75" w:rsidRDefault="12577DF5" w:rsidP="00760C75">
      <w:pPr>
        <w:pStyle w:val="BodyText"/>
      </w:pPr>
      <w:r>
        <w:t>Adding both the market and the credit factors, we obtain a total capital requirement of 154.3M; which represents 62.1% of the total value of the portfolio.</w:t>
      </w:r>
    </w:p>
    <w:p w14:paraId="43C445B3" w14:textId="4EBF3F00" w:rsidR="009C590C" w:rsidRPr="00760C75" w:rsidRDefault="009C590C" w:rsidP="00760C75">
      <w:pPr>
        <w:pStyle w:val="Heading2"/>
      </w:pPr>
      <w:r>
        <w:t>Economic Capital</w:t>
      </w:r>
    </w:p>
    <w:p w14:paraId="5BB2C38F" w14:textId="721E7A20" w:rsidR="009C590C" w:rsidRDefault="009C590C" w:rsidP="009C590C">
      <w:pPr>
        <w:rPr>
          <w:rFonts w:ascii="Cambria" w:hAnsi="Cambria"/>
          <w:color w:val="000000" w:themeColor="text1"/>
        </w:rPr>
      </w:pPr>
      <w:r w:rsidRPr="00732F50">
        <w:rPr>
          <w:rFonts w:ascii="Cambria" w:hAnsi="Cambria"/>
          <w:color w:val="000000" w:themeColor="text1"/>
        </w:rPr>
        <w:t>The Economic Capital is the Capital designated to cover unexpected Market losses. The Economic Capital provides a forward-looking estimate of the difference in the maximum potential loss and our expected loss</w:t>
      </w:r>
      <w:r w:rsidR="005D4D55">
        <w:rPr>
          <w:rFonts w:ascii="Cambria" w:hAnsi="Cambria"/>
          <w:color w:val="000000" w:themeColor="text1"/>
        </w:rPr>
        <w:t>es</w:t>
      </w:r>
      <w:r w:rsidRPr="00732F50">
        <w:rPr>
          <w:rFonts w:ascii="Cambria" w:hAnsi="Cambria"/>
          <w:color w:val="000000" w:themeColor="text1"/>
        </w:rPr>
        <w:t>:</w:t>
      </w:r>
    </w:p>
    <w:p w14:paraId="7405357D" w14:textId="77777777" w:rsidR="009C590C" w:rsidRDefault="009C590C" w:rsidP="009C590C">
      <w:pPr>
        <w:rPr>
          <w:rFonts w:ascii="Cambria" w:hAnsi="Cambria"/>
          <w:color w:val="000000" w:themeColor="text1"/>
        </w:rPr>
      </w:pPr>
    </w:p>
    <w:p w14:paraId="06E1F5DF" w14:textId="77777777" w:rsidR="009C590C" w:rsidRPr="00732F50" w:rsidRDefault="007619AC" w:rsidP="009C590C">
      <w:pPr>
        <w:pStyle w:val="BodyText"/>
      </w:pPr>
      <m:oMathPara>
        <m:oMath>
          <m:sSub>
            <m:sSubPr>
              <m:ctrlPr>
                <w:rPr>
                  <w:rFonts w:ascii="Cambria Math" w:hAnsi="Cambria Math"/>
                  <w:i/>
                </w:rPr>
              </m:ctrlPr>
            </m:sSubPr>
            <m:e>
              <m:r>
                <w:rPr>
                  <w:rFonts w:ascii="Cambria Math" w:hAnsi="Cambria Math"/>
                </w:rPr>
                <m:t>K</m:t>
              </m:r>
            </m:e>
            <m:sub>
              <m:r>
                <w:rPr>
                  <w:rFonts w:ascii="Cambria Math" w:hAnsi="Cambria Math"/>
                </w:rPr>
                <m:t>economic</m:t>
              </m:r>
            </m:sub>
          </m:sSub>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10d99%</m:t>
              </m:r>
            </m:sub>
          </m:sSub>
          <m:r>
            <w:rPr>
              <w:rFonts w:ascii="Cambria Math" w:hAnsi="Cambria Math"/>
            </w:rPr>
            <m:t>-Expected Loss</m:t>
          </m:r>
        </m:oMath>
      </m:oMathPara>
    </w:p>
    <w:p w14:paraId="25A2306C" w14:textId="77777777" w:rsidR="009C590C" w:rsidRDefault="009C590C" w:rsidP="009C590C">
      <w:pPr>
        <w:pStyle w:val="BodyText"/>
      </w:pPr>
      <w:r>
        <w:t>The total value of the Economic Capital adds up to 13.6M; which represent 5.5% of the portfolio value.</w:t>
      </w:r>
    </w:p>
    <w:p w14:paraId="5CCB0A4F" w14:textId="19E0C42F" w:rsidR="009C590C" w:rsidRPr="007D3532" w:rsidRDefault="009C590C" w:rsidP="00760C75">
      <w:pPr>
        <w:pStyle w:val="Heading2"/>
      </w:pPr>
      <w:r>
        <w:t>Standardized Approach for CCR</w:t>
      </w:r>
    </w:p>
    <w:p w14:paraId="74574EDD" w14:textId="77777777" w:rsidR="009C590C" w:rsidRPr="007D3532" w:rsidRDefault="009C590C" w:rsidP="00760C75">
      <w:pPr>
        <w:pStyle w:val="BodyText"/>
      </w:pPr>
      <w:r w:rsidRPr="007D3532">
        <w:t>The capital allocation is based on the follo</w:t>
      </w:r>
      <w:r>
        <w:t>wing formula proposed in Basel I</w:t>
      </w:r>
      <w:r w:rsidRPr="007D3532">
        <w:t xml:space="preserve">, where the weights and credit equivalent add-on factors are: </w:t>
      </w:r>
    </w:p>
    <w:p w14:paraId="54797024" w14:textId="77777777" w:rsidR="009C590C" w:rsidRPr="007D3532" w:rsidRDefault="009C590C" w:rsidP="00760C75">
      <w:pPr>
        <w:pStyle w:val="BodyText"/>
      </w:pPr>
      <m:oMathPara>
        <m:oMath>
          <m:r>
            <w:rPr>
              <w:rFonts w:ascii="Cambria Math" w:hAnsi="Cambria Math"/>
            </w:rPr>
            <m:t>K=0.08 (</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r>
            <w:rPr>
              <w:rFonts w:ascii="Cambria Math" w:hAnsi="Cambria Math"/>
            </w:rPr>
            <m:t>RW</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14:paraId="20FE7238" w14:textId="189B7840" w:rsidR="009C590C" w:rsidRPr="00123B83" w:rsidRDefault="009C590C" w:rsidP="00255705">
      <w:pPr>
        <w:pStyle w:val="BodyText"/>
      </w:pPr>
      <w:r>
        <w:lastRenderedPageBreak/>
        <w:t>This adds up to 0.27M, which represent 3.1% of the total exposure to CDS.</w:t>
      </w:r>
    </w:p>
    <w:p w14:paraId="5C7094ED" w14:textId="77777777" w:rsidR="009C590C" w:rsidRDefault="009C590C" w:rsidP="009C590C">
      <w:pPr>
        <w:pStyle w:val="Heading2"/>
      </w:pPr>
      <w:r>
        <w:t>Standardized CVA Capital</w:t>
      </w:r>
    </w:p>
    <w:p w14:paraId="660E25FB" w14:textId="77777777" w:rsidR="009C590C" w:rsidRPr="00123B83" w:rsidRDefault="009C590C" w:rsidP="009C590C"/>
    <w:p w14:paraId="47D3FEE0" w14:textId="77777777" w:rsidR="009C590C" w:rsidRPr="00123B83" w:rsidRDefault="009C590C" w:rsidP="00255705">
      <w:pPr>
        <w:pStyle w:val="BodyText"/>
      </w:pPr>
      <w:r w:rsidRPr="00123B83">
        <w:t>In the standardized approach, the portfolio CVA capital charge is calculated using the following formula:</w:t>
      </w:r>
    </w:p>
    <w:p w14:paraId="2AE5B869" w14:textId="77777777" w:rsidR="009C590C" w:rsidRDefault="009C590C" w:rsidP="009C590C">
      <w:pPr>
        <w:ind w:left="2160"/>
        <w:rPr>
          <w:rFonts w:ascii="Cambria" w:hAnsi="Cambria"/>
          <w:color w:val="000000" w:themeColor="text1"/>
        </w:rPr>
      </w:pPr>
      <w:r>
        <w:rPr>
          <w:noProof/>
        </w:rPr>
        <w:drawing>
          <wp:inline distT="0" distB="0" distL="0" distR="0" wp14:anchorId="2D93CB51" wp14:editId="19EBBC31">
            <wp:extent cx="3196883" cy="719299"/>
            <wp:effectExtent l="0" t="0" r="381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6883" cy="719299"/>
                    </a:xfrm>
                    <a:prstGeom prst="rect">
                      <a:avLst/>
                    </a:prstGeom>
                    <a:noFill/>
                    <a:ln>
                      <a:noFill/>
                    </a:ln>
                  </pic:spPr>
                </pic:pic>
              </a:graphicData>
            </a:graphic>
          </wp:inline>
        </w:drawing>
      </w:r>
    </w:p>
    <w:p w14:paraId="3691FDBD" w14:textId="77777777" w:rsidR="005D6700" w:rsidRDefault="005D6700" w:rsidP="009C590C">
      <w:pPr>
        <w:ind w:left="2160"/>
        <w:rPr>
          <w:rFonts w:ascii="Cambria" w:hAnsi="Cambria"/>
          <w:color w:val="000000" w:themeColor="text1"/>
        </w:rPr>
      </w:pPr>
    </w:p>
    <w:p w14:paraId="49E0503D" w14:textId="77777777" w:rsidR="009C590C" w:rsidRPr="00123B83" w:rsidRDefault="009C590C" w:rsidP="005D6700">
      <w:pPr>
        <w:pStyle w:val="BodyText"/>
      </w:pPr>
      <w:r w:rsidRPr="00123B83">
        <w:t>The capital we obtain for the CVA is the following:</w:t>
      </w:r>
      <w:r>
        <w:t xml:space="preserve"> </w:t>
      </w:r>
      <m:oMath>
        <m:r>
          <m:rPr>
            <m:sty m:val="p"/>
          </m:rPr>
          <w:rPr>
            <w:rFonts w:ascii="Cambria Math" w:hAnsi="Cambria Math"/>
          </w:rPr>
          <m:t>K=0.22M</m:t>
        </m:r>
      </m:oMath>
      <w:r w:rsidRPr="00123B83">
        <w:t>, representing 2.6% of the Total CDS Exposure.</w:t>
      </w:r>
    </w:p>
    <w:p w14:paraId="000FBD25" w14:textId="77777777" w:rsidR="009C590C" w:rsidRPr="00BB09CD" w:rsidRDefault="009C590C" w:rsidP="009C590C">
      <w:pPr>
        <w:pStyle w:val="Heading1"/>
      </w:pPr>
      <w:bookmarkStart w:id="11" w:name="_Toc330127746"/>
      <w:r>
        <w:t>Model Risk</w:t>
      </w:r>
      <w:bookmarkEnd w:id="11"/>
    </w:p>
    <w:p w14:paraId="52E07FF1" w14:textId="19C00A56" w:rsidR="009C590C" w:rsidRPr="00BB09CD" w:rsidRDefault="009C590C" w:rsidP="005D6700">
      <w:pPr>
        <w:pStyle w:val="BodyText"/>
      </w:pPr>
      <w:r w:rsidRPr="00BB09CD">
        <w:t>Model risk is the possible losses due to faults in the development and application of the valuation models considered.</w:t>
      </w:r>
    </w:p>
    <w:p w14:paraId="52E970BD" w14:textId="77595470" w:rsidR="009C590C" w:rsidRPr="00BB09CD" w:rsidRDefault="009C590C" w:rsidP="005D6700">
      <w:pPr>
        <w:pStyle w:val="BodyText"/>
      </w:pPr>
      <w:r w:rsidRPr="00BB09CD">
        <w:rPr>
          <w:b/>
        </w:rPr>
        <w:t>Interpolation of Zero Curves and Spread Curves:</w:t>
      </w:r>
      <w:r w:rsidRPr="00BB09CD">
        <w:t xml:space="preserve"> For our pricing models we had to interpol</w:t>
      </w:r>
      <w:r>
        <w:t xml:space="preserve">ate the interest rate curves as </w:t>
      </w:r>
      <w:r w:rsidRPr="00BB09CD">
        <w:t>well as the CDS spread curves. Given that we only have an observation for determined tenors, an interpolation has to be</w:t>
      </w:r>
      <w:r>
        <w:t xml:space="preserve"> </w:t>
      </w:r>
      <w:r w:rsidRPr="00BB09CD">
        <w:t>done to obtain a curve. This position mapping was done with a linear approach, although several other methods exist. A</w:t>
      </w:r>
      <w:r>
        <w:t xml:space="preserve"> </w:t>
      </w:r>
      <w:r w:rsidRPr="00BB09CD">
        <w:t>disadvantage of the linear interpolation is that it can either underestimate or overestimate volatility of the cash flows being</w:t>
      </w:r>
      <w:r>
        <w:t xml:space="preserve"> </w:t>
      </w:r>
      <w:r w:rsidRPr="00BB09CD">
        <w:t>discounted.</w:t>
      </w:r>
    </w:p>
    <w:p w14:paraId="1861D77C" w14:textId="26BC4858" w:rsidR="009C590C" w:rsidRPr="00BB09CD" w:rsidRDefault="009C590C" w:rsidP="005D6700">
      <w:pPr>
        <w:pStyle w:val="BodyText"/>
      </w:pPr>
      <w:r w:rsidRPr="00BB09CD">
        <w:rPr>
          <w:b/>
        </w:rPr>
        <w:t>Agency Rating Risk:</w:t>
      </w:r>
      <w:r w:rsidRPr="00BB09CD">
        <w:t xml:space="preserve"> For credit risk we use the agency ratings for valuing our portfolio. It has been proven that these</w:t>
      </w:r>
      <w:r>
        <w:t xml:space="preserve"> </w:t>
      </w:r>
      <w:r w:rsidRPr="00BB09CD">
        <w:t>ratings might not be correct and may overestimate the value of the financial instrument. An</w:t>
      </w:r>
      <w:r>
        <w:t xml:space="preserve">other problematic </w:t>
      </w:r>
      <w:r w:rsidR="0050276C">
        <w:t xml:space="preserve">issue </w:t>
      </w:r>
      <w:r>
        <w:t xml:space="preserve">that </w:t>
      </w:r>
      <w:r w:rsidR="0050276C">
        <w:t>arises</w:t>
      </w:r>
      <w:r>
        <w:t xml:space="preserve"> is </w:t>
      </w:r>
      <w:r w:rsidRPr="00BB09CD">
        <w:t xml:space="preserve">that the bonds with the same rating </w:t>
      </w:r>
      <w:r w:rsidR="0050276C">
        <w:t xml:space="preserve">do </w:t>
      </w:r>
      <w:r w:rsidRPr="00BB09CD">
        <w:t>not necessarily have the same spread.</w:t>
      </w:r>
    </w:p>
    <w:p w14:paraId="6295AA8A" w14:textId="34CEF8E4" w:rsidR="009C590C" w:rsidRPr="00BB09CD" w:rsidRDefault="009C590C" w:rsidP="005D6700">
      <w:pPr>
        <w:pStyle w:val="BodyText"/>
      </w:pPr>
      <w:r w:rsidRPr="00BB09CD">
        <w:rPr>
          <w:b/>
        </w:rPr>
        <w:t>Liquidity:</w:t>
      </w:r>
      <w:r w:rsidRPr="00BB09CD">
        <w:t xml:space="preserve"> Within our models we are not considering the liquidity risk of the instruments.</w:t>
      </w:r>
      <w:r>
        <w:t xml:space="preserve"> We are valuing the instruments </w:t>
      </w:r>
      <w:r w:rsidRPr="00BB09CD">
        <w:t>without pricing in a liquidity factor. This then might implicate an overestimation or und</w:t>
      </w:r>
      <w:r>
        <w:t xml:space="preserve">erestimation of the instruments </w:t>
      </w:r>
      <w:r w:rsidRPr="00BB09CD">
        <w:t>prices.</w:t>
      </w:r>
    </w:p>
    <w:p w14:paraId="31DDE889" w14:textId="6C35F5B2" w:rsidR="009C590C" w:rsidRPr="00BB09CD" w:rsidRDefault="009C590C" w:rsidP="005D6700">
      <w:pPr>
        <w:pStyle w:val="BodyText"/>
      </w:pPr>
      <w:r w:rsidRPr="00BB09CD">
        <w:rPr>
          <w:b/>
        </w:rPr>
        <w:t>Jointly Normal Assumption:</w:t>
      </w:r>
      <w:r w:rsidRPr="00BB09CD">
        <w:t xml:space="preserve"> We assumed that the risk factors are jointly normal in </w:t>
      </w:r>
      <w:r w:rsidR="0050276C">
        <w:t xml:space="preserve">the </w:t>
      </w:r>
      <w:r w:rsidRPr="00BB09CD">
        <w:t>calculat</w:t>
      </w:r>
      <w:r>
        <w:t xml:space="preserve">ion of the analytical VaR. This </w:t>
      </w:r>
      <w:r w:rsidRPr="00BB09CD">
        <w:t xml:space="preserve">is also the case </w:t>
      </w:r>
      <w:r w:rsidR="0050276C">
        <w:t>in</w:t>
      </w:r>
      <w:r w:rsidRPr="00BB09CD">
        <w:t xml:space="preserve"> model risk. As we know Normality assumption is not a realistic assumption. A better approach would</w:t>
      </w:r>
      <w:r>
        <w:t xml:space="preserve"> </w:t>
      </w:r>
      <w:r w:rsidRPr="00BB09CD">
        <w:t>have been using a distribution with skewness and kurtosis for calculation of analytical VaR.</w:t>
      </w:r>
    </w:p>
    <w:p w14:paraId="7E27D799" w14:textId="6D1F8F85" w:rsidR="009C590C" w:rsidRPr="00BB09CD" w:rsidRDefault="009C590C" w:rsidP="005D6700">
      <w:pPr>
        <w:pStyle w:val="BodyText"/>
      </w:pPr>
      <w:r w:rsidRPr="00BB09CD">
        <w:rPr>
          <w:b/>
        </w:rPr>
        <w:t>Gaussian Copula:</w:t>
      </w:r>
      <w:r w:rsidRPr="00BB09CD">
        <w:t xml:space="preserve"> Gaussian copula</w:t>
      </w:r>
      <w:r w:rsidR="0050276C">
        <w:t>s</w:t>
      </w:r>
      <w:r w:rsidRPr="00BB09CD">
        <w:t xml:space="preserve"> generally cannot capture the tail dependence very well, ho</w:t>
      </w:r>
      <w:r>
        <w:t xml:space="preserve">wever it is known that T-copulas </w:t>
      </w:r>
      <w:r w:rsidRPr="00BB09CD">
        <w:t>are a good candidate for capturing the tail dependence. It is expected by switching to t-copulas, the VaR value</w:t>
      </w:r>
      <w:r>
        <w:t xml:space="preserve"> </w:t>
      </w:r>
      <w:r w:rsidRPr="00BB09CD">
        <w:t>calculated by the IRC approach increases which provide a better (more realistic) estimate for worst case capital loss and</w:t>
      </w:r>
      <w:r>
        <w:t xml:space="preserve"> </w:t>
      </w:r>
      <w:r w:rsidRPr="00BB09CD">
        <w:t>capital allocation</w:t>
      </w:r>
      <w:r>
        <w:t>.</w:t>
      </w:r>
    </w:p>
    <w:p w14:paraId="0D551155" w14:textId="2DE67126" w:rsidR="00997ACF" w:rsidRDefault="009C590C" w:rsidP="00AF67FC">
      <w:pPr>
        <w:pStyle w:val="BodyText"/>
      </w:pPr>
      <w:r w:rsidRPr="00BB09CD">
        <w:rPr>
          <w:b/>
        </w:rPr>
        <w:t>Double default:</w:t>
      </w:r>
      <w:r w:rsidRPr="00BB09CD">
        <w:t xml:space="preserve"> In our CCR model we have not considered the existence of correlati</w:t>
      </w:r>
      <w:r>
        <w:t xml:space="preserve">on between the counterparty and </w:t>
      </w:r>
      <w:r w:rsidRPr="00BB09CD">
        <w:t>the</w:t>
      </w:r>
      <w:r>
        <w:t xml:space="preserve"> </w:t>
      </w:r>
      <w:r w:rsidRPr="00BB09CD">
        <w:t>reference entity in the CDSs. In practice in the extreme market conditions default correlation becomes high which impacts</w:t>
      </w:r>
      <w:r>
        <w:t xml:space="preserve"> </w:t>
      </w:r>
      <w:r w:rsidRPr="00BB09CD">
        <w:t>the default risk capital allocation. The double default has been considered in the Basel III framework but it has not been</w:t>
      </w:r>
      <w:r w:rsidR="0075516A">
        <w:t xml:space="preserve"> </w:t>
      </w:r>
      <w:r w:rsidRPr="00BB09CD">
        <w:t>included in our models.</w:t>
      </w:r>
    </w:p>
    <w:p w14:paraId="2F385342" w14:textId="259AA041" w:rsidR="00997ACF" w:rsidRPr="00BB09CD" w:rsidRDefault="00997ACF" w:rsidP="00997ACF">
      <w:pPr>
        <w:pStyle w:val="Heading1"/>
      </w:pPr>
      <w:bookmarkStart w:id="12" w:name="_Toc330127747"/>
      <w:r>
        <w:lastRenderedPageBreak/>
        <w:t>Conclusion and Recommendations</w:t>
      </w:r>
      <w:bookmarkEnd w:id="12"/>
    </w:p>
    <w:p w14:paraId="1386A36D" w14:textId="77777777" w:rsidR="00997ACF" w:rsidRDefault="00997ACF" w:rsidP="00792525">
      <w:pPr>
        <w:jc w:val="center"/>
      </w:pPr>
    </w:p>
    <w:p w14:paraId="33F99B51" w14:textId="01A4843B" w:rsidR="00997ACF" w:rsidRDefault="00997ACF" w:rsidP="00997ACF">
      <w:pPr>
        <w:jc w:val="both"/>
        <w:rPr>
          <w:rFonts w:ascii="Cambria" w:hAnsi="Cambria"/>
          <w:color w:val="000000" w:themeColor="text1"/>
        </w:rPr>
      </w:pPr>
      <w:r w:rsidRPr="00997ACF">
        <w:rPr>
          <w:rFonts w:ascii="Cambria" w:hAnsi="Cambria"/>
          <w:color w:val="000000" w:themeColor="text1"/>
        </w:rPr>
        <w:t xml:space="preserve">In this report, we analyze the risk associated with a portfolio consisting of different asset classes: corporate bonds, options, stocks and CDS. Market risk and credit risk were </w:t>
      </w:r>
      <w:r w:rsidR="0050276C">
        <w:rPr>
          <w:rFonts w:ascii="Cambria" w:hAnsi="Cambria"/>
          <w:color w:val="000000" w:themeColor="text1"/>
        </w:rPr>
        <w:t xml:space="preserve">also </w:t>
      </w:r>
      <w:r w:rsidRPr="00997ACF">
        <w:rPr>
          <w:rFonts w:ascii="Cambria" w:hAnsi="Cambria"/>
          <w:color w:val="000000" w:themeColor="text1"/>
        </w:rPr>
        <w:t xml:space="preserve">considered for this </w:t>
      </w:r>
      <w:r w:rsidR="0050276C">
        <w:rPr>
          <w:rFonts w:ascii="Cambria" w:hAnsi="Cambria"/>
          <w:color w:val="000000" w:themeColor="text1"/>
        </w:rPr>
        <w:t>purpose</w:t>
      </w:r>
      <w:r w:rsidRPr="00997ACF">
        <w:rPr>
          <w:rFonts w:ascii="Cambria" w:hAnsi="Cambria"/>
          <w:color w:val="000000" w:themeColor="text1"/>
        </w:rPr>
        <w:t xml:space="preserve">. </w:t>
      </w:r>
    </w:p>
    <w:p w14:paraId="6952C4AA" w14:textId="77777777" w:rsidR="0050276C" w:rsidRPr="00997ACF" w:rsidRDefault="0050276C" w:rsidP="00997ACF">
      <w:pPr>
        <w:jc w:val="both"/>
        <w:rPr>
          <w:rFonts w:ascii="Cambria" w:hAnsi="Cambria"/>
          <w:color w:val="000000" w:themeColor="text1"/>
        </w:rPr>
      </w:pPr>
    </w:p>
    <w:p w14:paraId="09C8436D" w14:textId="4EF0610D" w:rsidR="00997ACF" w:rsidRDefault="00997ACF" w:rsidP="00997ACF">
      <w:pPr>
        <w:jc w:val="both"/>
        <w:rPr>
          <w:rFonts w:ascii="Cambria" w:hAnsi="Cambria"/>
          <w:color w:val="000000" w:themeColor="text1"/>
        </w:rPr>
      </w:pPr>
      <w:r w:rsidRPr="00997ACF">
        <w:rPr>
          <w:rFonts w:ascii="Cambria" w:hAnsi="Cambria"/>
          <w:color w:val="000000" w:themeColor="text1"/>
        </w:rPr>
        <w:t>As</w:t>
      </w:r>
      <w:r w:rsidR="0050276C">
        <w:rPr>
          <w:rFonts w:ascii="Cambria" w:hAnsi="Cambria"/>
          <w:color w:val="000000" w:themeColor="text1"/>
        </w:rPr>
        <w:t xml:space="preserve"> for</w:t>
      </w:r>
      <w:r w:rsidRPr="00997ACF">
        <w:rPr>
          <w:rFonts w:ascii="Cambria" w:hAnsi="Cambria"/>
          <w:color w:val="000000" w:themeColor="text1"/>
        </w:rPr>
        <w:t xml:space="preserve"> recommenda</w:t>
      </w:r>
      <w:r w:rsidR="0050276C">
        <w:rPr>
          <w:rFonts w:ascii="Cambria" w:hAnsi="Cambria"/>
          <w:color w:val="000000" w:themeColor="text1"/>
        </w:rPr>
        <w:t>tions, we know that we are over-</w:t>
      </w:r>
      <w:r w:rsidRPr="00997ACF">
        <w:rPr>
          <w:rFonts w:ascii="Cambria" w:hAnsi="Cambria"/>
          <w:color w:val="000000" w:themeColor="text1"/>
        </w:rPr>
        <w:t xml:space="preserve">exposed to the communications sector and the government issues. </w:t>
      </w:r>
      <w:r w:rsidR="0050276C">
        <w:rPr>
          <w:rFonts w:ascii="Cambria" w:hAnsi="Cambria"/>
          <w:color w:val="000000" w:themeColor="text1"/>
        </w:rPr>
        <w:t>We recommend reducing the exposure in these areas</w:t>
      </w:r>
      <w:r w:rsidRPr="00997ACF">
        <w:rPr>
          <w:rFonts w:ascii="Cambria" w:hAnsi="Cambria"/>
          <w:color w:val="000000" w:themeColor="text1"/>
        </w:rPr>
        <w:t xml:space="preserve">. We suggest to homogenize the risk contributions by sector, instead of having these huge exposures in some of them, and so little in others. In </w:t>
      </w:r>
      <w:r w:rsidR="0050276C">
        <w:rPr>
          <w:rFonts w:ascii="Cambria" w:hAnsi="Cambria"/>
          <w:color w:val="000000" w:themeColor="text1"/>
        </w:rPr>
        <w:t>addition, the USD exposure is 2/</w:t>
      </w:r>
      <w:r w:rsidRPr="00997ACF">
        <w:rPr>
          <w:rFonts w:ascii="Cambria" w:hAnsi="Cambria"/>
          <w:color w:val="000000" w:themeColor="text1"/>
        </w:rPr>
        <w:t>3</w:t>
      </w:r>
      <w:r w:rsidR="0050276C">
        <w:rPr>
          <w:rFonts w:ascii="Cambria" w:hAnsi="Cambria"/>
          <w:color w:val="000000" w:themeColor="text1"/>
        </w:rPr>
        <w:t xml:space="preserve"> of the total portfolio value</w:t>
      </w:r>
      <w:r w:rsidRPr="00997ACF">
        <w:rPr>
          <w:rFonts w:ascii="Cambria" w:hAnsi="Cambria"/>
          <w:color w:val="000000" w:themeColor="text1"/>
        </w:rPr>
        <w:t xml:space="preserve">. </w:t>
      </w:r>
      <w:r w:rsidR="0050276C">
        <w:rPr>
          <w:rFonts w:ascii="Cambria" w:hAnsi="Cambria"/>
          <w:color w:val="000000" w:themeColor="text1"/>
        </w:rPr>
        <w:t>This means</w:t>
      </w:r>
      <w:r w:rsidRPr="00997ACF">
        <w:rPr>
          <w:rFonts w:ascii="Cambria" w:hAnsi="Cambria"/>
          <w:color w:val="000000" w:themeColor="text1"/>
        </w:rPr>
        <w:t xml:space="preserve"> that we could invest more in other currencies, instead of that huge risk factor. </w:t>
      </w:r>
      <w:r w:rsidRPr="00997ACF">
        <w:rPr>
          <w:rFonts w:ascii="Cambria" w:hAnsi="Cambria"/>
          <w:color w:val="000000" w:themeColor="text1"/>
        </w:rPr>
        <w:tab/>
      </w:r>
    </w:p>
    <w:p w14:paraId="274F919F" w14:textId="77777777" w:rsidR="0050276C" w:rsidRPr="00997ACF" w:rsidRDefault="0050276C" w:rsidP="00997ACF">
      <w:pPr>
        <w:jc w:val="both"/>
        <w:rPr>
          <w:rFonts w:ascii="Cambria" w:hAnsi="Cambria"/>
          <w:color w:val="000000" w:themeColor="text1"/>
        </w:rPr>
      </w:pPr>
    </w:p>
    <w:p w14:paraId="62CF6DA2" w14:textId="77777777" w:rsidR="00997ACF" w:rsidRDefault="00997ACF" w:rsidP="00997ACF">
      <w:pPr>
        <w:jc w:val="both"/>
        <w:rPr>
          <w:rFonts w:ascii="Cambria" w:hAnsi="Cambria"/>
          <w:color w:val="000000" w:themeColor="text1"/>
        </w:rPr>
      </w:pPr>
      <w:r w:rsidRPr="00997ACF">
        <w:rPr>
          <w:rFonts w:ascii="Cambria" w:hAnsi="Cambria"/>
          <w:color w:val="000000" w:themeColor="text1"/>
        </w:rPr>
        <w:t>Moreover, the duration of the portfolio is 8.0 years. We recommend to decrease this number, between 4-9 years. Because, this number implies that we need to reevaluate the portfolio frequently to determine if its allocations and exposures have changed. Doing this can help us indicate whether a weighted cash flow frequency over this horizon is expected or not. As the bonds begin to mature or default, the portfolio weightings change, altering its behavior and performance. It is also important to monitor exposures to key risk factors, and determine whether the portfolio is behaving as expected.</w:t>
      </w:r>
    </w:p>
    <w:p w14:paraId="329240FA" w14:textId="77777777" w:rsidR="0050276C" w:rsidRPr="00997ACF" w:rsidRDefault="0050276C" w:rsidP="00997ACF">
      <w:pPr>
        <w:jc w:val="both"/>
        <w:rPr>
          <w:rFonts w:ascii="Cambria" w:hAnsi="Cambria"/>
          <w:color w:val="000000" w:themeColor="text1"/>
        </w:rPr>
      </w:pPr>
    </w:p>
    <w:p w14:paraId="4AADD32A" w14:textId="0B5C5907" w:rsidR="00997ACF" w:rsidRDefault="0050276C" w:rsidP="00997ACF">
      <w:pPr>
        <w:jc w:val="both"/>
        <w:rPr>
          <w:rFonts w:ascii="Cambria" w:hAnsi="Cambria"/>
          <w:color w:val="000000" w:themeColor="text1"/>
        </w:rPr>
      </w:pPr>
      <w:r>
        <w:rPr>
          <w:rFonts w:ascii="Cambria" w:hAnsi="Cambria"/>
          <w:color w:val="000000" w:themeColor="text1"/>
        </w:rPr>
        <w:t>We could measure our portfolio risk better</w:t>
      </w:r>
      <w:r w:rsidR="00997ACF" w:rsidRPr="00997ACF">
        <w:rPr>
          <w:rFonts w:ascii="Cambria" w:hAnsi="Cambria"/>
          <w:color w:val="000000" w:themeColor="text1"/>
        </w:rPr>
        <w:t xml:space="preserve">, we suggest a 60% equity exposure and 40% bonds. These would </w:t>
      </w:r>
      <w:r>
        <w:rPr>
          <w:rFonts w:ascii="Cambria" w:hAnsi="Cambria"/>
          <w:color w:val="000000" w:themeColor="text1"/>
        </w:rPr>
        <w:t>give us</w:t>
      </w:r>
      <w:r w:rsidR="00997ACF" w:rsidRPr="00997ACF">
        <w:rPr>
          <w:rFonts w:ascii="Cambria" w:hAnsi="Cambria"/>
          <w:color w:val="000000" w:themeColor="text1"/>
        </w:rPr>
        <w:t xml:space="preserve"> a benchmark to measure our risks</w:t>
      </w:r>
      <w:r>
        <w:rPr>
          <w:rFonts w:ascii="Cambria" w:hAnsi="Cambria"/>
          <w:color w:val="000000" w:themeColor="text1"/>
        </w:rPr>
        <w:t xml:space="preserve"> more correctly</w:t>
      </w:r>
      <w:r w:rsidR="00997ACF" w:rsidRPr="00997ACF">
        <w:rPr>
          <w:rFonts w:ascii="Cambria" w:hAnsi="Cambria"/>
          <w:color w:val="000000" w:themeColor="text1"/>
        </w:rPr>
        <w:t xml:space="preserve">. </w:t>
      </w:r>
      <w:r>
        <w:rPr>
          <w:rFonts w:ascii="Cambria" w:hAnsi="Cambria"/>
          <w:color w:val="000000" w:themeColor="text1"/>
        </w:rPr>
        <w:t>It will also let us</w:t>
      </w:r>
      <w:r w:rsidR="00997ACF" w:rsidRPr="00997ACF">
        <w:rPr>
          <w:rFonts w:ascii="Cambria" w:hAnsi="Cambria"/>
          <w:color w:val="000000" w:themeColor="text1"/>
        </w:rPr>
        <w:t xml:space="preserve"> compare against multiple benchmarks in the market.</w:t>
      </w:r>
    </w:p>
    <w:p w14:paraId="70D00F3F" w14:textId="77777777" w:rsidR="0050276C" w:rsidRPr="00997ACF" w:rsidRDefault="0050276C" w:rsidP="00997ACF">
      <w:pPr>
        <w:jc w:val="both"/>
        <w:rPr>
          <w:rFonts w:ascii="Cambria" w:hAnsi="Cambria"/>
          <w:color w:val="000000" w:themeColor="text1"/>
        </w:rPr>
      </w:pPr>
    </w:p>
    <w:p w14:paraId="098AE101" w14:textId="3A318317" w:rsidR="00997ACF" w:rsidRDefault="00997ACF" w:rsidP="00997ACF">
      <w:pPr>
        <w:jc w:val="both"/>
        <w:rPr>
          <w:rFonts w:ascii="Cambria" w:hAnsi="Cambria"/>
          <w:color w:val="000000" w:themeColor="text1"/>
        </w:rPr>
      </w:pPr>
      <w:r w:rsidRPr="00997ACF">
        <w:rPr>
          <w:rFonts w:ascii="Cambria" w:hAnsi="Cambria"/>
          <w:color w:val="000000" w:themeColor="text1"/>
        </w:rPr>
        <w:t xml:space="preserve">For the construction of our models, </w:t>
      </w:r>
      <w:r w:rsidR="0050276C">
        <w:rPr>
          <w:rFonts w:ascii="Cambria" w:hAnsi="Cambria"/>
          <w:color w:val="000000" w:themeColor="text1"/>
        </w:rPr>
        <w:t>in particular</w:t>
      </w:r>
      <w:r w:rsidRPr="00997ACF">
        <w:rPr>
          <w:rFonts w:ascii="Cambria" w:hAnsi="Cambria"/>
          <w:color w:val="000000" w:themeColor="text1"/>
        </w:rPr>
        <w:t xml:space="preserve"> market risk, VaR and CVaR were calculated for normal and stressed markets. We used two different methods for</w:t>
      </w:r>
      <w:r w:rsidR="0050276C">
        <w:rPr>
          <w:rFonts w:ascii="Cambria" w:hAnsi="Cambria"/>
          <w:color w:val="000000" w:themeColor="text1"/>
        </w:rPr>
        <w:t xml:space="preserve"> the</w:t>
      </w:r>
      <w:r w:rsidRPr="00997ACF">
        <w:rPr>
          <w:rFonts w:ascii="Cambria" w:hAnsi="Cambria"/>
          <w:color w:val="000000" w:themeColor="text1"/>
        </w:rPr>
        <w:t xml:space="preserve"> VaR calculation: Monte Carlo simulation and historical. We found out that</w:t>
      </w:r>
      <w:r w:rsidR="0050276C">
        <w:rPr>
          <w:rFonts w:ascii="Cambria" w:hAnsi="Cambria"/>
          <w:color w:val="000000" w:themeColor="text1"/>
        </w:rPr>
        <w:t xml:space="preserve"> the</w:t>
      </w:r>
      <w:r w:rsidRPr="00997ACF">
        <w:rPr>
          <w:rFonts w:ascii="Cambria" w:hAnsi="Cambria"/>
          <w:color w:val="000000" w:themeColor="text1"/>
        </w:rPr>
        <w:t xml:space="preserve"> VaR for stressed market is significantly higher than VaR for Normal market. The time horizon considered was ten days. In addition, the historic VaR is much higher than the Monte Carlo VaR, which help</w:t>
      </w:r>
      <w:r w:rsidR="0050276C">
        <w:rPr>
          <w:rFonts w:ascii="Cambria" w:hAnsi="Cambria"/>
          <w:color w:val="000000" w:themeColor="text1"/>
        </w:rPr>
        <w:t>s</w:t>
      </w:r>
      <w:r w:rsidRPr="00997ACF">
        <w:rPr>
          <w:rFonts w:ascii="Cambria" w:hAnsi="Cambria"/>
          <w:color w:val="000000" w:themeColor="text1"/>
        </w:rPr>
        <w:t xml:space="preserve"> us </w:t>
      </w:r>
      <w:r w:rsidR="0050276C">
        <w:rPr>
          <w:rFonts w:ascii="Cambria" w:hAnsi="Cambria"/>
          <w:color w:val="000000" w:themeColor="text1"/>
        </w:rPr>
        <w:t>be more</w:t>
      </w:r>
      <w:r w:rsidRPr="00997ACF">
        <w:rPr>
          <w:rFonts w:ascii="Cambria" w:hAnsi="Cambria"/>
          <w:color w:val="000000" w:themeColor="text1"/>
        </w:rPr>
        <w:t xml:space="preserve"> conservative about this risk measure.</w:t>
      </w:r>
      <w:r w:rsidR="0050276C">
        <w:rPr>
          <w:rFonts w:ascii="Cambria" w:hAnsi="Cambria"/>
          <w:color w:val="000000" w:themeColor="text1"/>
        </w:rPr>
        <w:t xml:space="preserve"> </w:t>
      </w:r>
    </w:p>
    <w:p w14:paraId="2FD383D9" w14:textId="77777777" w:rsidR="0050276C" w:rsidRPr="00997ACF" w:rsidRDefault="0050276C" w:rsidP="00997ACF">
      <w:pPr>
        <w:jc w:val="both"/>
        <w:rPr>
          <w:rFonts w:ascii="Cambria" w:hAnsi="Cambria"/>
          <w:color w:val="000000" w:themeColor="text1"/>
        </w:rPr>
      </w:pPr>
    </w:p>
    <w:p w14:paraId="2FE6A8AC" w14:textId="0578CB6F" w:rsidR="00997ACF" w:rsidRDefault="00997ACF" w:rsidP="00997ACF">
      <w:pPr>
        <w:jc w:val="both"/>
        <w:rPr>
          <w:rFonts w:ascii="Cambria" w:hAnsi="Cambria"/>
          <w:color w:val="000000" w:themeColor="text1"/>
        </w:rPr>
      </w:pPr>
      <w:r w:rsidRPr="00997ACF">
        <w:rPr>
          <w:rFonts w:ascii="Cambria" w:hAnsi="Cambria"/>
          <w:color w:val="000000" w:themeColor="text1"/>
        </w:rPr>
        <w:t>VaR and stress testing are estimates of portfolio risk, but have limitations. Among the limitations of VaR is the assump</w:t>
      </w:r>
      <w:r w:rsidR="00294583">
        <w:rPr>
          <w:rFonts w:ascii="Cambria" w:hAnsi="Cambria"/>
          <w:color w:val="000000" w:themeColor="text1"/>
        </w:rPr>
        <w:t>tion</w:t>
      </w:r>
      <w:r w:rsidRPr="00997ACF">
        <w:rPr>
          <w:rFonts w:ascii="Cambria" w:hAnsi="Cambria"/>
          <w:color w:val="000000" w:themeColor="text1"/>
        </w:rPr>
        <w:t xml:space="preserve"> that all positions can be liquidated within the assigned holding period which may not be the case in </w:t>
      </w:r>
      <w:r w:rsidR="00294583">
        <w:rPr>
          <w:rFonts w:ascii="Cambria" w:hAnsi="Cambria"/>
          <w:color w:val="000000" w:themeColor="text1"/>
        </w:rPr>
        <w:t xml:space="preserve">an illiquid market condition. Additionally, the </w:t>
      </w:r>
      <w:r w:rsidRPr="00997ACF">
        <w:rPr>
          <w:rFonts w:ascii="Cambria" w:hAnsi="Cambria"/>
          <w:color w:val="000000" w:themeColor="text1"/>
        </w:rPr>
        <w:t>historical data can be used as a proxy to predict future market events. Neither VaR nor stress testing is viewed as a definitive predictor of the maximum amo</w:t>
      </w:r>
      <w:r w:rsidR="00294583">
        <w:rPr>
          <w:rFonts w:ascii="Cambria" w:hAnsi="Cambria"/>
          <w:color w:val="000000" w:themeColor="text1"/>
        </w:rPr>
        <w:t xml:space="preserve">unt of losses that could occur </w:t>
      </w:r>
      <w:r w:rsidRPr="00997ACF">
        <w:rPr>
          <w:rFonts w:ascii="Cambria" w:hAnsi="Cambria"/>
          <w:color w:val="000000" w:themeColor="text1"/>
        </w:rPr>
        <w:t>because both measures are computed at prescribed confidence levels and their results could be exceeded in highly volatile market conditions.</w:t>
      </w:r>
    </w:p>
    <w:p w14:paraId="6075EB2E" w14:textId="77777777" w:rsidR="0050276C" w:rsidRPr="00997ACF" w:rsidRDefault="0050276C" w:rsidP="00997ACF">
      <w:pPr>
        <w:jc w:val="both"/>
        <w:rPr>
          <w:rFonts w:ascii="Cambria" w:hAnsi="Cambria"/>
          <w:color w:val="000000" w:themeColor="text1"/>
        </w:rPr>
      </w:pPr>
    </w:p>
    <w:p w14:paraId="3EE1A900" w14:textId="0DE69CEA" w:rsidR="00997ACF" w:rsidRDefault="00997ACF" w:rsidP="00997ACF">
      <w:pPr>
        <w:jc w:val="both"/>
        <w:rPr>
          <w:rFonts w:ascii="Cambria" w:hAnsi="Cambria"/>
          <w:color w:val="000000" w:themeColor="text1"/>
        </w:rPr>
      </w:pPr>
      <w:r w:rsidRPr="00997ACF">
        <w:rPr>
          <w:rFonts w:ascii="Cambria" w:hAnsi="Cambria"/>
          <w:color w:val="000000" w:themeColor="text1"/>
        </w:rPr>
        <w:t>Credit VaR was also modeled supposing the probabilities of default with the S&amp;P transition matrix and the Gaussian Copula model. We have to imply that there exists some</w:t>
      </w:r>
      <w:r w:rsidR="00294583">
        <w:rPr>
          <w:rFonts w:ascii="Cambria" w:hAnsi="Cambria"/>
          <w:color w:val="000000" w:themeColor="text1"/>
        </w:rPr>
        <w:t xml:space="preserve"> big assumptions in this model since </w:t>
      </w:r>
      <w:r w:rsidRPr="00997ACF">
        <w:rPr>
          <w:rFonts w:ascii="Cambria" w:hAnsi="Cambria"/>
          <w:color w:val="000000" w:themeColor="text1"/>
        </w:rPr>
        <w:t>we are considering actual cases</w:t>
      </w:r>
      <w:r w:rsidR="00294583">
        <w:rPr>
          <w:rFonts w:ascii="Cambria" w:hAnsi="Cambria"/>
          <w:color w:val="000000" w:themeColor="text1"/>
        </w:rPr>
        <w:t xml:space="preserve"> (empirical probabilities)</w:t>
      </w:r>
      <w:r w:rsidRPr="00997ACF">
        <w:rPr>
          <w:rFonts w:ascii="Cambria" w:hAnsi="Cambria"/>
          <w:color w:val="000000" w:themeColor="text1"/>
        </w:rPr>
        <w:t>, and not the real</w:t>
      </w:r>
      <w:r w:rsidR="00294583">
        <w:rPr>
          <w:rFonts w:ascii="Cambria" w:hAnsi="Cambria"/>
          <w:color w:val="000000" w:themeColor="text1"/>
        </w:rPr>
        <w:t xml:space="preserve"> probability of default. T</w:t>
      </w:r>
      <w:r w:rsidRPr="00997ACF">
        <w:rPr>
          <w:rFonts w:ascii="Cambria" w:hAnsi="Cambria"/>
          <w:color w:val="000000" w:themeColor="text1"/>
        </w:rPr>
        <w:t>he CreditMetrics approach w</w:t>
      </w:r>
      <w:r w:rsidR="00294583">
        <w:rPr>
          <w:rFonts w:ascii="Cambria" w:hAnsi="Cambria"/>
          <w:color w:val="000000" w:themeColor="text1"/>
        </w:rPr>
        <w:t>as used to find the one-year VaR</w:t>
      </w:r>
      <w:r w:rsidRPr="00997ACF">
        <w:rPr>
          <w:rFonts w:ascii="Cambria" w:hAnsi="Cambria"/>
          <w:color w:val="000000" w:themeColor="text1"/>
        </w:rPr>
        <w:t>. A more involved approach may produce slightly more accurate results, but the added precision may not be worth the time required to implement it.</w:t>
      </w:r>
      <w:r w:rsidR="00294583">
        <w:rPr>
          <w:rFonts w:ascii="Cambria" w:hAnsi="Cambria"/>
          <w:color w:val="000000" w:themeColor="text1"/>
        </w:rPr>
        <w:t xml:space="preserve"> It may also add unreasonable model assumptions. </w:t>
      </w:r>
    </w:p>
    <w:p w14:paraId="26CC2B44" w14:textId="77777777" w:rsidR="0050276C" w:rsidRPr="00997ACF" w:rsidRDefault="0050276C" w:rsidP="00997ACF">
      <w:pPr>
        <w:jc w:val="both"/>
        <w:rPr>
          <w:rFonts w:ascii="Cambria" w:hAnsi="Cambria"/>
          <w:color w:val="000000" w:themeColor="text1"/>
        </w:rPr>
      </w:pPr>
    </w:p>
    <w:p w14:paraId="7832126B" w14:textId="78C032AA" w:rsidR="00997ACF" w:rsidRPr="00997ACF" w:rsidRDefault="00997ACF" w:rsidP="00997ACF">
      <w:pPr>
        <w:rPr>
          <w:rFonts w:ascii="Cambria" w:hAnsi="Cambria"/>
          <w:color w:val="000000" w:themeColor="text1"/>
        </w:rPr>
      </w:pPr>
    </w:p>
    <w:sectPr w:rsidR="00997ACF" w:rsidRPr="00997ACF" w:rsidSect="00A20C5E">
      <w:headerReference w:type="even" r:id="rId18"/>
      <w:headerReference w:type="default" r:id="rId19"/>
      <w:footerReference w:type="default" r:id="rId20"/>
      <w:headerReference w:type="first" r:id="rId21"/>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36032" w14:textId="77777777" w:rsidR="007619AC" w:rsidRDefault="007619AC">
      <w:pPr>
        <w:spacing w:line="240" w:lineRule="auto"/>
      </w:pPr>
      <w:r>
        <w:separator/>
      </w:r>
    </w:p>
  </w:endnote>
  <w:endnote w:type="continuationSeparator" w:id="0">
    <w:p w14:paraId="21DF68DE" w14:textId="77777777" w:rsidR="007619AC" w:rsidRDefault="007619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B1BAB" w14:textId="77777777" w:rsidR="009E6A28" w:rsidRDefault="009E6A28">
    <w:pPr>
      <w:pStyle w:val="Footer"/>
    </w:pPr>
    <w: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4FCB4" w14:textId="77777777" w:rsidR="007619AC" w:rsidRDefault="007619AC">
      <w:pPr>
        <w:spacing w:line="240" w:lineRule="auto"/>
      </w:pPr>
      <w:r>
        <w:separator/>
      </w:r>
    </w:p>
  </w:footnote>
  <w:footnote w:type="continuationSeparator" w:id="0">
    <w:p w14:paraId="45E207AB" w14:textId="77777777" w:rsidR="007619AC" w:rsidRDefault="007619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C3223" w14:textId="77777777" w:rsidR="009E6A28" w:rsidRDefault="009E6A28">
    <w:pPr>
      <w:pStyle w:val="Header"/>
    </w:pPr>
  </w:p>
  <w:p w14:paraId="533C18F8" w14:textId="77777777" w:rsidR="009E6A28" w:rsidRDefault="009E6A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10800" w:type="dxa"/>
      <w:tblLayout w:type="fixed"/>
      <w:tblLook w:val="04A0" w:firstRow="1" w:lastRow="0" w:firstColumn="1" w:lastColumn="0" w:noHBand="0" w:noVBand="1"/>
    </w:tblPr>
    <w:tblGrid>
      <w:gridCol w:w="4275"/>
      <w:gridCol w:w="5016"/>
      <w:gridCol w:w="1509"/>
    </w:tblGrid>
    <w:tr w:rsidR="009E6A28"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9E6A28" w:rsidRDefault="009E6A28">
          <w:pPr>
            <w:pStyle w:val="Date-Continued"/>
          </w:pPr>
          <w:r>
            <w:t>July 2016</w:t>
          </w:r>
        </w:p>
      </w:tc>
      <w:sdt>
        <w:sdtPr>
          <w:id w:val="14677939"/>
          <w:placeholder>
            <w:docPart w:val="AEBE3D586E6BBA40B9A31AB3AC76FFF6"/>
          </w:placeholder>
        </w:sdtPr>
        <w:sdtEndPr/>
        <w:sdtContent>
          <w:tc>
            <w:tcPr>
              <w:tcW w:w="5016" w:type="dxa"/>
            </w:tcPr>
            <w:p w14:paraId="66F197D6" w14:textId="77777777" w:rsidR="009E6A28" w:rsidRDefault="009E6A28" w:rsidP="00F141C1">
              <w:pPr>
                <w:pStyle w:val="Header-Continued2"/>
              </w:pPr>
              <w:r>
                <w:t>Risk</w:t>
              </w:r>
            </w:p>
          </w:tc>
        </w:sdtContent>
      </w:sdt>
      <w:sdt>
        <w:sdtPr>
          <w:id w:val="14677940"/>
          <w:placeholder>
            <w:docPart w:val="1E23FB6846FFD046A16A0FC68C17A72F"/>
          </w:placeholder>
        </w:sdtPr>
        <w:sdtEndPr/>
        <w:sdtContent>
          <w:tc>
            <w:tcPr>
              <w:tcW w:w="1509" w:type="dxa"/>
            </w:tcPr>
            <w:p w14:paraId="5D5ADCD5" w14:textId="77777777" w:rsidR="009E6A28" w:rsidRDefault="009E6A28" w:rsidP="00F141C1">
              <w:pPr>
                <w:pStyle w:val="Header-Continued"/>
              </w:pPr>
              <w:r>
                <w:t>report</w:t>
              </w:r>
            </w:p>
          </w:tc>
        </w:sdtContent>
      </w:sdt>
    </w:tr>
    <w:tr w:rsidR="009E6A28"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9E6A28" w:rsidRDefault="009E6A28"/>
      </w:tc>
      <w:tc>
        <w:tcPr>
          <w:tcW w:w="5016" w:type="dxa"/>
        </w:tcPr>
        <w:p w14:paraId="106F90BD" w14:textId="77777777" w:rsidR="009E6A28" w:rsidRDefault="009E6A28"/>
      </w:tc>
      <w:tc>
        <w:tcPr>
          <w:tcW w:w="1509" w:type="dxa"/>
        </w:tcPr>
        <w:p w14:paraId="231054F0" w14:textId="77777777" w:rsidR="009E6A28" w:rsidRDefault="009E6A28">
          <w:pPr>
            <w:pStyle w:val="Page"/>
          </w:pPr>
          <w:r>
            <w:t xml:space="preserve">Page </w:t>
          </w:r>
          <w:r>
            <w:fldChar w:fldCharType="begin"/>
          </w:r>
          <w:r>
            <w:instrText xml:space="preserve"> page </w:instrText>
          </w:r>
          <w:r>
            <w:fldChar w:fldCharType="separate"/>
          </w:r>
          <w:r w:rsidR="00CF0E26">
            <w:rPr>
              <w:noProof/>
            </w:rPr>
            <w:t>5</w:t>
          </w:r>
          <w:r>
            <w:rPr>
              <w:noProof/>
            </w:rPr>
            <w:fldChar w:fldCharType="end"/>
          </w:r>
        </w:p>
      </w:tc>
    </w:tr>
    <w:tr w:rsidR="009E6A28"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9E6A28" w:rsidRDefault="009E6A28"/>
      </w:tc>
      <w:tc>
        <w:tcPr>
          <w:tcW w:w="5016" w:type="dxa"/>
        </w:tcPr>
        <w:p w14:paraId="36DE3F0A" w14:textId="77777777" w:rsidR="009E6A28" w:rsidRDefault="009E6A28"/>
      </w:tc>
      <w:tc>
        <w:tcPr>
          <w:tcW w:w="1509" w:type="dxa"/>
        </w:tcPr>
        <w:p w14:paraId="0725405F" w14:textId="77777777" w:rsidR="009E6A28" w:rsidRDefault="009E6A28"/>
      </w:tc>
    </w:tr>
  </w:tbl>
  <w:p w14:paraId="514ADF31" w14:textId="77777777" w:rsidR="009E6A28" w:rsidRDefault="009E6A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10800" w:type="dxa"/>
      <w:tblLook w:val="04A0" w:firstRow="1" w:lastRow="0" w:firstColumn="1" w:lastColumn="0" w:noHBand="0" w:noVBand="1"/>
    </w:tblPr>
    <w:tblGrid>
      <w:gridCol w:w="5400"/>
      <w:gridCol w:w="5400"/>
    </w:tblGrid>
    <w:tr w:rsidR="009E6A28"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9E6A28" w:rsidRDefault="009E6A28">
          <w:pPr>
            <w:pStyle w:val="Header"/>
          </w:pPr>
        </w:p>
      </w:tc>
      <w:tc>
        <w:tcPr>
          <w:tcW w:w="2500" w:type="pct"/>
          <w:tcBorders>
            <w:bottom w:val="none" w:sz="0" w:space="0" w:color="auto"/>
          </w:tcBorders>
        </w:tcPr>
        <w:p w14:paraId="4A5C5A13" w14:textId="77777777" w:rsidR="009E6A28" w:rsidRDefault="009E6A28">
          <w:pPr>
            <w:pStyle w:val="Header"/>
          </w:pPr>
        </w:p>
      </w:tc>
    </w:tr>
  </w:tbl>
  <w:p w14:paraId="7B6B9C9F" w14:textId="77777777" w:rsidR="009E6A28" w:rsidRDefault="009E6A28">
    <w:pPr>
      <w:pStyle w:val="Spacebetwe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6B28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E95607"/>
    <w:rsid w:val="00003953"/>
    <w:rsid w:val="00011154"/>
    <w:rsid w:val="00011326"/>
    <w:rsid w:val="00024AD9"/>
    <w:rsid w:val="0005032E"/>
    <w:rsid w:val="000570E6"/>
    <w:rsid w:val="0008520F"/>
    <w:rsid w:val="0008561F"/>
    <w:rsid w:val="00096BFD"/>
    <w:rsid w:val="000A3B2A"/>
    <w:rsid w:val="000E13AE"/>
    <w:rsid w:val="000E7350"/>
    <w:rsid w:val="000F171B"/>
    <w:rsid w:val="00122589"/>
    <w:rsid w:val="00133150"/>
    <w:rsid w:val="00143456"/>
    <w:rsid w:val="00165809"/>
    <w:rsid w:val="00172DBF"/>
    <w:rsid w:val="00185D9A"/>
    <w:rsid w:val="001A6B3D"/>
    <w:rsid w:val="001C6AE0"/>
    <w:rsid w:val="001D0116"/>
    <w:rsid w:val="001F1DF9"/>
    <w:rsid w:val="001F347E"/>
    <w:rsid w:val="002076DE"/>
    <w:rsid w:val="002166FE"/>
    <w:rsid w:val="00255705"/>
    <w:rsid w:val="00266316"/>
    <w:rsid w:val="00273D1D"/>
    <w:rsid w:val="00294583"/>
    <w:rsid w:val="002A30B5"/>
    <w:rsid w:val="002C32A8"/>
    <w:rsid w:val="002D1EA3"/>
    <w:rsid w:val="002D492B"/>
    <w:rsid w:val="00314158"/>
    <w:rsid w:val="0034542E"/>
    <w:rsid w:val="0035255B"/>
    <w:rsid w:val="0036361A"/>
    <w:rsid w:val="0036367B"/>
    <w:rsid w:val="00390F5E"/>
    <w:rsid w:val="003B7A29"/>
    <w:rsid w:val="003C2550"/>
    <w:rsid w:val="003E566B"/>
    <w:rsid w:val="00401F3E"/>
    <w:rsid w:val="004169F9"/>
    <w:rsid w:val="00423377"/>
    <w:rsid w:val="00423AC0"/>
    <w:rsid w:val="0044105F"/>
    <w:rsid w:val="00465D2F"/>
    <w:rsid w:val="00473B82"/>
    <w:rsid w:val="004904DD"/>
    <w:rsid w:val="00491F43"/>
    <w:rsid w:val="004D0977"/>
    <w:rsid w:val="004E155E"/>
    <w:rsid w:val="004F396C"/>
    <w:rsid w:val="004F46F5"/>
    <w:rsid w:val="0050276C"/>
    <w:rsid w:val="00504C29"/>
    <w:rsid w:val="0052061A"/>
    <w:rsid w:val="0055020D"/>
    <w:rsid w:val="00553A2E"/>
    <w:rsid w:val="005964B3"/>
    <w:rsid w:val="005964FD"/>
    <w:rsid w:val="005A3A95"/>
    <w:rsid w:val="005B7556"/>
    <w:rsid w:val="005C7D20"/>
    <w:rsid w:val="005D4D55"/>
    <w:rsid w:val="005D6700"/>
    <w:rsid w:val="005F0AFC"/>
    <w:rsid w:val="00614343"/>
    <w:rsid w:val="006447F6"/>
    <w:rsid w:val="0067195E"/>
    <w:rsid w:val="00672C3A"/>
    <w:rsid w:val="00674B3A"/>
    <w:rsid w:val="006B2F1F"/>
    <w:rsid w:val="006B30B0"/>
    <w:rsid w:val="006B5F55"/>
    <w:rsid w:val="006B6B9F"/>
    <w:rsid w:val="006D0B17"/>
    <w:rsid w:val="006E4562"/>
    <w:rsid w:val="00703E03"/>
    <w:rsid w:val="007051E4"/>
    <w:rsid w:val="00715EB8"/>
    <w:rsid w:val="00724C8F"/>
    <w:rsid w:val="007264FC"/>
    <w:rsid w:val="007326D5"/>
    <w:rsid w:val="00736215"/>
    <w:rsid w:val="00743AC8"/>
    <w:rsid w:val="0075516A"/>
    <w:rsid w:val="007577F3"/>
    <w:rsid w:val="00760C75"/>
    <w:rsid w:val="007619AC"/>
    <w:rsid w:val="00770C22"/>
    <w:rsid w:val="00792525"/>
    <w:rsid w:val="0079612C"/>
    <w:rsid w:val="008115C3"/>
    <w:rsid w:val="008143F4"/>
    <w:rsid w:val="008321D7"/>
    <w:rsid w:val="00854815"/>
    <w:rsid w:val="00876301"/>
    <w:rsid w:val="00881E55"/>
    <w:rsid w:val="00895202"/>
    <w:rsid w:val="008B2CFB"/>
    <w:rsid w:val="008F3522"/>
    <w:rsid w:val="00904F65"/>
    <w:rsid w:val="00904F80"/>
    <w:rsid w:val="009105D6"/>
    <w:rsid w:val="009109D0"/>
    <w:rsid w:val="00920301"/>
    <w:rsid w:val="00924F65"/>
    <w:rsid w:val="00934201"/>
    <w:rsid w:val="009352F2"/>
    <w:rsid w:val="00947876"/>
    <w:rsid w:val="009828C6"/>
    <w:rsid w:val="00991165"/>
    <w:rsid w:val="00997ACF"/>
    <w:rsid w:val="009A05C2"/>
    <w:rsid w:val="009A35BD"/>
    <w:rsid w:val="009C590C"/>
    <w:rsid w:val="009C7B6D"/>
    <w:rsid w:val="009E6A28"/>
    <w:rsid w:val="00A04519"/>
    <w:rsid w:val="00A06C5A"/>
    <w:rsid w:val="00A20C5E"/>
    <w:rsid w:val="00A64649"/>
    <w:rsid w:val="00A66E11"/>
    <w:rsid w:val="00A746CD"/>
    <w:rsid w:val="00AC410E"/>
    <w:rsid w:val="00AC7E95"/>
    <w:rsid w:val="00AD6387"/>
    <w:rsid w:val="00AE0179"/>
    <w:rsid w:val="00AF67FC"/>
    <w:rsid w:val="00B1220E"/>
    <w:rsid w:val="00B132AD"/>
    <w:rsid w:val="00B16B3C"/>
    <w:rsid w:val="00B279A6"/>
    <w:rsid w:val="00BB2F31"/>
    <w:rsid w:val="00BB798C"/>
    <w:rsid w:val="00BC0C0A"/>
    <w:rsid w:val="00BD7556"/>
    <w:rsid w:val="00BE1175"/>
    <w:rsid w:val="00BE6F1D"/>
    <w:rsid w:val="00BF0782"/>
    <w:rsid w:val="00C00A57"/>
    <w:rsid w:val="00C12C04"/>
    <w:rsid w:val="00C14047"/>
    <w:rsid w:val="00C44A2C"/>
    <w:rsid w:val="00C54F00"/>
    <w:rsid w:val="00C72680"/>
    <w:rsid w:val="00C90CD4"/>
    <w:rsid w:val="00C938E8"/>
    <w:rsid w:val="00CA265E"/>
    <w:rsid w:val="00CE42FF"/>
    <w:rsid w:val="00CE7A6B"/>
    <w:rsid w:val="00CF0E26"/>
    <w:rsid w:val="00CF1DDE"/>
    <w:rsid w:val="00CF2F5F"/>
    <w:rsid w:val="00CF3835"/>
    <w:rsid w:val="00D144C3"/>
    <w:rsid w:val="00D30372"/>
    <w:rsid w:val="00D567A1"/>
    <w:rsid w:val="00D60723"/>
    <w:rsid w:val="00D647F6"/>
    <w:rsid w:val="00D96C43"/>
    <w:rsid w:val="00DA6BC3"/>
    <w:rsid w:val="00DE4492"/>
    <w:rsid w:val="00DE76D0"/>
    <w:rsid w:val="00E0612C"/>
    <w:rsid w:val="00E2493E"/>
    <w:rsid w:val="00E353AA"/>
    <w:rsid w:val="00E43087"/>
    <w:rsid w:val="00E5425E"/>
    <w:rsid w:val="00E57B1E"/>
    <w:rsid w:val="00E95607"/>
    <w:rsid w:val="00EA5F1A"/>
    <w:rsid w:val="00EE11C1"/>
    <w:rsid w:val="00EE2EC3"/>
    <w:rsid w:val="00F07209"/>
    <w:rsid w:val="00F13076"/>
    <w:rsid w:val="00F141C1"/>
    <w:rsid w:val="00F448FC"/>
    <w:rsid w:val="00F53CD9"/>
    <w:rsid w:val="00F66B3E"/>
    <w:rsid w:val="00F8072D"/>
    <w:rsid w:val="00F92323"/>
    <w:rsid w:val="00FB0C30"/>
    <w:rsid w:val="00FB405F"/>
    <w:rsid w:val="00FB4457"/>
    <w:rsid w:val="00FB69DE"/>
    <w:rsid w:val="00FB7996"/>
    <w:rsid w:val="00FC6EC2"/>
    <w:rsid w:val="00FD1FE6"/>
    <w:rsid w:val="00FD223C"/>
    <w:rsid w:val="12577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3438C1"/>
  <w15:docId w15:val="{3B471A30-9026-478A-995D-3F6FE1D2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CellMar>
        <w:left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CellMar>
        <w:left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unhideWhenUsed/>
    <w:rsid w:val="00A20C5E"/>
    <w:pPr>
      <w:spacing w:line="240" w:lineRule="auto"/>
      <w:ind w:left="200" w:hanging="200"/>
    </w:pPr>
  </w:style>
  <w:style w:type="paragraph" w:styleId="Index2">
    <w:name w:val="index 2"/>
    <w:basedOn w:val="Normal"/>
    <w:next w:val="Normal"/>
    <w:autoRedefine/>
    <w:unhideWhenUsed/>
    <w:rsid w:val="00A20C5E"/>
    <w:pPr>
      <w:spacing w:line="240" w:lineRule="auto"/>
      <w:ind w:left="400" w:hanging="200"/>
    </w:pPr>
  </w:style>
  <w:style w:type="paragraph" w:styleId="Index3">
    <w:name w:val="index 3"/>
    <w:basedOn w:val="Normal"/>
    <w:next w:val="Normal"/>
    <w:autoRedefine/>
    <w:unhideWhenUsed/>
    <w:rsid w:val="00A20C5E"/>
    <w:pPr>
      <w:spacing w:line="240" w:lineRule="auto"/>
      <w:ind w:left="600" w:hanging="200"/>
    </w:pPr>
  </w:style>
  <w:style w:type="paragraph" w:styleId="Index4">
    <w:name w:val="index 4"/>
    <w:basedOn w:val="Normal"/>
    <w:next w:val="Normal"/>
    <w:autoRedefine/>
    <w:unhideWhenUsed/>
    <w:rsid w:val="00A20C5E"/>
    <w:pPr>
      <w:spacing w:line="240" w:lineRule="auto"/>
      <w:ind w:left="800" w:hanging="200"/>
    </w:pPr>
  </w:style>
  <w:style w:type="paragraph" w:styleId="Index5">
    <w:name w:val="index 5"/>
    <w:basedOn w:val="Normal"/>
    <w:next w:val="Normal"/>
    <w:autoRedefine/>
    <w:unhideWhenUsed/>
    <w:rsid w:val="00A20C5E"/>
    <w:pPr>
      <w:spacing w:line="240" w:lineRule="auto"/>
      <w:ind w:left="1000" w:hanging="200"/>
    </w:pPr>
  </w:style>
  <w:style w:type="paragraph" w:styleId="Index6">
    <w:name w:val="index 6"/>
    <w:basedOn w:val="Normal"/>
    <w:next w:val="Normal"/>
    <w:autoRedefine/>
    <w:unhideWhenUsed/>
    <w:rsid w:val="00A20C5E"/>
    <w:pPr>
      <w:spacing w:line="240" w:lineRule="auto"/>
      <w:ind w:left="1200" w:hanging="200"/>
    </w:pPr>
  </w:style>
  <w:style w:type="paragraph" w:styleId="Index7">
    <w:name w:val="index 7"/>
    <w:basedOn w:val="Normal"/>
    <w:next w:val="Normal"/>
    <w:autoRedefine/>
    <w:unhideWhenUsed/>
    <w:rsid w:val="00A20C5E"/>
    <w:pPr>
      <w:spacing w:line="240" w:lineRule="auto"/>
      <w:ind w:left="1400" w:hanging="200"/>
    </w:pPr>
  </w:style>
  <w:style w:type="paragraph" w:styleId="Index8">
    <w:name w:val="index 8"/>
    <w:basedOn w:val="Normal"/>
    <w:next w:val="Normal"/>
    <w:autoRedefine/>
    <w:unhideWhenUsed/>
    <w:rsid w:val="00A20C5E"/>
    <w:pPr>
      <w:spacing w:line="240" w:lineRule="auto"/>
      <w:ind w:left="1600" w:hanging="200"/>
    </w:pPr>
  </w:style>
  <w:style w:type="paragraph" w:styleId="Index9">
    <w:name w:val="index 9"/>
    <w:basedOn w:val="Normal"/>
    <w:next w:val="Normal"/>
    <w:autoRedefine/>
    <w:unhideWhenUsed/>
    <w:rsid w:val="00A20C5E"/>
    <w:pPr>
      <w:spacing w:line="240" w:lineRule="auto"/>
      <w:ind w:left="1800" w:hanging="200"/>
    </w:pPr>
  </w:style>
  <w:style w:type="paragraph" w:styleId="IndexHeading">
    <w:name w:val="index heading"/>
    <w:basedOn w:val="Normal"/>
    <w:next w:val="Index1"/>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20C5E"/>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A20C5E"/>
    <w:pPr>
      <w:spacing w:before="240"/>
    </w:pPr>
    <w:rPr>
      <w:b/>
      <w:szCs w:val="20"/>
    </w:rPr>
  </w:style>
  <w:style w:type="paragraph" w:styleId="TOC3">
    <w:name w:val="toc 3"/>
    <w:basedOn w:val="Normal"/>
    <w:next w:val="Normal"/>
    <w:autoRedefine/>
    <w:unhideWhenUsed/>
    <w:rsid w:val="00A20C5E"/>
    <w:pPr>
      <w:ind w:left="200"/>
    </w:pPr>
    <w:rPr>
      <w:szCs w:val="20"/>
    </w:rPr>
  </w:style>
  <w:style w:type="paragraph" w:styleId="TOC4">
    <w:name w:val="toc 4"/>
    <w:basedOn w:val="Normal"/>
    <w:next w:val="Normal"/>
    <w:autoRedefine/>
    <w:unhideWhenUsed/>
    <w:rsid w:val="00A20C5E"/>
    <w:pPr>
      <w:ind w:left="400"/>
    </w:pPr>
    <w:rPr>
      <w:szCs w:val="20"/>
    </w:rPr>
  </w:style>
  <w:style w:type="paragraph" w:styleId="TOC5">
    <w:name w:val="toc 5"/>
    <w:basedOn w:val="Normal"/>
    <w:next w:val="Normal"/>
    <w:autoRedefine/>
    <w:unhideWhenUsed/>
    <w:rsid w:val="00A20C5E"/>
    <w:pPr>
      <w:ind w:left="600"/>
    </w:pPr>
    <w:rPr>
      <w:szCs w:val="20"/>
    </w:rPr>
  </w:style>
  <w:style w:type="paragraph" w:styleId="TOC6">
    <w:name w:val="toc 6"/>
    <w:basedOn w:val="Normal"/>
    <w:next w:val="Normal"/>
    <w:autoRedefine/>
    <w:unhideWhenUsed/>
    <w:rsid w:val="00A20C5E"/>
    <w:pPr>
      <w:ind w:left="800"/>
    </w:pPr>
    <w:rPr>
      <w:szCs w:val="20"/>
    </w:rPr>
  </w:style>
  <w:style w:type="paragraph" w:styleId="TOC7">
    <w:name w:val="toc 7"/>
    <w:basedOn w:val="Normal"/>
    <w:next w:val="Normal"/>
    <w:autoRedefine/>
    <w:unhideWhenUsed/>
    <w:rsid w:val="00A20C5E"/>
    <w:pPr>
      <w:ind w:left="1000"/>
    </w:pPr>
    <w:rPr>
      <w:szCs w:val="20"/>
    </w:rPr>
  </w:style>
  <w:style w:type="paragraph" w:styleId="TOC8">
    <w:name w:val="toc 8"/>
    <w:basedOn w:val="Normal"/>
    <w:next w:val="Normal"/>
    <w:autoRedefine/>
    <w:unhideWhenUsed/>
    <w:rsid w:val="00A20C5E"/>
    <w:pPr>
      <w:ind w:left="1200"/>
    </w:pPr>
    <w:rPr>
      <w:szCs w:val="20"/>
    </w:rPr>
  </w:style>
  <w:style w:type="paragraph" w:styleId="TOC9">
    <w:name w:val="toc 9"/>
    <w:basedOn w:val="Normal"/>
    <w:next w:val="Normal"/>
    <w:autoRedefine/>
    <w:unhideWhenUsed/>
    <w:rsid w:val="00A20C5E"/>
    <w:pPr>
      <w:ind w:left="1400"/>
    </w:pPr>
    <w:rPr>
      <w:szCs w:val="20"/>
    </w:r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2">
    <w:name w:val="Medium Shading 1 Accent 2"/>
    <w:basedOn w:val="TableNormal"/>
    <w:uiPriority w:val="63"/>
    <w:rsid w:val="009C7B6D"/>
    <w:tblPr>
      <w:tblStyleRowBandSize w:val="1"/>
      <w:tblStyleColBandSize w:val="1"/>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Borders>
        <w:top w:val="single" w:sz="8" w:space="0" w:color="20507E" w:themeColor="accent2"/>
        <w:bottom w:val="single" w:sz="8" w:space="0" w:color="20507E" w:themeColor="accent2"/>
      </w:tblBorders>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DE76D0"/>
    <w:pPr>
      <w:jc w:val="center"/>
    </w:pPr>
    <w:rPr>
      <w:rFonts w:ascii="Calibri" w:hAnsi="Calibri"/>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18272009">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467285487">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37470901">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22879923">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09065010">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0999758">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755931076">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overlay val="0"/>
    </c:title>
    <c:autoTitleDeleted val="0"/>
    <c:plotArea>
      <c:layout/>
      <c:pieChart>
        <c:varyColors val="1"/>
        <c:ser>
          <c:idx val="0"/>
          <c:order val="0"/>
          <c:tx>
            <c:strRef>
              <c:f>Sheet1!$B$1</c:f>
              <c:strCache>
                <c:ptCount val="1"/>
                <c:pt idx="0">
                  <c:v>Sales</c:v>
                </c:pt>
              </c:strCache>
            </c:strRef>
          </c:tx>
          <c:dLbls>
            <c:dLbl>
              <c:idx val="1"/>
              <c:layout>
                <c:manualLayout>
                  <c:x val="-2.7850199280645499E-2"/>
                  <c:y val="1.41732283464567E-3"/>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4.0078416123910401E-2"/>
                  <c:y val="-9.3916697912760902E-2"/>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5.8966379202599603E-2"/>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138</c:v>
                </c:pt>
                <c:pt idx="1">
                  <c:v>92</c:v>
                </c:pt>
                <c:pt idx="2">
                  <c:v>19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custT="1"/>
      <dgm:spPr/>
      <dgm:t>
        <a:bodyPr/>
        <a:lstStyle/>
        <a:p>
          <a:r>
            <a:rPr lang="en-US" sz="2000">
              <a:solidFill>
                <a:schemeClr val="accent2"/>
              </a:solidFill>
            </a:rPr>
            <a:t>Total AUM: </a:t>
          </a:r>
          <a:r>
            <a:rPr lang="is-IS" sz="2000">
              <a:solidFill>
                <a:schemeClr val="accent2"/>
              </a:solidFill>
            </a:rPr>
            <a:t>248.53M </a:t>
          </a:r>
          <a:r>
            <a:rPr lang="en-US" sz="2000">
              <a:solidFill>
                <a:schemeClr val="accent2"/>
              </a:solidFill>
            </a:rPr>
            <a:t>CAD</a:t>
          </a:r>
        </a:p>
      </dgm:t>
    </dgm:pt>
    <dgm:pt modelId="{9E015768-FC46-3440-A419-7D52AD1788B4}" type="parTrans" cxnId="{10AA4ABE-167C-3644-B03D-7601D8E0346C}">
      <dgm:prSet/>
      <dgm:spPr/>
      <dgm:t>
        <a:bodyPr/>
        <a:lstStyle/>
        <a:p>
          <a:endParaRPr lang="en-US" sz="2800"/>
        </a:p>
      </dgm:t>
    </dgm:pt>
    <dgm:pt modelId="{9112D6FC-91DF-8D49-91EC-8633AA172B7C}" type="sibTrans" cxnId="{10AA4ABE-167C-3644-B03D-7601D8E0346C}">
      <dgm:prSet/>
      <dgm:spPr/>
      <dgm:t>
        <a:bodyPr/>
        <a:lstStyle/>
        <a:p>
          <a:endParaRPr lang="en-US" sz="2800"/>
        </a:p>
      </dgm:t>
    </dgm:pt>
    <dgm:pt modelId="{DFFB93D3-5D1A-0643-A77D-4D20E3ECEEA5}">
      <dgm:prSet phldrT="[Text]" custT="1"/>
      <dgm:spPr/>
      <dgm:t>
        <a:bodyPr/>
        <a:lstStyle/>
        <a:p>
          <a:r>
            <a:rPr lang="en-US" sz="900"/>
            <a:t>Financial</a:t>
          </a:r>
        </a:p>
      </dgm:t>
    </dgm:pt>
    <dgm:pt modelId="{C9413307-2053-4748-8C30-63FC07482AB6}" type="parTrans" cxnId="{604B9D9F-13A8-C240-806F-DD6148A213E1}">
      <dgm:prSet/>
      <dgm:spPr/>
      <dgm:t>
        <a:bodyPr/>
        <a:lstStyle/>
        <a:p>
          <a:endParaRPr lang="en-US" sz="2800"/>
        </a:p>
      </dgm:t>
    </dgm:pt>
    <dgm:pt modelId="{E11E230D-284B-4343-9B2E-2ED2D49BFDFC}" type="sibTrans" cxnId="{604B9D9F-13A8-C240-806F-DD6148A213E1}">
      <dgm:prSet/>
      <dgm:spPr/>
      <dgm:t>
        <a:bodyPr/>
        <a:lstStyle/>
        <a:p>
          <a:endParaRPr lang="en-US" sz="2800"/>
        </a:p>
      </dgm:t>
    </dgm:pt>
    <dgm:pt modelId="{3ADD2A6B-6DBA-F84F-A052-6D2C4035D1E8}">
      <dgm:prSet phldrT="[Text]" custT="1"/>
      <dgm:spPr/>
      <dgm:t>
        <a:bodyPr/>
        <a:lstStyle/>
        <a:p>
          <a:r>
            <a:rPr lang="it-IT" sz="1200" b="0" i="0" u="none"/>
            <a:t>1%</a:t>
          </a:r>
          <a:endParaRPr lang="en-US" sz="1200"/>
        </a:p>
      </dgm:t>
    </dgm:pt>
    <dgm:pt modelId="{76C3E770-B383-C041-A70C-7C8D58D2B2E5}" type="parTrans" cxnId="{96689F59-3FF0-9344-B571-22EEDD83D542}">
      <dgm:prSet/>
      <dgm:spPr/>
      <dgm:t>
        <a:bodyPr/>
        <a:lstStyle/>
        <a:p>
          <a:endParaRPr lang="en-US" sz="2800"/>
        </a:p>
      </dgm:t>
    </dgm:pt>
    <dgm:pt modelId="{025BBADE-97A6-3A4D-B392-0393FFB2DD6F}" type="sibTrans" cxnId="{96689F59-3FF0-9344-B571-22EEDD83D542}">
      <dgm:prSet/>
      <dgm:spPr/>
      <dgm:t>
        <a:bodyPr/>
        <a:lstStyle/>
        <a:p>
          <a:endParaRPr lang="en-US" sz="2800"/>
        </a:p>
      </dgm:t>
    </dgm:pt>
    <dgm:pt modelId="{D45CEE4E-F403-684B-9EFD-C03047B1608A}">
      <dgm:prSet phldrT="[Text]" custT="1"/>
      <dgm:spPr/>
      <dgm:t>
        <a:bodyPr/>
        <a:lstStyle/>
        <a:p>
          <a:r>
            <a:rPr lang="en-US" sz="900"/>
            <a:t>Communications</a:t>
          </a:r>
        </a:p>
      </dgm:t>
    </dgm:pt>
    <dgm:pt modelId="{2C88DA92-0958-B642-B84B-FE6BD8A67228}" type="parTrans" cxnId="{AACE17C7-8EF8-0F4F-9C30-F7FD327EE275}">
      <dgm:prSet/>
      <dgm:spPr/>
      <dgm:t>
        <a:bodyPr/>
        <a:lstStyle/>
        <a:p>
          <a:endParaRPr lang="en-US" sz="2800"/>
        </a:p>
      </dgm:t>
    </dgm:pt>
    <dgm:pt modelId="{4C6D18BC-CB72-0B4C-B9F3-4975CFEF7D59}" type="sibTrans" cxnId="{AACE17C7-8EF8-0F4F-9C30-F7FD327EE275}">
      <dgm:prSet/>
      <dgm:spPr/>
      <dgm:t>
        <a:bodyPr/>
        <a:lstStyle/>
        <a:p>
          <a:endParaRPr lang="en-US" sz="2800"/>
        </a:p>
      </dgm:t>
    </dgm:pt>
    <dgm:pt modelId="{A77C3A82-6D84-524E-A60E-4928146E9D36}">
      <dgm:prSet custT="1"/>
      <dgm:spPr/>
      <dgm:t>
        <a:bodyPr/>
        <a:lstStyle/>
        <a:p>
          <a:r>
            <a:rPr lang="en-US" sz="900"/>
            <a:t>Government</a:t>
          </a:r>
        </a:p>
      </dgm:t>
    </dgm:pt>
    <dgm:pt modelId="{578C0111-D2A9-6142-ACD0-CBF36E783B33}" type="parTrans" cxnId="{DD138092-BBB1-E74E-A84E-4DF470D9883D}">
      <dgm:prSet/>
      <dgm:spPr/>
      <dgm:t>
        <a:bodyPr/>
        <a:lstStyle/>
        <a:p>
          <a:endParaRPr lang="en-US" sz="2800"/>
        </a:p>
      </dgm:t>
    </dgm:pt>
    <dgm:pt modelId="{3CE979E6-7412-814C-886F-AFAF8B268AEC}" type="sibTrans" cxnId="{DD138092-BBB1-E74E-A84E-4DF470D9883D}">
      <dgm:prSet/>
      <dgm:spPr/>
      <dgm:t>
        <a:bodyPr/>
        <a:lstStyle/>
        <a:p>
          <a:endParaRPr lang="en-US" sz="2800"/>
        </a:p>
      </dgm:t>
    </dgm:pt>
    <dgm:pt modelId="{11D6F2E8-55A8-6742-A9B5-D8609B8B288B}">
      <dgm:prSet custT="1"/>
      <dgm:spPr/>
      <dgm:t>
        <a:bodyPr/>
        <a:lstStyle/>
        <a:p>
          <a:r>
            <a:rPr lang="en-US" sz="900"/>
            <a:t>Technology</a:t>
          </a:r>
        </a:p>
      </dgm:t>
    </dgm:pt>
    <dgm:pt modelId="{E65E87B9-AB77-A045-AAF3-CB8677991D42}" type="parTrans" cxnId="{9CE8ED51-9E60-5640-891D-F8832D000A17}">
      <dgm:prSet/>
      <dgm:spPr/>
      <dgm:t>
        <a:bodyPr/>
        <a:lstStyle/>
        <a:p>
          <a:endParaRPr lang="en-US" sz="2800"/>
        </a:p>
      </dgm:t>
    </dgm:pt>
    <dgm:pt modelId="{2B63A791-39C4-2949-9719-D74166934945}" type="sibTrans" cxnId="{9CE8ED51-9E60-5640-891D-F8832D000A17}">
      <dgm:prSet/>
      <dgm:spPr/>
      <dgm:t>
        <a:bodyPr/>
        <a:lstStyle/>
        <a:p>
          <a:endParaRPr lang="en-US" sz="2800"/>
        </a:p>
      </dgm:t>
    </dgm:pt>
    <dgm:pt modelId="{F9D81329-6E1F-2546-B1A5-635288157189}">
      <dgm:prSet custT="1"/>
      <dgm:spPr/>
      <dgm:t>
        <a:bodyPr/>
        <a:lstStyle/>
        <a:p>
          <a:r>
            <a:rPr lang="en-US" sz="900"/>
            <a:t>Utilities</a:t>
          </a:r>
        </a:p>
      </dgm:t>
    </dgm:pt>
    <dgm:pt modelId="{747E753B-8DA5-BC41-9163-414C6C4398A3}" type="parTrans" cxnId="{55E002BB-7A61-7E4E-BB57-F962B2F58B8D}">
      <dgm:prSet/>
      <dgm:spPr/>
      <dgm:t>
        <a:bodyPr/>
        <a:lstStyle/>
        <a:p>
          <a:endParaRPr lang="en-US" sz="2800"/>
        </a:p>
      </dgm:t>
    </dgm:pt>
    <dgm:pt modelId="{9483BF5E-6FE2-FF48-BDA6-5A7058655E86}" type="sibTrans" cxnId="{55E002BB-7A61-7E4E-BB57-F962B2F58B8D}">
      <dgm:prSet/>
      <dgm:spPr/>
      <dgm:t>
        <a:bodyPr/>
        <a:lstStyle/>
        <a:p>
          <a:endParaRPr lang="en-US" sz="2800"/>
        </a:p>
      </dgm:t>
    </dgm:pt>
    <dgm:pt modelId="{890A1064-FD6C-214C-BCA9-252CC7EDCF92}">
      <dgm:prSet phldrT="[Text]" custT="1"/>
      <dgm:spPr/>
      <dgm:t>
        <a:bodyPr/>
        <a:lstStyle/>
        <a:p>
          <a:r>
            <a:rPr lang="it-IT" sz="1200" b="0" i="0" u="none"/>
            <a:t>64%</a:t>
          </a:r>
          <a:endParaRPr lang="en-US" sz="1200"/>
        </a:p>
      </dgm:t>
    </dgm:pt>
    <dgm:pt modelId="{5D03FBB9-43B3-5E49-BB2F-C3BB88FF8445}" type="parTrans" cxnId="{61FC5A9F-A3A8-084B-8F49-9D25C96A92D5}">
      <dgm:prSet/>
      <dgm:spPr/>
      <dgm:t>
        <a:bodyPr/>
        <a:lstStyle/>
        <a:p>
          <a:endParaRPr lang="en-US" sz="2800"/>
        </a:p>
      </dgm:t>
    </dgm:pt>
    <dgm:pt modelId="{E331CECA-9CB4-8C4A-96FD-A991DB09C7C7}" type="sibTrans" cxnId="{61FC5A9F-A3A8-084B-8F49-9D25C96A92D5}">
      <dgm:prSet/>
      <dgm:spPr/>
      <dgm:t>
        <a:bodyPr/>
        <a:lstStyle/>
        <a:p>
          <a:endParaRPr lang="en-US" sz="2800"/>
        </a:p>
      </dgm:t>
    </dgm:pt>
    <dgm:pt modelId="{E91774B8-5809-E04A-A981-60AB80F570E4}">
      <dgm:prSet custT="1"/>
      <dgm:spPr/>
      <dgm:t>
        <a:bodyPr/>
        <a:lstStyle/>
        <a:p>
          <a:r>
            <a:rPr lang="pt-BR" sz="1200" b="0" i="0" u="none"/>
            <a:t>33%</a:t>
          </a:r>
          <a:endParaRPr lang="en-US" sz="1200"/>
        </a:p>
      </dgm:t>
    </dgm:pt>
    <dgm:pt modelId="{D3220207-4017-634A-9B27-77DCCAE2B7EF}" type="parTrans" cxnId="{59D83E53-253E-B646-BB5B-0E08A07867A0}">
      <dgm:prSet/>
      <dgm:spPr/>
      <dgm:t>
        <a:bodyPr/>
        <a:lstStyle/>
        <a:p>
          <a:endParaRPr lang="en-US" sz="2800"/>
        </a:p>
      </dgm:t>
    </dgm:pt>
    <dgm:pt modelId="{AF0F1B6F-E865-BE44-8974-55DD17B85E6D}" type="sibTrans" cxnId="{59D83E53-253E-B646-BB5B-0E08A07867A0}">
      <dgm:prSet/>
      <dgm:spPr/>
      <dgm:t>
        <a:bodyPr/>
        <a:lstStyle/>
        <a:p>
          <a:endParaRPr lang="en-US" sz="2800"/>
        </a:p>
      </dgm:t>
    </dgm:pt>
    <dgm:pt modelId="{279C67EB-D98A-9F48-9C0A-0946E870868F}">
      <dgm:prSet custT="1"/>
      <dgm:spPr/>
      <dgm:t>
        <a:bodyPr/>
        <a:lstStyle/>
        <a:p>
          <a:r>
            <a:rPr lang="pt-BR" sz="1200" b="0" i="0" u="none"/>
            <a:t>8%</a:t>
          </a:r>
          <a:endParaRPr lang="en-US" sz="1200"/>
        </a:p>
      </dgm:t>
    </dgm:pt>
    <dgm:pt modelId="{A967C025-C47C-5F4B-90BB-B27AC023D13E}" type="parTrans" cxnId="{B7862015-0561-304C-BB22-D7BF5F9B579A}">
      <dgm:prSet/>
      <dgm:spPr/>
      <dgm:t>
        <a:bodyPr/>
        <a:lstStyle/>
        <a:p>
          <a:endParaRPr lang="en-US" sz="2800"/>
        </a:p>
      </dgm:t>
    </dgm:pt>
    <dgm:pt modelId="{1C097E96-DD42-2342-BE15-FAB365B6B7E9}" type="sibTrans" cxnId="{B7862015-0561-304C-BB22-D7BF5F9B579A}">
      <dgm:prSet/>
      <dgm:spPr/>
      <dgm:t>
        <a:bodyPr/>
        <a:lstStyle/>
        <a:p>
          <a:endParaRPr lang="en-US" sz="2800"/>
        </a:p>
      </dgm:t>
    </dgm:pt>
    <dgm:pt modelId="{601DDA4E-70ED-D94E-8133-F370EECE321B}">
      <dgm:prSet custT="1"/>
      <dgm:spPr/>
      <dgm:t>
        <a:bodyPr/>
        <a:lstStyle/>
        <a:p>
          <a:r>
            <a:rPr lang="en-US" sz="900"/>
            <a:t>Industrial</a:t>
          </a:r>
        </a:p>
      </dgm:t>
    </dgm:pt>
    <dgm:pt modelId="{60A16687-9107-754A-AFEB-3949BD896335}" type="parTrans" cxnId="{170147D3-A71E-BD47-837B-04E73D896FEA}">
      <dgm:prSet/>
      <dgm:spPr/>
      <dgm:t>
        <a:bodyPr/>
        <a:lstStyle/>
        <a:p>
          <a:endParaRPr lang="en-US" sz="2800"/>
        </a:p>
      </dgm:t>
    </dgm:pt>
    <dgm:pt modelId="{01C571EE-127C-0D44-B3DD-C58E3D0E66AA}" type="sibTrans" cxnId="{170147D3-A71E-BD47-837B-04E73D896FEA}">
      <dgm:prSet/>
      <dgm:spPr/>
      <dgm:t>
        <a:bodyPr/>
        <a:lstStyle/>
        <a:p>
          <a:endParaRPr lang="en-US" sz="2800"/>
        </a:p>
      </dgm:t>
    </dgm:pt>
    <dgm:pt modelId="{2D2DC5BF-6C9E-F841-BD33-368527463C6C}">
      <dgm:prSet custT="1"/>
      <dgm:spPr/>
      <dgm:t>
        <a:bodyPr/>
        <a:lstStyle/>
        <a:p>
          <a:r>
            <a:rPr lang="it-IT" sz="1200" b="0" i="0" u="none"/>
            <a:t>-7%</a:t>
          </a:r>
          <a:endParaRPr lang="en-US" sz="1200"/>
        </a:p>
      </dgm:t>
    </dgm:pt>
    <dgm:pt modelId="{BDB178ED-6D82-A947-9932-66E20A50E491}" type="parTrans" cxnId="{55E08F64-E5C6-EC4B-B891-84990FF08E06}">
      <dgm:prSet/>
      <dgm:spPr/>
      <dgm:t>
        <a:bodyPr/>
        <a:lstStyle/>
        <a:p>
          <a:endParaRPr lang="en-US" sz="2800"/>
        </a:p>
      </dgm:t>
    </dgm:pt>
    <dgm:pt modelId="{0E2424CB-35A0-D248-9A99-9F6AB0AD0F39}" type="sibTrans" cxnId="{55E08F64-E5C6-EC4B-B891-84990FF08E06}">
      <dgm:prSet/>
      <dgm:spPr/>
      <dgm:t>
        <a:bodyPr/>
        <a:lstStyle/>
        <a:p>
          <a:endParaRPr lang="en-US" sz="2800"/>
        </a:p>
      </dgm:t>
    </dgm:pt>
    <dgm:pt modelId="{40E502C3-6102-F542-82F2-5069A0D7B6AC}">
      <dgm:prSet custT="1"/>
      <dgm:spPr/>
      <dgm:t>
        <a:bodyPr/>
        <a:lstStyle/>
        <a:p>
          <a:r>
            <a:rPr lang="en-US" sz="900"/>
            <a:t>Consumer</a:t>
          </a:r>
        </a:p>
      </dgm:t>
    </dgm:pt>
    <dgm:pt modelId="{B81FFC71-D3E5-5B4A-81F7-DDFC1B04DDA8}" type="parTrans" cxnId="{FF2390E4-3375-144A-8D96-0442846D01F6}">
      <dgm:prSet/>
      <dgm:spPr/>
      <dgm:t>
        <a:bodyPr/>
        <a:lstStyle/>
        <a:p>
          <a:endParaRPr lang="en-US" sz="2800"/>
        </a:p>
      </dgm:t>
    </dgm:pt>
    <dgm:pt modelId="{BD5622B5-05A0-C24C-822F-622F6B2C4967}" type="sibTrans" cxnId="{FF2390E4-3375-144A-8D96-0442846D01F6}">
      <dgm:prSet/>
      <dgm:spPr/>
      <dgm:t>
        <a:bodyPr/>
        <a:lstStyle/>
        <a:p>
          <a:endParaRPr lang="en-US" sz="2800"/>
        </a:p>
      </dgm:t>
    </dgm:pt>
    <dgm:pt modelId="{67F3FDC4-D809-4441-98DD-8B649E45C347}">
      <dgm:prSet custT="1"/>
      <dgm:spPr/>
      <dgm:t>
        <a:bodyPr/>
        <a:lstStyle/>
        <a:p>
          <a:r>
            <a:rPr lang="en-US" sz="1200"/>
            <a:t>-1%</a:t>
          </a:r>
        </a:p>
      </dgm:t>
    </dgm:pt>
    <dgm:pt modelId="{ABFFE01E-4DFE-7849-9142-E251F000C46E}" type="parTrans" cxnId="{50A8CC9C-4098-D047-BADB-13408006C413}">
      <dgm:prSet/>
      <dgm:spPr/>
      <dgm:t>
        <a:bodyPr/>
        <a:lstStyle/>
        <a:p>
          <a:endParaRPr lang="en-US" sz="2800"/>
        </a:p>
      </dgm:t>
    </dgm:pt>
    <dgm:pt modelId="{E3AC75BF-9218-5740-99DA-AE0849A8FED0}" type="sibTrans" cxnId="{50A8CC9C-4098-D047-BADB-13408006C413}">
      <dgm:prSet/>
      <dgm:spPr/>
      <dgm:t>
        <a:bodyPr/>
        <a:lstStyle/>
        <a:p>
          <a:endParaRPr lang="en-US" sz="2800"/>
        </a:p>
      </dgm:t>
    </dgm:pt>
    <dgm:pt modelId="{28F0AE23-16AF-DA46-AC5D-5D197E1A1E96}">
      <dgm:prSet custT="1"/>
      <dgm:spPr/>
      <dgm:t>
        <a:bodyPr/>
        <a:lstStyle/>
        <a:p>
          <a:r>
            <a:rPr lang="en-US" sz="900"/>
            <a:t>Materials</a:t>
          </a:r>
        </a:p>
      </dgm:t>
    </dgm:pt>
    <dgm:pt modelId="{FBCEC657-08A4-EE42-9FD8-91429272698E}" type="parTrans" cxnId="{87501125-5B79-884D-ABDA-D7023F51E002}">
      <dgm:prSet/>
      <dgm:spPr/>
      <dgm:t>
        <a:bodyPr/>
        <a:lstStyle/>
        <a:p>
          <a:endParaRPr lang="en-US" sz="2800"/>
        </a:p>
      </dgm:t>
    </dgm:pt>
    <dgm:pt modelId="{5354D17D-6B4F-3242-9029-DBDD7E2958B9}" type="sibTrans" cxnId="{87501125-5B79-884D-ABDA-D7023F51E002}">
      <dgm:prSet/>
      <dgm:spPr/>
      <dgm:t>
        <a:bodyPr/>
        <a:lstStyle/>
        <a:p>
          <a:endParaRPr lang="en-US" sz="2800"/>
        </a:p>
      </dgm:t>
    </dgm:pt>
    <dgm:pt modelId="{D0A7D829-5387-C241-B221-3CAE0160968B}">
      <dgm:prSet custT="1"/>
      <dgm:spPr/>
      <dgm:t>
        <a:bodyPr/>
        <a:lstStyle/>
        <a:p>
          <a:r>
            <a:rPr lang="en-US" sz="1200"/>
            <a:t>2%</a:t>
          </a:r>
        </a:p>
      </dgm:t>
    </dgm:pt>
    <dgm:pt modelId="{CCA4E1BD-090A-8540-8A24-9CC387014173}" type="parTrans" cxnId="{7F759CF8-7A4F-3B47-882F-484F984AD118}">
      <dgm:prSet/>
      <dgm:spPr/>
      <dgm:t>
        <a:bodyPr/>
        <a:lstStyle/>
        <a:p>
          <a:endParaRPr lang="en-US" sz="2800"/>
        </a:p>
      </dgm:t>
    </dgm:pt>
    <dgm:pt modelId="{9CF18D06-8871-4C49-932B-D51200871292}" type="sibTrans" cxnId="{7F759CF8-7A4F-3B47-882F-484F984AD118}">
      <dgm:prSet/>
      <dgm:spPr/>
      <dgm:t>
        <a:bodyPr/>
        <a:lstStyle/>
        <a:p>
          <a:endParaRPr lang="en-US" sz="2800"/>
        </a:p>
      </dgm:t>
    </dgm:pt>
    <dgm:pt modelId="{BFAEEE13-625B-6A42-A617-7C00017A5C11}">
      <dgm:prSet custT="1"/>
      <dgm:spPr/>
      <dgm:t>
        <a:bodyPr/>
        <a:lstStyle/>
        <a:p>
          <a:r>
            <a:rPr lang="pt-BR" sz="1200" b="0" i="0" u="none"/>
            <a:t>0.5%</a:t>
          </a:r>
          <a:endParaRPr lang="en-US" sz="1200"/>
        </a:p>
      </dgm:t>
    </dgm:pt>
    <dgm:pt modelId="{CCD4E906-FB37-9B4E-855E-93A33DCAD5B4}" type="parTrans" cxnId="{FEB59DEC-30F7-D449-88C8-7EEE89724CF2}">
      <dgm:prSet/>
      <dgm:spPr/>
      <dgm:t>
        <a:bodyPr/>
        <a:lstStyle/>
        <a:p>
          <a:endParaRPr lang="en-US" sz="2800"/>
        </a:p>
      </dgm:t>
    </dgm:pt>
    <dgm:pt modelId="{D5FF47C1-A0A5-B344-A4A7-D68297234E4B}" type="sibTrans" cxnId="{FEB59DEC-30F7-D449-88C8-7EEE89724CF2}">
      <dgm:prSet/>
      <dgm:spPr/>
      <dgm:t>
        <a:bodyPr/>
        <a:lstStyle/>
        <a:p>
          <a:endParaRPr lang="en-US" sz="2800"/>
        </a:p>
      </dgm:t>
    </dgm:pt>
    <dgm:pt modelId="{0F665056-1E4E-8E4F-899D-A9F09EF35F17}">
      <dgm:prSet custT="1"/>
      <dgm:spPr/>
      <dgm:t>
        <a:bodyPr/>
        <a:lstStyle/>
        <a:p>
          <a:r>
            <a:rPr lang="en-US" sz="900"/>
            <a:t>Energy</a:t>
          </a:r>
        </a:p>
      </dgm:t>
    </dgm:pt>
    <dgm:pt modelId="{DACA778B-19DD-A04E-B2DC-9037064FA49F}" type="parTrans" cxnId="{C7DA8237-833C-384D-A934-ACF38A50FA1A}">
      <dgm:prSet/>
      <dgm:spPr/>
      <dgm:t>
        <a:bodyPr/>
        <a:lstStyle/>
        <a:p>
          <a:endParaRPr lang="en-US" sz="2800"/>
        </a:p>
      </dgm:t>
    </dgm:pt>
    <dgm:pt modelId="{B47221CA-AC85-474D-8893-9ECA177676DA}" type="sibTrans" cxnId="{C7DA8237-833C-384D-A934-ACF38A50FA1A}">
      <dgm:prSet/>
      <dgm:spPr/>
      <dgm:t>
        <a:bodyPr/>
        <a:lstStyle/>
        <a:p>
          <a:endParaRPr lang="en-US" sz="2800"/>
        </a:p>
      </dgm:t>
    </dgm:pt>
    <dgm:pt modelId="{8077C799-B5F3-E44D-B787-566105FD46ED}">
      <dgm:prSet custT="1"/>
      <dgm:spPr/>
      <dgm:t>
        <a:bodyPr/>
        <a:lstStyle/>
        <a:p>
          <a:r>
            <a:rPr lang="it-IT" sz="1200" b="0" i="0" u="none"/>
            <a:t>-1%</a:t>
          </a:r>
          <a:endParaRPr lang="en-US" sz="1200"/>
        </a:p>
      </dgm:t>
    </dgm:pt>
    <dgm:pt modelId="{1912BE2E-98C2-F74E-AD84-5D81DC47476C}" type="parTrans" cxnId="{BC6EF6BD-A77A-374C-9CF5-BD04A49B3179}">
      <dgm:prSet/>
      <dgm:spPr/>
      <dgm:t>
        <a:bodyPr/>
        <a:lstStyle/>
        <a:p>
          <a:endParaRPr lang="en-US" sz="2800"/>
        </a:p>
      </dgm:t>
    </dgm:pt>
    <dgm:pt modelId="{AF0C7F7F-5813-8F4D-A1CA-A202CFEC731D}" type="sibTrans" cxnId="{BC6EF6BD-A77A-374C-9CF5-BD04A49B3179}">
      <dgm:prSet/>
      <dgm:spPr/>
      <dgm:t>
        <a:bodyPr/>
        <a:lstStyle/>
        <a:p>
          <a:endParaRPr lang="en-US" sz="2800"/>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t>
        <a:bodyPr/>
        <a:lstStyle/>
        <a:p>
          <a:endParaRPr lang="en-US"/>
        </a:p>
      </dgm:t>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t>
        <a:bodyPr/>
        <a:lstStyle/>
        <a:p>
          <a:endParaRPr lang="en-US"/>
        </a:p>
      </dgm:t>
    </dgm:pt>
    <dgm:pt modelId="{BE081FB4-F69F-2B41-AE37-1E501089D853}" type="pres">
      <dgm:prSet presAssocID="{4C6D18BC-CB72-0B4C-B9F3-4975CFEF7D59}" presName="sibSpaceTwo" presStyleCnt="0"/>
      <dgm:spPr/>
      <dgm:t>
        <a:bodyPr/>
        <a:lstStyle/>
        <a:p>
          <a:endParaRPr lang="en-US"/>
        </a:p>
      </dgm:t>
    </dgm:pt>
    <dgm:pt modelId="{02DBFD2F-C26C-024F-BECC-78E1CFFFBA30}" type="pres">
      <dgm:prSet presAssocID="{A77C3A82-6D84-524E-A60E-4928146E9D36}" presName="vertTwo" presStyleCnt="0"/>
      <dgm:spPr/>
      <dgm:t>
        <a:bodyPr/>
        <a:lstStyle/>
        <a:p>
          <a:endParaRPr lang="en-US"/>
        </a:p>
      </dgm:t>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t>
        <a:bodyPr/>
        <a:lstStyle/>
        <a:p>
          <a:endParaRPr lang="en-US"/>
        </a:p>
      </dgm:t>
    </dgm:pt>
    <dgm:pt modelId="{95C6BA10-08BA-2B45-A85D-5E9F1B626EEC}" type="pres">
      <dgm:prSet presAssocID="{A77C3A82-6D84-524E-A60E-4928146E9D36}" presName="horzTwo" presStyleCnt="0"/>
      <dgm:spPr/>
      <dgm:t>
        <a:bodyPr/>
        <a:lstStyle/>
        <a:p>
          <a:endParaRPr lang="en-US"/>
        </a:p>
      </dgm:t>
    </dgm:pt>
    <dgm:pt modelId="{7B16CC97-2B68-F548-94FA-4CC0A6408090}" type="pres">
      <dgm:prSet presAssocID="{E91774B8-5809-E04A-A981-60AB80F570E4}" presName="vertThree" presStyleCnt="0"/>
      <dgm:spPr/>
      <dgm:t>
        <a:bodyPr/>
        <a:lstStyle/>
        <a:p>
          <a:endParaRPr lang="en-US"/>
        </a:p>
      </dgm:t>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t>
        <a:bodyPr/>
        <a:lstStyle/>
        <a:p>
          <a:endParaRPr lang="en-US"/>
        </a:p>
      </dgm:t>
    </dgm:pt>
    <dgm:pt modelId="{ABCDABA0-2EC8-E54B-868B-928F37389729}" type="pres">
      <dgm:prSet presAssocID="{3CE979E6-7412-814C-886F-AFAF8B268AEC}" presName="sibSpaceTwo" presStyleCnt="0"/>
      <dgm:spPr/>
      <dgm:t>
        <a:bodyPr/>
        <a:lstStyle/>
        <a:p>
          <a:endParaRPr lang="en-US"/>
        </a:p>
      </dgm:t>
    </dgm:pt>
    <dgm:pt modelId="{28DD930D-52F0-8E45-B0E6-542520F873C2}" type="pres">
      <dgm:prSet presAssocID="{601DDA4E-70ED-D94E-8133-F370EECE321B}" presName="vertTwo" presStyleCnt="0"/>
      <dgm:spPr/>
      <dgm:t>
        <a:bodyPr/>
        <a:lstStyle/>
        <a:p>
          <a:endParaRPr lang="en-US"/>
        </a:p>
      </dgm:t>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t>
        <a:bodyPr/>
        <a:lstStyle/>
        <a:p>
          <a:endParaRPr lang="en-US"/>
        </a:p>
      </dgm:t>
    </dgm:pt>
    <dgm:pt modelId="{B868E002-271F-4044-AB4B-85A0120C7B01}" type="pres">
      <dgm:prSet presAssocID="{601DDA4E-70ED-D94E-8133-F370EECE321B}" presName="horzTwo" presStyleCnt="0"/>
      <dgm:spPr/>
      <dgm:t>
        <a:bodyPr/>
        <a:lstStyle/>
        <a:p>
          <a:endParaRPr lang="en-US"/>
        </a:p>
      </dgm:t>
    </dgm:pt>
    <dgm:pt modelId="{3CDA1E17-6D7E-C343-97BD-3063D34EB5FC}" type="pres">
      <dgm:prSet presAssocID="{67F3FDC4-D809-4441-98DD-8B649E45C347}" presName="vertThree" presStyleCnt="0"/>
      <dgm:spPr/>
      <dgm:t>
        <a:bodyPr/>
        <a:lstStyle/>
        <a:p>
          <a:endParaRPr lang="en-US"/>
        </a:p>
      </dgm:t>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t>
        <a:bodyPr/>
        <a:lstStyle/>
        <a:p>
          <a:endParaRPr lang="en-US"/>
        </a:p>
      </dgm:t>
    </dgm:pt>
    <dgm:pt modelId="{B888CF7C-2A5E-F541-8C2D-CDE38E8A5FFE}" type="pres">
      <dgm:prSet presAssocID="{01C571EE-127C-0D44-B3DD-C58E3D0E66AA}" presName="sibSpaceTwo" presStyleCnt="0"/>
      <dgm:spPr/>
      <dgm:t>
        <a:bodyPr/>
        <a:lstStyle/>
        <a:p>
          <a:endParaRPr lang="en-US"/>
        </a:p>
      </dgm:t>
    </dgm:pt>
    <dgm:pt modelId="{E3312A52-710E-8040-9D4F-90C362AA1C76}" type="pres">
      <dgm:prSet presAssocID="{11D6F2E8-55A8-6742-A9B5-D8609B8B288B}" presName="vertTwo" presStyleCnt="0"/>
      <dgm:spPr/>
      <dgm:t>
        <a:bodyPr/>
        <a:lstStyle/>
        <a:p>
          <a:endParaRPr lang="en-US"/>
        </a:p>
      </dgm:t>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t>
        <a:bodyPr/>
        <a:lstStyle/>
        <a:p>
          <a:endParaRPr lang="en-US"/>
        </a:p>
      </dgm:t>
    </dgm:pt>
    <dgm:pt modelId="{91C2135C-4A52-BE48-BF4D-3A635F87CB0D}" type="pres">
      <dgm:prSet presAssocID="{11D6F2E8-55A8-6742-A9B5-D8609B8B288B}" presName="horzTwo" presStyleCnt="0"/>
      <dgm:spPr/>
      <dgm:t>
        <a:bodyPr/>
        <a:lstStyle/>
        <a:p>
          <a:endParaRPr lang="en-US"/>
        </a:p>
      </dgm:t>
    </dgm:pt>
    <dgm:pt modelId="{C15C8767-4B83-574D-AD77-47402E3ACDC2}" type="pres">
      <dgm:prSet presAssocID="{279C67EB-D98A-9F48-9C0A-0946E870868F}" presName="vertThree" presStyleCnt="0"/>
      <dgm:spPr/>
      <dgm:t>
        <a:bodyPr/>
        <a:lstStyle/>
        <a:p>
          <a:endParaRPr lang="en-US"/>
        </a:p>
      </dgm:t>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t>
        <a:bodyPr/>
        <a:lstStyle/>
        <a:p>
          <a:endParaRPr lang="en-US"/>
        </a:p>
      </dgm:t>
    </dgm:pt>
    <dgm:pt modelId="{5D66A8C3-EF83-3B4B-8356-7F09A0CA5F23}" type="pres">
      <dgm:prSet presAssocID="{2B63A791-39C4-2949-9719-D74166934945}" presName="sibSpaceTwo" presStyleCnt="0"/>
      <dgm:spPr/>
      <dgm:t>
        <a:bodyPr/>
        <a:lstStyle/>
        <a:p>
          <a:endParaRPr lang="en-US"/>
        </a:p>
      </dgm:t>
    </dgm:pt>
    <dgm:pt modelId="{8B5DE50D-6591-3A4E-AFE6-7F9A7105924F}" type="pres">
      <dgm:prSet presAssocID="{40E502C3-6102-F542-82F2-5069A0D7B6AC}" presName="vertTwo" presStyleCnt="0"/>
      <dgm:spPr/>
      <dgm:t>
        <a:bodyPr/>
        <a:lstStyle/>
        <a:p>
          <a:endParaRPr lang="en-US"/>
        </a:p>
      </dgm:t>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t>
        <a:bodyPr/>
        <a:lstStyle/>
        <a:p>
          <a:endParaRPr lang="en-US"/>
        </a:p>
      </dgm:t>
    </dgm:pt>
    <dgm:pt modelId="{DA4C0A76-9489-9542-A5D9-23744034E6BE}" type="pres">
      <dgm:prSet presAssocID="{40E502C3-6102-F542-82F2-5069A0D7B6AC}" presName="horzTwo" presStyleCnt="0"/>
      <dgm:spPr/>
      <dgm:t>
        <a:bodyPr/>
        <a:lstStyle/>
        <a:p>
          <a:endParaRPr lang="en-US"/>
        </a:p>
      </dgm:t>
    </dgm:pt>
    <dgm:pt modelId="{5652EBC7-0ECE-9345-A1A4-1A53B10269D4}" type="pres">
      <dgm:prSet presAssocID="{D0A7D829-5387-C241-B221-3CAE0160968B}" presName="vertThree" presStyleCnt="0"/>
      <dgm:spPr/>
      <dgm:t>
        <a:bodyPr/>
        <a:lstStyle/>
        <a:p>
          <a:endParaRPr lang="en-US"/>
        </a:p>
      </dgm:t>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t>
        <a:bodyPr/>
        <a:lstStyle/>
        <a:p>
          <a:endParaRPr lang="en-US"/>
        </a:p>
      </dgm:t>
    </dgm:pt>
    <dgm:pt modelId="{54BF5FD2-B4C3-CC4B-9B78-4643108AB77C}" type="pres">
      <dgm:prSet presAssocID="{BD5622B5-05A0-C24C-822F-622F6B2C4967}" presName="sibSpaceTwo" presStyleCnt="0"/>
      <dgm:spPr/>
      <dgm:t>
        <a:bodyPr/>
        <a:lstStyle/>
        <a:p>
          <a:endParaRPr lang="en-US"/>
        </a:p>
      </dgm:t>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t>
        <a:bodyPr/>
        <a:lstStyle/>
        <a:p>
          <a:endParaRPr lang="en-US"/>
        </a:p>
      </dgm:t>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t>
        <a:bodyPr/>
        <a:lstStyle/>
        <a:p>
          <a:endParaRPr lang="en-US"/>
        </a:p>
      </dgm:t>
    </dgm:pt>
    <dgm:pt modelId="{982053EF-29BD-A243-B627-A2BFB8F87BDE}" type="pres">
      <dgm:prSet presAssocID="{28F0AE23-16AF-DA46-AC5D-5D197E1A1E96}" presName="horzTwo" presStyleCnt="0"/>
      <dgm:spPr/>
      <dgm:t>
        <a:bodyPr/>
        <a:lstStyle/>
        <a:p>
          <a:endParaRPr lang="en-US"/>
        </a:p>
      </dgm:t>
    </dgm:pt>
    <dgm:pt modelId="{9B5D1686-9C70-CF4E-880A-E219137E72EE}" type="pres">
      <dgm:prSet presAssocID="{BFAEEE13-625B-6A42-A617-7C00017A5C11}" presName="vertThree" presStyleCnt="0"/>
      <dgm:spPr/>
      <dgm:t>
        <a:bodyPr/>
        <a:lstStyle/>
        <a:p>
          <a:endParaRPr lang="en-US"/>
        </a:p>
      </dgm:t>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t>
        <a:bodyPr/>
        <a:lstStyle/>
        <a:p>
          <a:endParaRPr lang="en-US"/>
        </a:p>
      </dgm:t>
    </dgm:pt>
    <dgm:pt modelId="{819390F2-2178-5146-86CC-F2051F1B8C21}" type="pres">
      <dgm:prSet presAssocID="{5354D17D-6B4F-3242-9029-DBDD7E2958B9}" presName="sibSpaceTwo" presStyleCnt="0"/>
      <dgm:spPr/>
      <dgm:t>
        <a:bodyPr/>
        <a:lstStyle/>
        <a:p>
          <a:endParaRPr lang="en-US"/>
        </a:p>
      </dgm:t>
    </dgm:pt>
    <dgm:pt modelId="{1689D95D-CDA5-444D-8390-8C3776325826}" type="pres">
      <dgm:prSet presAssocID="{0F665056-1E4E-8E4F-899D-A9F09EF35F17}" presName="vertTwo" presStyleCnt="0"/>
      <dgm:spPr/>
      <dgm:t>
        <a:bodyPr/>
        <a:lstStyle/>
        <a:p>
          <a:endParaRPr lang="en-US"/>
        </a:p>
      </dgm:t>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t>
        <a:bodyPr/>
        <a:lstStyle/>
        <a:p>
          <a:endParaRPr lang="en-US"/>
        </a:p>
      </dgm:t>
    </dgm:pt>
    <dgm:pt modelId="{47BAE766-22BB-2447-8017-4CC8957E81FD}" type="pres">
      <dgm:prSet presAssocID="{0F665056-1E4E-8E4F-899D-A9F09EF35F17}" presName="horzTwo" presStyleCnt="0"/>
      <dgm:spPr/>
      <dgm:t>
        <a:bodyPr/>
        <a:lstStyle/>
        <a:p>
          <a:endParaRPr lang="en-US"/>
        </a:p>
      </dgm:t>
    </dgm:pt>
    <dgm:pt modelId="{A09035E9-54DF-FB47-86BD-571DDBBD6262}" type="pres">
      <dgm:prSet presAssocID="{8077C799-B5F3-E44D-B787-566105FD46ED}" presName="vertThree" presStyleCnt="0"/>
      <dgm:spPr/>
      <dgm:t>
        <a:bodyPr/>
        <a:lstStyle/>
        <a:p>
          <a:endParaRPr lang="en-US"/>
        </a:p>
      </dgm:t>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t>
        <a:bodyPr/>
        <a:lstStyle/>
        <a:p>
          <a:endParaRPr lang="en-US"/>
        </a:p>
      </dgm:t>
    </dgm:pt>
    <dgm:pt modelId="{2D166BC0-FECF-D145-89B4-3481D4D9AAC8}" type="pres">
      <dgm:prSet presAssocID="{B47221CA-AC85-474D-8893-9ECA177676DA}" presName="sibSpaceTwo" presStyleCnt="0"/>
      <dgm:spPr/>
      <dgm:t>
        <a:bodyPr/>
        <a:lstStyle/>
        <a:p>
          <a:endParaRPr lang="en-US"/>
        </a:p>
      </dgm:t>
    </dgm:pt>
    <dgm:pt modelId="{D3515F63-766C-A34A-9571-72CC8013AC93}" type="pres">
      <dgm:prSet presAssocID="{F9D81329-6E1F-2546-B1A5-635288157189}" presName="vertTwo" presStyleCnt="0"/>
      <dgm:spPr/>
      <dgm:t>
        <a:bodyPr/>
        <a:lstStyle/>
        <a:p>
          <a:endParaRPr lang="en-US"/>
        </a:p>
      </dgm:t>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t>
        <a:bodyPr/>
        <a:lstStyle/>
        <a:p>
          <a:endParaRPr lang="en-US"/>
        </a:p>
      </dgm:t>
    </dgm:pt>
    <dgm:pt modelId="{34CA4660-61AC-B948-A74F-6415A514D426}" type="pres">
      <dgm:prSet presAssocID="{F9D81329-6E1F-2546-B1A5-635288157189}" presName="horzTwo" presStyleCnt="0"/>
      <dgm:spPr/>
      <dgm:t>
        <a:bodyPr/>
        <a:lstStyle/>
        <a:p>
          <a:endParaRPr lang="en-US"/>
        </a:p>
      </dgm:t>
    </dgm:pt>
    <dgm:pt modelId="{F6B38F1E-0189-6E4B-A24E-9572442285A5}" type="pres">
      <dgm:prSet presAssocID="{2D2DC5BF-6C9E-F841-BD33-368527463C6C}" presName="vertThree" presStyleCnt="0"/>
      <dgm:spPr/>
      <dgm:t>
        <a:bodyPr/>
        <a:lstStyle/>
        <a:p>
          <a:endParaRPr lang="en-US"/>
        </a:p>
      </dgm:t>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t>
        <a:bodyPr/>
        <a:lstStyle/>
        <a:p>
          <a:endParaRPr lang="en-US"/>
        </a:p>
      </dgm:t>
    </dgm:pt>
  </dgm:ptLst>
  <dgm:cxnLst>
    <dgm:cxn modelId="{3807DBB5-3C3C-42F3-B8FE-4367B1ADB18D}" type="presOf" srcId="{B569FF41-3782-0E4B-BE1F-984605E1A248}" destId="{90097EEC-766E-7446-83BE-F8B272EF7B58}"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9CE8ED51-9E60-5640-891D-F8832D000A17}" srcId="{B569FF41-3782-0E4B-BE1F-984605E1A248}" destId="{11D6F2E8-55A8-6742-A9B5-D8609B8B288B}" srcOrd="3" destOrd="0" parTransId="{E65E87B9-AB77-A045-AAF3-CB8677991D42}" sibTransId="{2B63A791-39C4-2949-9719-D74166934945}"/>
    <dgm:cxn modelId="{DD138092-BBB1-E74E-A84E-4DF470D9883D}" srcId="{B569FF41-3782-0E4B-BE1F-984605E1A248}" destId="{A77C3A82-6D84-524E-A60E-4928146E9D36}" srcOrd="1" destOrd="0" parTransId="{578C0111-D2A9-6142-ACD0-CBF36E783B33}" sibTransId="{3CE979E6-7412-814C-886F-AFAF8B268AEC}"/>
    <dgm:cxn modelId="{8855FF3E-0705-4E05-978A-7EF0E06E3385}" type="presOf" srcId="{D45CEE4E-F403-684B-9EFD-C03047B1608A}" destId="{318DA991-7F8F-AB41-98C2-7E23E0D0AF2D}" srcOrd="0" destOrd="0" presId="urn:microsoft.com/office/officeart/2005/8/layout/hierarchy4"/>
    <dgm:cxn modelId="{B0609B5D-AC39-42FE-AEA8-F4A8044A7ABC}" type="presOf" srcId="{67F3FDC4-D809-4441-98DD-8B649E45C347}" destId="{AAAB5DFB-65BB-2741-961A-BE3246A07D35}" srcOrd="0" destOrd="0" presId="urn:microsoft.com/office/officeart/2005/8/layout/hierarchy4"/>
    <dgm:cxn modelId="{87501125-5B79-884D-ABDA-D7023F51E002}" srcId="{B569FF41-3782-0E4B-BE1F-984605E1A248}" destId="{28F0AE23-16AF-DA46-AC5D-5D197E1A1E96}" srcOrd="6" destOrd="0" parTransId="{FBCEC657-08A4-EE42-9FD8-91429272698E}" sibTransId="{5354D17D-6B4F-3242-9029-DBDD7E2958B9}"/>
    <dgm:cxn modelId="{170147D3-A71E-BD47-837B-04E73D896FEA}" srcId="{B569FF41-3782-0E4B-BE1F-984605E1A248}" destId="{601DDA4E-70ED-D94E-8133-F370EECE321B}" srcOrd="2" destOrd="0" parTransId="{60A16687-9107-754A-AFEB-3949BD896335}" sibTransId="{01C571EE-127C-0D44-B3DD-C58E3D0E66AA}"/>
    <dgm:cxn modelId="{50A8CC9C-4098-D047-BADB-13408006C413}" srcId="{601DDA4E-70ED-D94E-8133-F370EECE321B}" destId="{67F3FDC4-D809-4441-98DD-8B649E45C347}" srcOrd="0" destOrd="0" parTransId="{ABFFE01E-4DFE-7849-9142-E251F000C46E}" sibTransId="{E3AC75BF-9218-5740-99DA-AE0849A8FED0}"/>
    <dgm:cxn modelId="{10AA4ABE-167C-3644-B03D-7601D8E0346C}" srcId="{66081951-F593-E14D-85B4-EA25F72BD19A}" destId="{B569FF41-3782-0E4B-BE1F-984605E1A248}" srcOrd="0" destOrd="0" parTransId="{9E015768-FC46-3440-A419-7D52AD1788B4}" sibTransId="{9112D6FC-91DF-8D49-91EC-8633AA172B7C}"/>
    <dgm:cxn modelId="{948059AD-54DC-40C6-A06B-BC019D186FBB}" type="presOf" srcId="{BFAEEE13-625B-6A42-A617-7C00017A5C11}" destId="{B2E6D841-0079-7E40-9EFB-A8BB889E48CD}" srcOrd="0" destOrd="0" presId="urn:microsoft.com/office/officeart/2005/8/layout/hierarchy4"/>
    <dgm:cxn modelId="{61FC5A9F-A3A8-084B-8F49-9D25C96A92D5}" srcId="{D45CEE4E-F403-684B-9EFD-C03047B1608A}" destId="{890A1064-FD6C-214C-BCA9-252CC7EDCF92}" srcOrd="0" destOrd="0" parTransId="{5D03FBB9-43B3-5E49-BB2F-C3BB88FF8445}" sibTransId="{E331CECA-9CB4-8C4A-96FD-A991DB09C7C7}"/>
    <dgm:cxn modelId="{C7DA8237-833C-384D-A934-ACF38A50FA1A}" srcId="{B569FF41-3782-0E4B-BE1F-984605E1A248}" destId="{0F665056-1E4E-8E4F-899D-A9F09EF35F17}" srcOrd="7" destOrd="0" parTransId="{DACA778B-19DD-A04E-B2DC-9037064FA49F}" sibTransId="{B47221CA-AC85-474D-8893-9ECA177676DA}"/>
    <dgm:cxn modelId="{7F759CF8-7A4F-3B47-882F-484F984AD118}" srcId="{40E502C3-6102-F542-82F2-5069A0D7B6AC}" destId="{D0A7D829-5387-C241-B221-3CAE0160968B}" srcOrd="0" destOrd="0" parTransId="{CCA4E1BD-090A-8540-8A24-9CC387014173}" sibTransId="{9CF18D06-8871-4C49-932B-D51200871292}"/>
    <dgm:cxn modelId="{1898E029-6C14-4C26-97EB-FA5F191216C5}" type="presOf" srcId="{601DDA4E-70ED-D94E-8133-F370EECE321B}" destId="{46F8B180-2E72-AE43-8900-5F261E1B84BD}" srcOrd="0" destOrd="0" presId="urn:microsoft.com/office/officeart/2005/8/layout/hierarchy4"/>
    <dgm:cxn modelId="{6EEDD93A-885A-4EE3-87E9-4EE68149381D}" type="presOf" srcId="{66081951-F593-E14D-85B4-EA25F72BD19A}" destId="{5EC43990-8C8F-DD4C-99AA-51ED40F432EF}" srcOrd="0" destOrd="0" presId="urn:microsoft.com/office/officeart/2005/8/layout/hierarchy4"/>
    <dgm:cxn modelId="{FEB59DEC-30F7-D449-88C8-7EEE89724CF2}" srcId="{28F0AE23-16AF-DA46-AC5D-5D197E1A1E96}" destId="{BFAEEE13-625B-6A42-A617-7C00017A5C11}" srcOrd="0" destOrd="0" parTransId="{CCD4E906-FB37-9B4E-855E-93A33DCAD5B4}" sibTransId="{D5FF47C1-A0A5-B344-A4A7-D68297234E4B}"/>
    <dgm:cxn modelId="{E3F86E22-5D1C-48D0-ACEF-1C585D11556D}" type="presOf" srcId="{0F665056-1E4E-8E4F-899D-A9F09EF35F17}" destId="{D0E0FB2A-3CA6-AA49-9279-D6854D929E6A}" srcOrd="0" destOrd="0" presId="urn:microsoft.com/office/officeart/2005/8/layout/hierarchy4"/>
    <dgm:cxn modelId="{CB49452D-3482-4CC5-A4F9-BB92BE73CE4A}" type="presOf" srcId="{11D6F2E8-55A8-6742-A9B5-D8609B8B288B}" destId="{4A367B90-D384-B440-AB27-9D7C7D3611A2}" srcOrd="0" destOrd="0" presId="urn:microsoft.com/office/officeart/2005/8/layout/hierarchy4"/>
    <dgm:cxn modelId="{B884AB8F-D157-4ED1-AFED-839EEC33219B}" type="presOf" srcId="{3ADD2A6B-6DBA-F84F-A052-6D2C4035D1E8}" destId="{88A98ACF-C5E5-6148-A094-7F80DCE2676A}"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FEDD782B-CBAD-454B-B161-DC87CD52E800}" type="presOf" srcId="{890A1064-FD6C-214C-BCA9-252CC7EDCF92}" destId="{18651BF8-1F38-BB4A-BE52-84A77DB905C6}" srcOrd="0" destOrd="0" presId="urn:microsoft.com/office/officeart/2005/8/layout/hierarchy4"/>
    <dgm:cxn modelId="{606E5EE5-E885-4FB8-BA9D-D890DD29F25B}" type="presOf" srcId="{40E502C3-6102-F542-82F2-5069A0D7B6AC}" destId="{56196267-AF40-2F40-9CB6-92F53ECF4149}" srcOrd="0" destOrd="0" presId="urn:microsoft.com/office/officeart/2005/8/layout/hierarchy4"/>
    <dgm:cxn modelId="{13A23AB7-2118-469A-A3B2-3A1B753C682F}" type="presOf" srcId="{28F0AE23-16AF-DA46-AC5D-5D197E1A1E96}" destId="{9A5363E9-F583-014E-9114-A649CF10A552}" srcOrd="0" destOrd="0" presId="urn:microsoft.com/office/officeart/2005/8/layout/hierarchy4"/>
    <dgm:cxn modelId="{6219BDB0-1600-41BA-86F5-A6D4C4BA45AF}" type="presOf" srcId="{F9D81329-6E1F-2546-B1A5-635288157189}" destId="{5AF8245B-8188-8744-8EA9-322D3C8F2B05}"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6EAA9194-0618-4C56-B2BC-A6453005AFBD}" type="presOf" srcId="{8077C799-B5F3-E44D-B787-566105FD46ED}" destId="{0B43B9C4-18A8-8A4F-A35B-6804BFBC6153}" srcOrd="0" destOrd="0" presId="urn:microsoft.com/office/officeart/2005/8/layout/hierarchy4"/>
    <dgm:cxn modelId="{E2638CD7-BE83-4185-930E-B0167FF46C45}" type="presOf" srcId="{DFFB93D3-5D1A-0643-A77D-4D20E3ECEEA5}" destId="{55E78CAA-6D34-A248-82CE-2B8D14256034}"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3AAC900F-1D08-4E30-B2C4-ED4E204A5CA0}" type="presOf" srcId="{2D2DC5BF-6C9E-F841-BD33-368527463C6C}" destId="{289BD9CD-E8D5-AC48-BE4D-EDFF0BC432A7}" srcOrd="0" destOrd="0" presId="urn:microsoft.com/office/officeart/2005/8/layout/hierarchy4"/>
    <dgm:cxn modelId="{8D98D3FD-2FFC-4E71-A131-78FFF5EF4182}" type="presOf" srcId="{279C67EB-D98A-9F48-9C0A-0946E870868F}" destId="{77AF7BC7-2CA6-3449-B394-4F038B14FF68}" srcOrd="0" destOrd="0" presId="urn:microsoft.com/office/officeart/2005/8/layout/hierarchy4"/>
    <dgm:cxn modelId="{A9C8FE45-C09F-4FC7-ABEB-AC24D3C1583C}" type="presOf" srcId="{D0A7D829-5387-C241-B221-3CAE0160968B}" destId="{05A92AB4-B297-9B44-93F7-2A6786ECB534}" srcOrd="0" destOrd="0" presId="urn:microsoft.com/office/officeart/2005/8/layout/hierarchy4"/>
    <dgm:cxn modelId="{604B9D9F-13A8-C240-806F-DD6148A213E1}" srcId="{B569FF41-3782-0E4B-BE1F-984605E1A248}" destId="{DFFB93D3-5D1A-0643-A77D-4D20E3ECEEA5}" srcOrd="5" destOrd="0" parTransId="{C9413307-2053-4748-8C30-63FC07482AB6}" sibTransId="{E11E230D-284B-4343-9B2E-2ED2D49BFDFC}"/>
    <dgm:cxn modelId="{BC6EF6BD-A77A-374C-9CF5-BD04A49B3179}" srcId="{0F665056-1E4E-8E4F-899D-A9F09EF35F17}" destId="{8077C799-B5F3-E44D-B787-566105FD46ED}" srcOrd="0" destOrd="0" parTransId="{1912BE2E-98C2-F74E-AD84-5D81DC47476C}" sibTransId="{AF0C7F7F-5813-8F4D-A1CA-A202CFEC731D}"/>
    <dgm:cxn modelId="{55E08F64-E5C6-EC4B-B891-84990FF08E06}" srcId="{F9D81329-6E1F-2546-B1A5-635288157189}" destId="{2D2DC5BF-6C9E-F841-BD33-368527463C6C}" srcOrd="0" destOrd="0" parTransId="{BDB178ED-6D82-A947-9932-66E20A50E491}" sibTransId="{0E2424CB-35A0-D248-9A99-9F6AB0AD0F39}"/>
    <dgm:cxn modelId="{AACE17C7-8EF8-0F4F-9C30-F7FD327EE275}" srcId="{B569FF41-3782-0E4B-BE1F-984605E1A248}" destId="{D45CEE4E-F403-684B-9EFD-C03047B1608A}" srcOrd="0" destOrd="0" parTransId="{2C88DA92-0958-B642-B84B-FE6BD8A67228}" sibTransId="{4C6D18BC-CB72-0B4C-B9F3-4975CFEF7D59}"/>
    <dgm:cxn modelId="{59D83E53-253E-B646-BB5B-0E08A07867A0}" srcId="{A77C3A82-6D84-524E-A60E-4928146E9D36}" destId="{E91774B8-5809-E04A-A981-60AB80F570E4}" srcOrd="0" destOrd="0" parTransId="{D3220207-4017-634A-9B27-77DCCAE2B7EF}" sibTransId="{AF0F1B6F-E865-BE44-8974-55DD17B85E6D}"/>
    <dgm:cxn modelId="{BF19A224-FA1F-43A6-85C9-DF9A50652F99}" type="presOf" srcId="{A77C3A82-6D84-524E-A60E-4928146E9D36}" destId="{EBDDCFD3-D323-FC4E-AFD5-48EB9A2B64FD}" srcOrd="0" destOrd="0" presId="urn:microsoft.com/office/officeart/2005/8/layout/hierarchy4"/>
    <dgm:cxn modelId="{B96F1752-180A-46A3-9ADE-D35C7B68A853}" type="presOf" srcId="{E91774B8-5809-E04A-A981-60AB80F570E4}" destId="{2F7F804C-0229-8147-B9CE-74AA1CBD15D4}" srcOrd="0" destOrd="0" presId="urn:microsoft.com/office/officeart/2005/8/layout/hierarchy4"/>
    <dgm:cxn modelId="{D053E6C9-F313-4DD2-8D84-43085959D901}" type="presParOf" srcId="{5EC43990-8C8F-DD4C-99AA-51ED40F432EF}" destId="{8065BF19-84EB-A144-8249-8F79F736BECB}" srcOrd="0" destOrd="0" presId="urn:microsoft.com/office/officeart/2005/8/layout/hierarchy4"/>
    <dgm:cxn modelId="{DCA3D154-18BB-4235-A621-0D9D4FAF2BEC}" type="presParOf" srcId="{8065BF19-84EB-A144-8249-8F79F736BECB}" destId="{90097EEC-766E-7446-83BE-F8B272EF7B58}" srcOrd="0" destOrd="0" presId="urn:microsoft.com/office/officeart/2005/8/layout/hierarchy4"/>
    <dgm:cxn modelId="{0CD196D9-230C-42D9-9368-29A6260DF6BC}" type="presParOf" srcId="{8065BF19-84EB-A144-8249-8F79F736BECB}" destId="{3B068C77-F67A-7547-A4B1-771E07A5320C}" srcOrd="1" destOrd="0" presId="urn:microsoft.com/office/officeart/2005/8/layout/hierarchy4"/>
    <dgm:cxn modelId="{8B6ABBCC-BF0C-4898-9B4A-15637D7CE64A}" type="presParOf" srcId="{8065BF19-84EB-A144-8249-8F79F736BECB}" destId="{5C90A084-DED9-4247-8154-0EB9001C289B}" srcOrd="2" destOrd="0" presId="urn:microsoft.com/office/officeart/2005/8/layout/hierarchy4"/>
    <dgm:cxn modelId="{984F1A8A-FA92-4056-A228-7F438C9BE746}" type="presParOf" srcId="{5C90A084-DED9-4247-8154-0EB9001C289B}" destId="{9C19943A-3C5A-5C4D-A3A9-1AC32DC3018F}" srcOrd="0" destOrd="0" presId="urn:microsoft.com/office/officeart/2005/8/layout/hierarchy4"/>
    <dgm:cxn modelId="{A1D9CD05-6817-4CF8-A3F7-1A8E24C396F7}" type="presParOf" srcId="{9C19943A-3C5A-5C4D-A3A9-1AC32DC3018F}" destId="{318DA991-7F8F-AB41-98C2-7E23E0D0AF2D}" srcOrd="0" destOrd="0" presId="urn:microsoft.com/office/officeart/2005/8/layout/hierarchy4"/>
    <dgm:cxn modelId="{5BE63A9A-4478-4E22-A24C-5466432A6E3D}" type="presParOf" srcId="{9C19943A-3C5A-5C4D-A3A9-1AC32DC3018F}" destId="{5FADDB81-EEF2-3B48-A962-BC7A6B15F844}" srcOrd="1" destOrd="0" presId="urn:microsoft.com/office/officeart/2005/8/layout/hierarchy4"/>
    <dgm:cxn modelId="{9E6BB2E6-E0D5-412C-AD30-07C0FAFC9E0C}" type="presParOf" srcId="{9C19943A-3C5A-5C4D-A3A9-1AC32DC3018F}" destId="{A4C64794-52AA-0B43-8A0C-55DBA942DAFC}" srcOrd="2" destOrd="0" presId="urn:microsoft.com/office/officeart/2005/8/layout/hierarchy4"/>
    <dgm:cxn modelId="{FE042101-C221-47EE-9249-376016396297}" type="presParOf" srcId="{A4C64794-52AA-0B43-8A0C-55DBA942DAFC}" destId="{FA2B5B40-D342-644B-B463-D9EDE074C5B6}" srcOrd="0" destOrd="0" presId="urn:microsoft.com/office/officeart/2005/8/layout/hierarchy4"/>
    <dgm:cxn modelId="{91112B94-F015-4C43-A237-71689282DBE9}" type="presParOf" srcId="{FA2B5B40-D342-644B-B463-D9EDE074C5B6}" destId="{18651BF8-1F38-BB4A-BE52-84A77DB905C6}" srcOrd="0" destOrd="0" presId="urn:microsoft.com/office/officeart/2005/8/layout/hierarchy4"/>
    <dgm:cxn modelId="{95FDA28E-3A80-483B-BE38-C69A08187C51}" type="presParOf" srcId="{FA2B5B40-D342-644B-B463-D9EDE074C5B6}" destId="{395265F9-37ED-804A-BC1D-B0151077C23B}" srcOrd="1" destOrd="0" presId="urn:microsoft.com/office/officeart/2005/8/layout/hierarchy4"/>
    <dgm:cxn modelId="{81473532-E673-4034-A35B-8B21DA8C1EC8}" type="presParOf" srcId="{5C90A084-DED9-4247-8154-0EB9001C289B}" destId="{BE081FB4-F69F-2B41-AE37-1E501089D853}" srcOrd="1" destOrd="0" presId="urn:microsoft.com/office/officeart/2005/8/layout/hierarchy4"/>
    <dgm:cxn modelId="{130EAEEF-659E-4389-861E-BD4EBEBBC7EF}" type="presParOf" srcId="{5C90A084-DED9-4247-8154-0EB9001C289B}" destId="{02DBFD2F-C26C-024F-BECC-78E1CFFFBA30}" srcOrd="2" destOrd="0" presId="urn:microsoft.com/office/officeart/2005/8/layout/hierarchy4"/>
    <dgm:cxn modelId="{8A009E85-4504-465B-B26C-57B98DDA9DBD}" type="presParOf" srcId="{02DBFD2F-C26C-024F-BECC-78E1CFFFBA30}" destId="{EBDDCFD3-D323-FC4E-AFD5-48EB9A2B64FD}" srcOrd="0" destOrd="0" presId="urn:microsoft.com/office/officeart/2005/8/layout/hierarchy4"/>
    <dgm:cxn modelId="{7B3B0729-D350-425D-8500-189EB4661BAA}" type="presParOf" srcId="{02DBFD2F-C26C-024F-BECC-78E1CFFFBA30}" destId="{2DA4F4A9-300C-8F4B-843F-9DAD7A51F8DB}" srcOrd="1" destOrd="0" presId="urn:microsoft.com/office/officeart/2005/8/layout/hierarchy4"/>
    <dgm:cxn modelId="{01C425BE-C5BE-400B-B7AB-E18200BEEB83}" type="presParOf" srcId="{02DBFD2F-C26C-024F-BECC-78E1CFFFBA30}" destId="{95C6BA10-08BA-2B45-A85D-5E9F1B626EEC}" srcOrd="2" destOrd="0" presId="urn:microsoft.com/office/officeart/2005/8/layout/hierarchy4"/>
    <dgm:cxn modelId="{3BE82CF2-6C9D-41ED-872B-E749366BDD1A}" type="presParOf" srcId="{95C6BA10-08BA-2B45-A85D-5E9F1B626EEC}" destId="{7B16CC97-2B68-F548-94FA-4CC0A6408090}" srcOrd="0" destOrd="0" presId="urn:microsoft.com/office/officeart/2005/8/layout/hierarchy4"/>
    <dgm:cxn modelId="{7BE79E45-3B73-4F56-B907-A30EE9814F1A}" type="presParOf" srcId="{7B16CC97-2B68-F548-94FA-4CC0A6408090}" destId="{2F7F804C-0229-8147-B9CE-74AA1CBD15D4}" srcOrd="0" destOrd="0" presId="urn:microsoft.com/office/officeart/2005/8/layout/hierarchy4"/>
    <dgm:cxn modelId="{3EC49947-1619-4C4E-BB38-D03D9E88961E}" type="presParOf" srcId="{7B16CC97-2B68-F548-94FA-4CC0A6408090}" destId="{0FE18469-3370-E745-8656-7EAF0B850AF2}" srcOrd="1" destOrd="0" presId="urn:microsoft.com/office/officeart/2005/8/layout/hierarchy4"/>
    <dgm:cxn modelId="{6311B80F-640B-49D0-8316-10CFF4242A1D}" type="presParOf" srcId="{5C90A084-DED9-4247-8154-0EB9001C289B}" destId="{ABCDABA0-2EC8-E54B-868B-928F37389729}" srcOrd="3" destOrd="0" presId="urn:microsoft.com/office/officeart/2005/8/layout/hierarchy4"/>
    <dgm:cxn modelId="{62FFEB37-8920-4464-96CE-99F4DF4A76B9}" type="presParOf" srcId="{5C90A084-DED9-4247-8154-0EB9001C289B}" destId="{28DD930D-52F0-8E45-B0E6-542520F873C2}" srcOrd="4" destOrd="0" presId="urn:microsoft.com/office/officeart/2005/8/layout/hierarchy4"/>
    <dgm:cxn modelId="{9E95163A-6786-4AC5-8DAA-97EF0DB306E5}" type="presParOf" srcId="{28DD930D-52F0-8E45-B0E6-542520F873C2}" destId="{46F8B180-2E72-AE43-8900-5F261E1B84BD}" srcOrd="0" destOrd="0" presId="urn:microsoft.com/office/officeart/2005/8/layout/hierarchy4"/>
    <dgm:cxn modelId="{F4089EEF-0A1C-4FE8-82BC-5CF0C7014882}" type="presParOf" srcId="{28DD930D-52F0-8E45-B0E6-542520F873C2}" destId="{CD0CAAA9-3AA5-BD40-ACE0-7162114C6A40}" srcOrd="1" destOrd="0" presId="urn:microsoft.com/office/officeart/2005/8/layout/hierarchy4"/>
    <dgm:cxn modelId="{412A36B9-8B01-40AE-AAE7-ECC0EA5D9B8B}" type="presParOf" srcId="{28DD930D-52F0-8E45-B0E6-542520F873C2}" destId="{B868E002-271F-4044-AB4B-85A0120C7B01}" srcOrd="2" destOrd="0" presId="urn:microsoft.com/office/officeart/2005/8/layout/hierarchy4"/>
    <dgm:cxn modelId="{66DBBA80-168E-4C77-8A23-EA1E80EB6F03}" type="presParOf" srcId="{B868E002-271F-4044-AB4B-85A0120C7B01}" destId="{3CDA1E17-6D7E-C343-97BD-3063D34EB5FC}" srcOrd="0" destOrd="0" presId="urn:microsoft.com/office/officeart/2005/8/layout/hierarchy4"/>
    <dgm:cxn modelId="{ADD949B2-51A8-482C-829D-24255CCDCCBE}" type="presParOf" srcId="{3CDA1E17-6D7E-C343-97BD-3063D34EB5FC}" destId="{AAAB5DFB-65BB-2741-961A-BE3246A07D35}" srcOrd="0" destOrd="0" presId="urn:microsoft.com/office/officeart/2005/8/layout/hierarchy4"/>
    <dgm:cxn modelId="{D7528547-4CF3-4C6B-8EBD-EE949F127BB0}" type="presParOf" srcId="{3CDA1E17-6D7E-C343-97BD-3063D34EB5FC}" destId="{FAD48B2C-B74E-A842-9369-5D6AA8180B25}" srcOrd="1" destOrd="0" presId="urn:microsoft.com/office/officeart/2005/8/layout/hierarchy4"/>
    <dgm:cxn modelId="{C79B0A56-4725-46E7-8180-814249AE479D}" type="presParOf" srcId="{5C90A084-DED9-4247-8154-0EB9001C289B}" destId="{B888CF7C-2A5E-F541-8C2D-CDE38E8A5FFE}" srcOrd="5" destOrd="0" presId="urn:microsoft.com/office/officeart/2005/8/layout/hierarchy4"/>
    <dgm:cxn modelId="{D723A545-FFC6-4083-816E-FF9689524B16}" type="presParOf" srcId="{5C90A084-DED9-4247-8154-0EB9001C289B}" destId="{E3312A52-710E-8040-9D4F-90C362AA1C76}" srcOrd="6" destOrd="0" presId="urn:microsoft.com/office/officeart/2005/8/layout/hierarchy4"/>
    <dgm:cxn modelId="{15B09D3F-533D-48E5-891B-957B4039CB94}" type="presParOf" srcId="{E3312A52-710E-8040-9D4F-90C362AA1C76}" destId="{4A367B90-D384-B440-AB27-9D7C7D3611A2}" srcOrd="0" destOrd="0" presId="urn:microsoft.com/office/officeart/2005/8/layout/hierarchy4"/>
    <dgm:cxn modelId="{9B035C9F-EB24-4A81-8C4A-C9DF7CA70996}" type="presParOf" srcId="{E3312A52-710E-8040-9D4F-90C362AA1C76}" destId="{960A8416-C5E1-E14D-A0D2-07446B49E656}" srcOrd="1" destOrd="0" presId="urn:microsoft.com/office/officeart/2005/8/layout/hierarchy4"/>
    <dgm:cxn modelId="{E745DA60-7BB6-4CC8-B666-63ADFE682640}" type="presParOf" srcId="{E3312A52-710E-8040-9D4F-90C362AA1C76}" destId="{91C2135C-4A52-BE48-BF4D-3A635F87CB0D}" srcOrd="2" destOrd="0" presId="urn:microsoft.com/office/officeart/2005/8/layout/hierarchy4"/>
    <dgm:cxn modelId="{45DC5A56-9206-4F04-B32B-0080DAC5023C}" type="presParOf" srcId="{91C2135C-4A52-BE48-BF4D-3A635F87CB0D}" destId="{C15C8767-4B83-574D-AD77-47402E3ACDC2}" srcOrd="0" destOrd="0" presId="urn:microsoft.com/office/officeart/2005/8/layout/hierarchy4"/>
    <dgm:cxn modelId="{0B2B3667-3078-4F2B-8114-1990BE37CED7}" type="presParOf" srcId="{C15C8767-4B83-574D-AD77-47402E3ACDC2}" destId="{77AF7BC7-2CA6-3449-B394-4F038B14FF68}" srcOrd="0" destOrd="0" presId="urn:microsoft.com/office/officeart/2005/8/layout/hierarchy4"/>
    <dgm:cxn modelId="{36B1AB8D-6096-4953-9990-4BB54C8F75B0}" type="presParOf" srcId="{C15C8767-4B83-574D-AD77-47402E3ACDC2}" destId="{6F6F1A1C-B8F6-944D-9DB4-9E995E891B1E}" srcOrd="1" destOrd="0" presId="urn:microsoft.com/office/officeart/2005/8/layout/hierarchy4"/>
    <dgm:cxn modelId="{13FF2CF2-3E26-4826-89E1-EC5D955568AF}" type="presParOf" srcId="{5C90A084-DED9-4247-8154-0EB9001C289B}" destId="{5D66A8C3-EF83-3B4B-8356-7F09A0CA5F23}" srcOrd="7" destOrd="0" presId="urn:microsoft.com/office/officeart/2005/8/layout/hierarchy4"/>
    <dgm:cxn modelId="{D7A99B3A-59BC-4E1E-B9A3-24DFE5ACF6F7}" type="presParOf" srcId="{5C90A084-DED9-4247-8154-0EB9001C289B}" destId="{8B5DE50D-6591-3A4E-AFE6-7F9A7105924F}" srcOrd="8" destOrd="0" presId="urn:microsoft.com/office/officeart/2005/8/layout/hierarchy4"/>
    <dgm:cxn modelId="{CC259CB1-FD6A-4527-B790-52C8D940A5BD}" type="presParOf" srcId="{8B5DE50D-6591-3A4E-AFE6-7F9A7105924F}" destId="{56196267-AF40-2F40-9CB6-92F53ECF4149}" srcOrd="0" destOrd="0" presId="urn:microsoft.com/office/officeart/2005/8/layout/hierarchy4"/>
    <dgm:cxn modelId="{C0EF586F-0873-49CA-B424-8F91B245B918}" type="presParOf" srcId="{8B5DE50D-6591-3A4E-AFE6-7F9A7105924F}" destId="{ED20508A-73F0-A549-9CEB-64FF73AAB381}" srcOrd="1" destOrd="0" presId="urn:microsoft.com/office/officeart/2005/8/layout/hierarchy4"/>
    <dgm:cxn modelId="{FC413615-D3B3-4F4D-8455-98A9ACB85709}" type="presParOf" srcId="{8B5DE50D-6591-3A4E-AFE6-7F9A7105924F}" destId="{DA4C0A76-9489-9542-A5D9-23744034E6BE}" srcOrd="2" destOrd="0" presId="urn:microsoft.com/office/officeart/2005/8/layout/hierarchy4"/>
    <dgm:cxn modelId="{7A10ED68-869F-4854-A697-BA000564BA86}" type="presParOf" srcId="{DA4C0A76-9489-9542-A5D9-23744034E6BE}" destId="{5652EBC7-0ECE-9345-A1A4-1A53B10269D4}" srcOrd="0" destOrd="0" presId="urn:microsoft.com/office/officeart/2005/8/layout/hierarchy4"/>
    <dgm:cxn modelId="{75D5C46E-7727-470F-8C61-D9C7664C00F2}" type="presParOf" srcId="{5652EBC7-0ECE-9345-A1A4-1A53B10269D4}" destId="{05A92AB4-B297-9B44-93F7-2A6786ECB534}" srcOrd="0" destOrd="0" presId="urn:microsoft.com/office/officeart/2005/8/layout/hierarchy4"/>
    <dgm:cxn modelId="{87D22311-4EA0-4DCD-BC02-BFAFD3375528}" type="presParOf" srcId="{5652EBC7-0ECE-9345-A1A4-1A53B10269D4}" destId="{3E636DD5-C7FF-C244-9242-AB42A138D075}" srcOrd="1" destOrd="0" presId="urn:microsoft.com/office/officeart/2005/8/layout/hierarchy4"/>
    <dgm:cxn modelId="{8E9DBF2E-BDE4-4978-810B-95B0A2071E22}" type="presParOf" srcId="{5C90A084-DED9-4247-8154-0EB9001C289B}" destId="{54BF5FD2-B4C3-CC4B-9B78-4643108AB77C}" srcOrd="9" destOrd="0" presId="urn:microsoft.com/office/officeart/2005/8/layout/hierarchy4"/>
    <dgm:cxn modelId="{91F7F412-8D45-4E72-97BC-08A71EC417E7}" type="presParOf" srcId="{5C90A084-DED9-4247-8154-0EB9001C289B}" destId="{23264867-DCF3-624C-B87E-9DDC40E18878}" srcOrd="10" destOrd="0" presId="urn:microsoft.com/office/officeart/2005/8/layout/hierarchy4"/>
    <dgm:cxn modelId="{D4F1352F-F7FF-4BFB-A703-CDA8696C5954}" type="presParOf" srcId="{23264867-DCF3-624C-B87E-9DDC40E18878}" destId="{55E78CAA-6D34-A248-82CE-2B8D14256034}" srcOrd="0" destOrd="0" presId="urn:microsoft.com/office/officeart/2005/8/layout/hierarchy4"/>
    <dgm:cxn modelId="{ABAD67BF-340F-414E-9D65-424C4F2EECA6}" type="presParOf" srcId="{23264867-DCF3-624C-B87E-9DDC40E18878}" destId="{BCB093B9-B4F3-3145-BCE8-5D79A159AD3D}" srcOrd="1" destOrd="0" presId="urn:microsoft.com/office/officeart/2005/8/layout/hierarchy4"/>
    <dgm:cxn modelId="{E7C9EB04-0FC9-4A68-8A0F-45D6CBF88A69}" type="presParOf" srcId="{23264867-DCF3-624C-B87E-9DDC40E18878}" destId="{2BAC1C20-9DFC-494A-B343-8A1AABF57C20}" srcOrd="2" destOrd="0" presId="urn:microsoft.com/office/officeart/2005/8/layout/hierarchy4"/>
    <dgm:cxn modelId="{F6549856-7775-4EC0-BC42-B0ABE750253E}" type="presParOf" srcId="{2BAC1C20-9DFC-494A-B343-8A1AABF57C20}" destId="{1997BDEE-DA3C-C141-9379-20E8009C258A}" srcOrd="0" destOrd="0" presId="urn:microsoft.com/office/officeart/2005/8/layout/hierarchy4"/>
    <dgm:cxn modelId="{30657645-D563-474B-B255-BAEB6F03FEA9}" type="presParOf" srcId="{1997BDEE-DA3C-C141-9379-20E8009C258A}" destId="{88A98ACF-C5E5-6148-A094-7F80DCE2676A}" srcOrd="0" destOrd="0" presId="urn:microsoft.com/office/officeart/2005/8/layout/hierarchy4"/>
    <dgm:cxn modelId="{7AE3C3C0-C6FC-4B1D-99F6-ADDB27B83BD2}" type="presParOf" srcId="{1997BDEE-DA3C-C141-9379-20E8009C258A}" destId="{2FA7E1C2-63CA-2E42-A222-85A0332CBDB0}" srcOrd="1" destOrd="0" presId="urn:microsoft.com/office/officeart/2005/8/layout/hierarchy4"/>
    <dgm:cxn modelId="{BEE8A7C4-7622-4AA4-8654-F534AD6CE1DC}" type="presParOf" srcId="{5C90A084-DED9-4247-8154-0EB9001C289B}" destId="{C2657103-2D55-0942-80A4-5B389FA24B4E}" srcOrd="11" destOrd="0" presId="urn:microsoft.com/office/officeart/2005/8/layout/hierarchy4"/>
    <dgm:cxn modelId="{9CFC0683-D492-4FFE-AF33-AE0FCC433F8D}" type="presParOf" srcId="{5C90A084-DED9-4247-8154-0EB9001C289B}" destId="{0137DD6C-59A8-2845-827F-D31DE278B0C6}" srcOrd="12" destOrd="0" presId="urn:microsoft.com/office/officeart/2005/8/layout/hierarchy4"/>
    <dgm:cxn modelId="{5BD4308B-9CFC-4C1D-8E61-9DE1D1CCEF16}" type="presParOf" srcId="{0137DD6C-59A8-2845-827F-D31DE278B0C6}" destId="{9A5363E9-F583-014E-9114-A649CF10A552}" srcOrd="0" destOrd="0" presId="urn:microsoft.com/office/officeart/2005/8/layout/hierarchy4"/>
    <dgm:cxn modelId="{3BED71BF-6D26-4698-9802-9764D1AB81FF}" type="presParOf" srcId="{0137DD6C-59A8-2845-827F-D31DE278B0C6}" destId="{3C7A899D-9022-3048-B5AF-0891D311D03E}" srcOrd="1" destOrd="0" presId="urn:microsoft.com/office/officeart/2005/8/layout/hierarchy4"/>
    <dgm:cxn modelId="{CECCAD00-5E54-4EE2-8730-B74DD4E676F0}" type="presParOf" srcId="{0137DD6C-59A8-2845-827F-D31DE278B0C6}" destId="{982053EF-29BD-A243-B627-A2BFB8F87BDE}" srcOrd="2" destOrd="0" presId="urn:microsoft.com/office/officeart/2005/8/layout/hierarchy4"/>
    <dgm:cxn modelId="{DBA84CA3-3635-412A-8EB2-3C22073E42F0}" type="presParOf" srcId="{982053EF-29BD-A243-B627-A2BFB8F87BDE}" destId="{9B5D1686-9C70-CF4E-880A-E219137E72EE}" srcOrd="0" destOrd="0" presId="urn:microsoft.com/office/officeart/2005/8/layout/hierarchy4"/>
    <dgm:cxn modelId="{66F40BC2-245C-4F55-8EB6-9641F53E327C}" type="presParOf" srcId="{9B5D1686-9C70-CF4E-880A-E219137E72EE}" destId="{B2E6D841-0079-7E40-9EFB-A8BB889E48CD}" srcOrd="0" destOrd="0" presId="urn:microsoft.com/office/officeart/2005/8/layout/hierarchy4"/>
    <dgm:cxn modelId="{573E16F9-725B-4A09-917B-5F03EB883B4B}" type="presParOf" srcId="{9B5D1686-9C70-CF4E-880A-E219137E72EE}" destId="{F088FAA4-45C6-C745-83EA-44FE21C96907}" srcOrd="1" destOrd="0" presId="urn:microsoft.com/office/officeart/2005/8/layout/hierarchy4"/>
    <dgm:cxn modelId="{EBD84A00-A6E4-4D21-A4D7-162BBE0DA6E2}" type="presParOf" srcId="{5C90A084-DED9-4247-8154-0EB9001C289B}" destId="{819390F2-2178-5146-86CC-F2051F1B8C21}" srcOrd="13" destOrd="0" presId="urn:microsoft.com/office/officeart/2005/8/layout/hierarchy4"/>
    <dgm:cxn modelId="{60BF0137-E998-4E79-B307-6AA7C526B093}" type="presParOf" srcId="{5C90A084-DED9-4247-8154-0EB9001C289B}" destId="{1689D95D-CDA5-444D-8390-8C3776325826}" srcOrd="14" destOrd="0" presId="urn:microsoft.com/office/officeart/2005/8/layout/hierarchy4"/>
    <dgm:cxn modelId="{35B6CA0D-4D3E-4B78-BDE2-45F7349C79C8}" type="presParOf" srcId="{1689D95D-CDA5-444D-8390-8C3776325826}" destId="{D0E0FB2A-3CA6-AA49-9279-D6854D929E6A}" srcOrd="0" destOrd="0" presId="urn:microsoft.com/office/officeart/2005/8/layout/hierarchy4"/>
    <dgm:cxn modelId="{C02E78D9-E21C-4196-B523-35362546C0F2}" type="presParOf" srcId="{1689D95D-CDA5-444D-8390-8C3776325826}" destId="{AD3E6DB6-538A-FD46-8D2C-11377B195A01}" srcOrd="1" destOrd="0" presId="urn:microsoft.com/office/officeart/2005/8/layout/hierarchy4"/>
    <dgm:cxn modelId="{A94E6DD6-9924-4E34-9E82-C723863A06C7}" type="presParOf" srcId="{1689D95D-CDA5-444D-8390-8C3776325826}" destId="{47BAE766-22BB-2447-8017-4CC8957E81FD}" srcOrd="2" destOrd="0" presId="urn:microsoft.com/office/officeart/2005/8/layout/hierarchy4"/>
    <dgm:cxn modelId="{E8D8FFBD-036E-448B-A547-1E3A6E11A842}" type="presParOf" srcId="{47BAE766-22BB-2447-8017-4CC8957E81FD}" destId="{A09035E9-54DF-FB47-86BD-571DDBBD6262}" srcOrd="0" destOrd="0" presId="urn:microsoft.com/office/officeart/2005/8/layout/hierarchy4"/>
    <dgm:cxn modelId="{76BA58AE-DFAA-4A6C-B616-FEBC3E3570E5}" type="presParOf" srcId="{A09035E9-54DF-FB47-86BD-571DDBBD6262}" destId="{0B43B9C4-18A8-8A4F-A35B-6804BFBC6153}" srcOrd="0" destOrd="0" presId="urn:microsoft.com/office/officeart/2005/8/layout/hierarchy4"/>
    <dgm:cxn modelId="{649C7258-CCB4-462E-9D68-20119D110DFD}" type="presParOf" srcId="{A09035E9-54DF-FB47-86BD-571DDBBD6262}" destId="{D958671E-8FB6-CD4B-AAAE-0BDBF4D1C124}" srcOrd="1" destOrd="0" presId="urn:microsoft.com/office/officeart/2005/8/layout/hierarchy4"/>
    <dgm:cxn modelId="{29CA0212-A192-417C-B6AC-2BC809DBB1E5}" type="presParOf" srcId="{5C90A084-DED9-4247-8154-0EB9001C289B}" destId="{2D166BC0-FECF-D145-89B4-3481D4D9AAC8}" srcOrd="15" destOrd="0" presId="urn:microsoft.com/office/officeart/2005/8/layout/hierarchy4"/>
    <dgm:cxn modelId="{853FE8C1-CC4F-46C4-9605-58E550109D86}" type="presParOf" srcId="{5C90A084-DED9-4247-8154-0EB9001C289B}" destId="{D3515F63-766C-A34A-9571-72CC8013AC93}" srcOrd="16" destOrd="0" presId="urn:microsoft.com/office/officeart/2005/8/layout/hierarchy4"/>
    <dgm:cxn modelId="{091BC665-E742-4209-B037-7CD18D18FE3F}" type="presParOf" srcId="{D3515F63-766C-A34A-9571-72CC8013AC93}" destId="{5AF8245B-8188-8744-8EA9-322D3C8F2B05}" srcOrd="0" destOrd="0" presId="urn:microsoft.com/office/officeart/2005/8/layout/hierarchy4"/>
    <dgm:cxn modelId="{D3F8A8B8-2F10-482D-8D77-DA78BB9E1877}" type="presParOf" srcId="{D3515F63-766C-A34A-9571-72CC8013AC93}" destId="{4FCE3F87-C6FE-D648-A4A8-63092B36CEF3}" srcOrd="1" destOrd="0" presId="urn:microsoft.com/office/officeart/2005/8/layout/hierarchy4"/>
    <dgm:cxn modelId="{082B1138-9CF6-4B90-B2AB-EC72FF21D01D}" type="presParOf" srcId="{D3515F63-766C-A34A-9571-72CC8013AC93}" destId="{34CA4660-61AC-B948-A74F-6415A514D426}" srcOrd="2" destOrd="0" presId="urn:microsoft.com/office/officeart/2005/8/layout/hierarchy4"/>
    <dgm:cxn modelId="{CE088972-9DF1-4CD8-B769-54B5431E6AFB}" type="presParOf" srcId="{34CA4660-61AC-B948-A74F-6415A514D426}" destId="{F6B38F1E-0189-6E4B-A24E-9572442285A5}" srcOrd="0" destOrd="0" presId="urn:microsoft.com/office/officeart/2005/8/layout/hierarchy4"/>
    <dgm:cxn modelId="{5E853ADD-0F7E-4D5E-B6A8-D90790CB52F1}" type="presParOf" srcId="{F6B38F1E-0189-6E4B-A24E-9572442285A5}" destId="{289BD9CD-E8D5-AC48-BE4D-EDFF0BC432A7}" srcOrd="0" destOrd="0" presId="urn:microsoft.com/office/officeart/2005/8/layout/hierarchy4"/>
    <dgm:cxn modelId="{77336554-574C-453D-BF32-F7807CD88799}"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solidFill>
                <a:schemeClr val="accent2"/>
              </a:solidFill>
            </a:rPr>
            <a:t>Total AUM: </a:t>
          </a:r>
          <a:r>
            <a:rPr lang="is-IS" sz="2000" kern="1200">
              <a:solidFill>
                <a:schemeClr val="accent2"/>
              </a:solidFill>
            </a:rPr>
            <a:t>248.53M </a:t>
          </a:r>
          <a:r>
            <a:rPr lang="en-US" sz="2000" kern="1200">
              <a:solidFill>
                <a:schemeClr val="accent2"/>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t-IT" sz="1200" b="0" i="0" u="none" kern="1200"/>
            <a:t>64%</a:t>
          </a:r>
          <a:endParaRPr lang="en-US" sz="12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0" i="0" u="none" kern="1200"/>
            <a:t>33%</a:t>
          </a:r>
          <a:endParaRPr lang="en-US" sz="12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0" i="0" u="none" kern="1200"/>
            <a:t>8%</a:t>
          </a:r>
          <a:endParaRPr lang="en-US" sz="12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t-IT" sz="1200" b="0" i="0" u="none" kern="1200"/>
            <a:t>1%</a:t>
          </a:r>
          <a:endParaRPr lang="en-US" sz="12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0" i="0" u="none" kern="1200"/>
            <a:t>0.5%</a:t>
          </a:r>
          <a:endParaRPr lang="en-US" sz="12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t-IT" sz="1200" b="0" i="0" u="none" kern="1200"/>
            <a:t>-1%</a:t>
          </a:r>
          <a:endParaRPr lang="en-US" sz="12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t-IT" sz="1200" b="0" i="0" u="none" kern="1200"/>
            <a:t>-7%</a:t>
          </a:r>
          <a:endParaRPr lang="en-US" sz="12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
      <w:docPartPr>
        <w:name w:val="3E94E90A42B9154E8917F9818716AAC0"/>
        <w:category>
          <w:name w:val="General"/>
          <w:gallery w:val="placeholder"/>
        </w:category>
        <w:types>
          <w:type w:val="bbPlcHdr"/>
        </w:types>
        <w:behaviors>
          <w:behavior w:val="content"/>
        </w:behaviors>
        <w:guid w:val="{74E28187-1F38-DD4E-84B7-7DF372D78CC2}"/>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3E94E90A42B9154E8917F9818716AAC0"/>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B6D72F6AEA404C47AC2188BC588810E7"/>
        <w:category>
          <w:name w:val="General"/>
          <w:gallery w:val="placeholder"/>
        </w:category>
        <w:types>
          <w:type w:val="bbPlcHdr"/>
        </w:types>
        <w:behaviors>
          <w:behavior w:val="content"/>
        </w:behaviors>
        <w:guid w:val="{0A11F2EB-6134-A84A-830A-624171E6C867}"/>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B6D72F6AEA404C47AC2188BC588810E7"/>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163C3A"/>
    <w:rsid w:val="001F6DD5"/>
    <w:rsid w:val="00240311"/>
    <w:rsid w:val="00311862"/>
    <w:rsid w:val="003F572B"/>
    <w:rsid w:val="00487448"/>
    <w:rsid w:val="004B09F6"/>
    <w:rsid w:val="0060637B"/>
    <w:rsid w:val="00646138"/>
    <w:rsid w:val="00767204"/>
    <w:rsid w:val="008514B4"/>
    <w:rsid w:val="00A15F3E"/>
    <w:rsid w:val="00BC44ED"/>
    <w:rsid w:val="00C32F99"/>
    <w:rsid w:val="00D7235C"/>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5B9BD5"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D4F4E-D954-48CA-9A15-1FEA532A9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sergio.ortizorendain</cp:lastModifiedBy>
  <cp:revision>2</cp:revision>
  <cp:lastPrinted>2016-07-10T21:45:00Z</cp:lastPrinted>
  <dcterms:created xsi:type="dcterms:W3CDTF">2016-07-17T01:21:00Z</dcterms:created>
  <dcterms:modified xsi:type="dcterms:W3CDTF">2016-07-17T01:21:00Z</dcterms:modified>
  <cp:category/>
</cp:coreProperties>
</file>