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EF" w:rsidRDefault="000C017A" w:rsidP="000C017A">
      <w:pPr>
        <w:pStyle w:val="Heading1"/>
      </w:pPr>
      <w:r>
        <w:t xml:space="preserve">1 Year Monte Carlo Value at Risk Simulation </w:t>
      </w:r>
    </w:p>
    <w:p w:rsidR="000C017A" w:rsidRDefault="000C017A">
      <w:r>
        <w:t xml:space="preserve">GBM: CDS hazard rates, equities, option spot prices </w:t>
      </w:r>
    </w:p>
    <w:p w:rsidR="000C017A" w:rsidRDefault="000C017A">
      <w:r>
        <w:t xml:space="preserve">CIR: FX rates, bond spreads </w:t>
      </w:r>
    </w:p>
    <w:p w:rsidR="000C017A" w:rsidRDefault="000C017A">
      <w:proofErr w:type="spellStart"/>
      <w:r>
        <w:t>Vasicek</w:t>
      </w:r>
      <w:proofErr w:type="spellEnd"/>
      <w:r>
        <w:t xml:space="preserve">: Interest rates </w:t>
      </w:r>
    </w:p>
    <w:p w:rsidR="000C017A" w:rsidRDefault="000C017A">
      <w:r>
        <w:t xml:space="preserve">We assumed that cash flows were reinvested at the risk free rate </w:t>
      </w:r>
    </w:p>
    <w:p w:rsidR="000C017A" w:rsidRDefault="000C017A" w:rsidP="000C017A">
      <w:pPr>
        <w:pStyle w:val="Heading1"/>
      </w:pPr>
      <w:r>
        <w:t>Historic vs MC</w:t>
      </w:r>
    </w:p>
    <w:p w:rsidR="00E260FE" w:rsidRDefault="000C017A" w:rsidP="000C017A">
      <w:r>
        <w:t xml:space="preserve">Historic </w:t>
      </w:r>
      <w:proofErr w:type="spellStart"/>
      <w:r>
        <w:t>VaR</w:t>
      </w:r>
      <w:proofErr w:type="spellEnd"/>
      <w:r>
        <w:t xml:space="preserve"> is consistently larger than MC</w:t>
      </w:r>
      <w:r w:rsidR="00E260FE">
        <w:t xml:space="preserve">. This implies that our modeling assumptions may underestimate the risk in our portfolio. This is most likely due to incorrect distribution assumptions </w:t>
      </w:r>
      <w:r w:rsidR="005D40E8">
        <w:t xml:space="preserve">underlying the risk factor processes. In the MC, the calibrated data may not capture the correlations. </w:t>
      </w:r>
    </w:p>
    <w:p w:rsidR="00E260FE" w:rsidRDefault="00E260FE" w:rsidP="00E260FE">
      <w:pPr>
        <w:pStyle w:val="Heading1"/>
      </w:pPr>
      <w:r>
        <w:t xml:space="preserve">Credit Value at Risk </w:t>
      </w:r>
    </w:p>
    <w:p w:rsidR="00E260FE" w:rsidRDefault="005D40E8" w:rsidP="00E260FE">
      <w:proofErr w:type="spellStart"/>
      <w:r>
        <w:t>CreditMetrics</w:t>
      </w:r>
      <w:proofErr w:type="spellEnd"/>
      <w:r>
        <w:t xml:space="preserve"> Approach. </w:t>
      </w:r>
    </w:p>
    <w:p w:rsidR="005D40E8" w:rsidRDefault="005D40E8" w:rsidP="00E260FE">
      <w:r>
        <w:t>We split the CDS underlying and bond issuers into two separate Credit Risk calculations.</w:t>
      </w:r>
    </w:p>
    <w:p w:rsidR="005D40E8" w:rsidRDefault="005D40E8" w:rsidP="00E260FE">
      <w:r>
        <w:t xml:space="preserve">We used sector correlations as a proxy of the correlations. For the in sector correlations, we choose the smallest value such that the matrix remained positive semidefinite. </w:t>
      </w:r>
    </w:p>
    <w:p w:rsidR="005D40E8" w:rsidRDefault="005D40E8" w:rsidP="00E260FE">
      <w:r>
        <w:t xml:space="preserve">We assumed the shock occurred instantaneously because the theta was already considered in the 1 year market value at risk. </w:t>
      </w:r>
    </w:p>
    <w:p w:rsidR="005D40E8" w:rsidRPr="005D40E8" w:rsidRDefault="005D40E8" w:rsidP="005D40E8">
      <w:pPr>
        <w:tabs>
          <w:tab w:val="left" w:pos="416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CVaR=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CVa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bonds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+CVa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cds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  2ρ*CVa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bonds</m:t>
                  </m:r>
                </m:sub>
              </m:sSub>
              <m:r>
                <w:rPr>
                  <w:rFonts w:ascii="Cambria Math" w:hAnsi="Cambria Math"/>
                </w:rPr>
                <m:t>*CVa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cds</m:t>
                  </m:r>
                </m:sub>
              </m:sSub>
            </m:e>
          </m:rad>
        </m:oMath>
      </m:oMathPara>
    </w:p>
    <w:p w:rsidR="005D40E8" w:rsidRDefault="005D40E8" w:rsidP="005D40E8">
      <w:pPr>
        <w:tabs>
          <w:tab w:val="left" w:pos="4161"/>
        </w:tabs>
        <w:rPr>
          <w:rFonts w:eastAsiaTheme="minorEastAsia"/>
        </w:rPr>
      </w:pPr>
      <w:r>
        <w:rPr>
          <w:rFonts w:eastAsiaTheme="minorEastAsia"/>
        </w:rPr>
        <w:t xml:space="preserve">The Credit </w:t>
      </w:r>
      <w:proofErr w:type="spellStart"/>
      <w:r>
        <w:rPr>
          <w:rFonts w:eastAsiaTheme="minorEastAsia"/>
        </w:rPr>
        <w:t>VaR</w:t>
      </w:r>
      <w:proofErr w:type="spellEnd"/>
      <w:r>
        <w:rPr>
          <w:rFonts w:eastAsiaTheme="minorEastAsia"/>
        </w:rPr>
        <w:t xml:space="preserve"> for the bonds was much smaller than that of the CDS’s. For that reason, the correlation did not matter very much. We obtain a bound:</w:t>
      </w:r>
    </w:p>
    <w:p w:rsidR="005D40E8" w:rsidRPr="00C80566" w:rsidRDefault="005D40E8" w:rsidP="005D40E8">
      <w:pPr>
        <w:tabs>
          <w:tab w:val="left" w:pos="416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2.024162367211550e+07≤CVaR</m:t>
          </m:r>
          <m:r>
            <w:rPr>
              <w:rFonts w:ascii="Cambria Math" w:eastAsiaTheme="minorEastAsia" w:hAnsi="Cambria Math"/>
            </w:rPr>
            <m:t>≤2.286244039272529e+07</m:t>
          </m:r>
        </m:oMath>
      </m:oMathPara>
    </w:p>
    <w:p w:rsidR="00C80566" w:rsidRDefault="00C80566" w:rsidP="00C80566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Correlation between Market and Credit risk </w:t>
      </w:r>
    </w:p>
    <w:p w:rsidR="00C80566" w:rsidRPr="003A2810" w:rsidRDefault="00C80566" w:rsidP="00C80566">
      <w:pPr>
        <w:tabs>
          <w:tab w:val="left" w:pos="416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VaR=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MarketVa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+CreditVa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 2ρ*MarketVaR*CreditVaR</m:t>
              </m:r>
            </m:e>
          </m:rad>
        </m:oMath>
      </m:oMathPara>
    </w:p>
    <w:p w:rsidR="00C80566" w:rsidRDefault="00C80566" w:rsidP="005D40E8">
      <w:pPr>
        <w:tabs>
          <w:tab w:val="left" w:pos="4161"/>
        </w:tabs>
        <w:rPr>
          <w:rFonts w:eastAsiaTheme="minorEastAsia"/>
        </w:rPr>
      </w:pPr>
      <w:r>
        <w:rPr>
          <w:rFonts w:eastAsiaTheme="minorEastAsia"/>
        </w:rPr>
        <w:t>Combining the inequalities:</w:t>
      </w:r>
    </w:p>
    <w:p w:rsidR="00C80566" w:rsidRDefault="00C80566" w:rsidP="00C80566">
      <w:pPr>
        <w:tabs>
          <w:tab w:val="left" w:pos="4161"/>
        </w:tabs>
      </w:pPr>
      <w:r w:rsidRPr="00803D02">
        <w:t>8.917032286212245e+07</w:t>
      </w:r>
      <m:oMath>
        <m:r>
          <w:rPr>
            <w:rFonts w:ascii="Cambria Math" w:hAnsi="Cambria Math"/>
          </w:rPr>
          <m:t xml:space="preserve"> ≤</m:t>
        </m:r>
      </m:oMath>
      <w:r>
        <w:t xml:space="preserve">  TotalVaR.      </w:t>
      </w:r>
      <m:oMath>
        <m:r>
          <w:rPr>
            <w:rFonts w:ascii="Cambria Math" w:hAnsi="Cambria Math"/>
          </w:rPr>
          <m:t>≤</m:t>
        </m:r>
      </m:oMath>
      <w:r>
        <w:t xml:space="preserve">      </w:t>
      </w:r>
      <w:r w:rsidRPr="00803D02">
        <w:t>1.097049596471298e+08</w:t>
      </w:r>
    </w:p>
    <w:p w:rsidR="00C80566" w:rsidRDefault="00C80566" w:rsidP="005D40E8">
      <w:pPr>
        <w:tabs>
          <w:tab w:val="left" w:pos="4161"/>
        </w:tabs>
        <w:rPr>
          <w:rFonts w:eastAsiaTheme="minorEastAsia"/>
        </w:rPr>
      </w:pPr>
    </w:p>
    <w:p w:rsidR="005D40E8" w:rsidRPr="003A2810" w:rsidRDefault="00C80566" w:rsidP="00C80566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Model Vetting </w:t>
      </w:r>
    </w:p>
    <w:p w:rsidR="005D40E8" w:rsidRDefault="00C80566" w:rsidP="00E260FE">
      <w:r>
        <w:t>Look at the distribution</w:t>
      </w:r>
    </w:p>
    <w:p w:rsidR="00C80566" w:rsidRDefault="00C80566" w:rsidP="00E260FE">
      <w:r>
        <w:t xml:space="preserve">Compare the </w:t>
      </w:r>
      <w:proofErr w:type="spellStart"/>
      <w:r>
        <w:t>VaR</w:t>
      </w:r>
      <w:proofErr w:type="spellEnd"/>
      <w:r>
        <w:t xml:space="preserve"> to the total portfolio value </w:t>
      </w:r>
    </w:p>
    <w:p w:rsidR="00C80566" w:rsidRDefault="00C80566" w:rsidP="00E260FE">
      <w:r>
        <w:t xml:space="preserve">Compare pricing functions to current market prices today </w:t>
      </w:r>
    </w:p>
    <w:p w:rsidR="00C80566" w:rsidRDefault="00C80566" w:rsidP="00E260FE">
      <w:r>
        <w:lastRenderedPageBreak/>
        <w:t xml:space="preserve">Compare the historical </w:t>
      </w:r>
      <w:proofErr w:type="spellStart"/>
      <w:r>
        <w:t>VaR</w:t>
      </w:r>
      <w:proofErr w:type="spellEnd"/>
      <w:r>
        <w:t xml:space="preserve"> to the MC </w:t>
      </w:r>
      <w:proofErr w:type="spellStart"/>
      <w:r>
        <w:t>VaR</w:t>
      </w:r>
      <w:proofErr w:type="spellEnd"/>
    </w:p>
    <w:p w:rsidR="00C80566" w:rsidRDefault="00C80566" w:rsidP="00E260FE">
      <w:r>
        <w:t xml:space="preserve">Compare 1 year MC to the scaled value at risk from a 1 day simulation </w:t>
      </w:r>
    </w:p>
    <w:p w:rsidR="00C80566" w:rsidRDefault="00C80566" w:rsidP="00E260FE">
      <w:r w:rsidRPr="00C80566">
        <w:rPr>
          <w:rStyle w:val="Heading1Char"/>
        </w:rPr>
        <w:t>Back</w:t>
      </w:r>
      <w:r>
        <w:rPr>
          <w:rStyle w:val="Heading1Char"/>
        </w:rPr>
        <w:t xml:space="preserve"> testing</w:t>
      </w:r>
    </w:p>
    <w:p w:rsidR="00C80566" w:rsidRPr="00E260FE" w:rsidRDefault="00C80566" w:rsidP="00E260FE">
      <w:r>
        <w:t xml:space="preserve">Moving window and check the number of times we breach the </w:t>
      </w:r>
      <w:proofErr w:type="spellStart"/>
      <w:r>
        <w:t>VaR.</w:t>
      </w:r>
      <w:proofErr w:type="spellEnd"/>
      <w:r>
        <w:t xml:space="preserve"> The number of breaches is distributed according to a binomial distribution. Standard statistical tests were used to confirm that our models agreed with out of sam</w:t>
      </w:r>
      <w:bookmarkStart w:id="0" w:name="_GoBack"/>
      <w:bookmarkEnd w:id="0"/>
      <w:r>
        <w:t xml:space="preserve">ple data. </w:t>
      </w:r>
    </w:p>
    <w:sectPr w:rsidR="00C80566" w:rsidRPr="00E2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7A"/>
    <w:rsid w:val="000C017A"/>
    <w:rsid w:val="00233FBC"/>
    <w:rsid w:val="005D40E8"/>
    <w:rsid w:val="00C80566"/>
    <w:rsid w:val="00D200FF"/>
    <w:rsid w:val="00E2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C9AA4-C746-46E9-861E-A669298E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Shrott</dc:creator>
  <cp:keywords/>
  <dc:description/>
  <cp:lastModifiedBy>Ryan Shrott</cp:lastModifiedBy>
  <cp:revision>2</cp:revision>
  <dcterms:created xsi:type="dcterms:W3CDTF">2016-07-10T23:49:00Z</dcterms:created>
  <dcterms:modified xsi:type="dcterms:W3CDTF">2016-07-11T00:29:00Z</dcterms:modified>
</cp:coreProperties>
</file>