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3A7E8" w14:textId="560CFBB4" w:rsidR="00212AED" w:rsidRDefault="00212AED" w:rsidP="00DB73C3">
      <w:pPr>
        <w:ind w:left="720" w:hanging="720"/>
        <w:rPr>
          <w:noProof/>
        </w:rPr>
      </w:pPr>
      <w:r>
        <w:rPr>
          <w:noProof/>
        </w:rPr>
        <w:drawing>
          <wp:anchor distT="114300" distB="114300" distL="114300" distR="114300" simplePos="0" relativeHeight="251658241" behindDoc="1" locked="0" layoutInCell="0" hidden="0" allowOverlap="1" wp14:anchorId="32EE9303" wp14:editId="29BFA0E4">
            <wp:simplePos x="0" y="0"/>
            <wp:positionH relativeFrom="margin">
              <wp:posOffset>4571819</wp:posOffset>
            </wp:positionH>
            <wp:positionV relativeFrom="paragraph">
              <wp:posOffset>-241300</wp:posOffset>
            </wp:positionV>
            <wp:extent cx="1859915" cy="975360"/>
            <wp:effectExtent l="0" t="0" r="6985" b="0"/>
            <wp:wrapNone/>
            <wp:docPr id="31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975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4F692" w14:textId="0A5C2FDA" w:rsidR="00331455" w:rsidRDefault="00212AED" w:rsidP="00DB73C3">
      <w:pPr>
        <w:ind w:left="720" w:hanging="720"/>
      </w:pPr>
      <w:r>
        <w:rPr>
          <w:noProof/>
        </w:rPr>
        <w:drawing>
          <wp:anchor distT="114300" distB="114300" distL="114300" distR="114300" simplePos="0" relativeHeight="251658240" behindDoc="1" locked="0" layoutInCell="0" hidden="0" allowOverlap="1" wp14:anchorId="3DD8F32C" wp14:editId="6B9B8AFA">
            <wp:simplePos x="0" y="0"/>
            <wp:positionH relativeFrom="margin">
              <wp:posOffset>-507910</wp:posOffset>
            </wp:positionH>
            <wp:positionV relativeFrom="paragraph">
              <wp:posOffset>-573224</wp:posOffset>
            </wp:positionV>
            <wp:extent cx="3363685" cy="1197429"/>
            <wp:effectExtent l="0" t="0" r="0" b="3175"/>
            <wp:wrapNone/>
            <wp:docPr id="3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t="-4022" b="-4022"/>
                    <a:stretch>
                      <a:fillRect/>
                    </a:stretch>
                  </pic:blipFill>
                  <pic:spPr>
                    <a:xfrm>
                      <a:off x="0" y="0"/>
                      <a:ext cx="3396300" cy="1209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2B4E9" w14:textId="0BCE6CFE" w:rsidR="00B42D15" w:rsidRDefault="00B42D15" w:rsidP="00DB73C3">
      <w:pPr>
        <w:ind w:left="720" w:hanging="720"/>
      </w:pPr>
    </w:p>
    <w:p w14:paraId="7EECAF78" w14:textId="668D4E98" w:rsidR="00B42D15" w:rsidRDefault="00B42D15" w:rsidP="00DB73C3">
      <w:pPr>
        <w:ind w:left="720" w:hanging="720"/>
      </w:pPr>
    </w:p>
    <w:p w14:paraId="4BA9D727" w14:textId="1D41DC18" w:rsidR="00331455" w:rsidRDefault="00331455" w:rsidP="00DB73C3">
      <w:pPr>
        <w:ind w:left="720" w:hanging="720"/>
        <w:rPr>
          <w:rFonts w:ascii="Trebuchet MS" w:hAnsi="Trebuchet MS"/>
          <w:color w:val="000000"/>
          <w:sz w:val="28"/>
          <w:szCs w:val="27"/>
          <w:shd w:val="clear" w:color="auto" w:fill="FFFFFF"/>
        </w:rPr>
      </w:pPr>
    </w:p>
    <w:p w14:paraId="2E32F6AE" w14:textId="6FA43454" w:rsidR="00212AED" w:rsidRDefault="00212AED" w:rsidP="00DB73C3">
      <w:pPr>
        <w:ind w:left="720" w:hanging="720"/>
        <w:rPr>
          <w:rFonts w:ascii="Trebuchet MS" w:hAnsi="Trebuchet MS"/>
          <w:color w:val="000000"/>
          <w:sz w:val="28"/>
          <w:szCs w:val="27"/>
          <w:shd w:val="clear" w:color="auto" w:fill="FFFFFF"/>
        </w:rPr>
      </w:pPr>
    </w:p>
    <w:p w14:paraId="097871E1" w14:textId="77777777" w:rsidR="00212AED" w:rsidRDefault="00212AED" w:rsidP="00DB73C3">
      <w:pPr>
        <w:ind w:left="720" w:hanging="720"/>
        <w:rPr>
          <w:rFonts w:ascii="Trebuchet MS" w:hAnsi="Trebuchet MS"/>
          <w:color w:val="000000"/>
          <w:sz w:val="28"/>
          <w:szCs w:val="27"/>
          <w:shd w:val="clear" w:color="auto" w:fill="FFFFFF"/>
        </w:rPr>
      </w:pPr>
    </w:p>
    <w:p w14:paraId="7FC1C049" w14:textId="28CAADB5" w:rsidR="00212AED" w:rsidRDefault="00212AED" w:rsidP="00DB73C3">
      <w:pPr>
        <w:ind w:left="720" w:hanging="720"/>
        <w:rPr>
          <w:rFonts w:ascii="Trebuchet MS" w:hAnsi="Trebuchet MS"/>
          <w:color w:val="000000"/>
          <w:sz w:val="28"/>
          <w:szCs w:val="27"/>
          <w:shd w:val="clear" w:color="auto" w:fill="FFFFFF"/>
        </w:rPr>
      </w:pPr>
    </w:p>
    <w:p w14:paraId="0276C63C" w14:textId="77777777" w:rsidR="00212AED" w:rsidRPr="00555B87" w:rsidRDefault="00212AED" w:rsidP="00DB73C3">
      <w:pPr>
        <w:ind w:left="720" w:hanging="720"/>
        <w:rPr>
          <w:rFonts w:ascii="Trebuchet MS" w:hAnsi="Trebuchet MS"/>
          <w:color w:val="000000"/>
          <w:sz w:val="28"/>
          <w:szCs w:val="27"/>
          <w:shd w:val="clear" w:color="auto" w:fill="FFFFFF"/>
          <w:lang w:val="fr-FR"/>
        </w:rPr>
      </w:pPr>
    </w:p>
    <w:p w14:paraId="022890A6" w14:textId="77777777" w:rsidR="00212AED" w:rsidRPr="00555B87" w:rsidRDefault="00212AED" w:rsidP="00679DEB">
      <w:pPr>
        <w:jc w:val="center"/>
        <w:rPr>
          <w:rFonts w:ascii="Calibri" w:eastAsia="Calibri" w:hAnsi="Calibri" w:cs="Calibri"/>
          <w:b/>
          <w:bCs/>
          <w:color w:val="244061"/>
          <w:sz w:val="40"/>
          <w:szCs w:val="40"/>
          <w:lang w:val="en-CA"/>
        </w:rPr>
      </w:pPr>
      <w:r w:rsidRPr="00679DEB">
        <w:rPr>
          <w:b/>
          <w:bCs/>
          <w:color w:val="000000"/>
          <w:sz w:val="40"/>
          <w:szCs w:val="40"/>
          <w:shd w:val="clear" w:color="auto" w:fill="FFFFFF"/>
          <w:lang w:val="en-CA"/>
        </w:rPr>
        <w:t xml:space="preserve">  </w:t>
      </w:r>
      <w:r w:rsidR="00AB6FD4" w:rsidRPr="00679DEB">
        <w:rPr>
          <w:rFonts w:ascii="Calibri" w:eastAsia="Calibri" w:hAnsi="Calibri" w:cs="Calibri"/>
          <w:b/>
          <w:color w:val="244061"/>
          <w:sz w:val="40"/>
          <w:szCs w:val="40"/>
          <w:lang w:val="en-CA"/>
        </w:rPr>
        <w:t xml:space="preserve">Stochastic modeling </w:t>
      </w:r>
      <w:r w:rsidR="00622E79" w:rsidRPr="00679DEB">
        <w:rPr>
          <w:rFonts w:ascii="Calibri" w:eastAsia="Calibri" w:hAnsi="Calibri" w:cs="Calibri"/>
          <w:b/>
          <w:color w:val="244061"/>
          <w:sz w:val="40"/>
          <w:szCs w:val="40"/>
          <w:lang w:val="en-CA"/>
        </w:rPr>
        <w:t xml:space="preserve">of the </w:t>
      </w:r>
      <w:r w:rsidR="00AB6FD4" w:rsidRPr="00679DEB">
        <w:rPr>
          <w:rFonts w:ascii="Calibri" w:eastAsia="Calibri" w:hAnsi="Calibri" w:cs="Calibri"/>
          <w:b/>
          <w:color w:val="244061"/>
          <w:sz w:val="40"/>
          <w:szCs w:val="40"/>
          <w:lang w:val="en-CA"/>
        </w:rPr>
        <w:t>risk factors of the interest</w:t>
      </w:r>
    </w:p>
    <w:p w14:paraId="495E6D37" w14:textId="2D2DA4E8" w:rsidR="002806BA" w:rsidRPr="002247C1" w:rsidRDefault="00679DEB" w:rsidP="00679DEB">
      <w:pPr>
        <w:jc w:val="center"/>
        <w:rPr>
          <w:rFonts w:ascii="Calibri" w:eastAsia="Calibri" w:hAnsi="Calibri" w:cs="Calibri"/>
          <w:b/>
          <w:color w:val="244061"/>
          <w:sz w:val="40"/>
          <w:szCs w:val="40"/>
        </w:rPr>
      </w:pPr>
      <w:r w:rsidRPr="00679DEB">
        <w:rPr>
          <w:rFonts w:ascii="Calibri" w:eastAsia="Calibri" w:hAnsi="Calibri" w:cs="Calibri"/>
          <w:b/>
          <w:bCs/>
          <w:color w:val="244061"/>
          <w:sz w:val="40"/>
          <w:szCs w:val="40"/>
          <w:lang w:val="en-CA"/>
        </w:rPr>
        <w:t xml:space="preserve"> </w:t>
      </w:r>
      <w:r w:rsidR="00AB6FD4" w:rsidRPr="00679DEB">
        <w:rPr>
          <w:rFonts w:ascii="Calibri" w:eastAsia="Calibri" w:hAnsi="Calibri" w:cs="Calibri"/>
          <w:b/>
          <w:color w:val="244061"/>
          <w:sz w:val="40"/>
          <w:szCs w:val="40"/>
          <w:lang w:val="en-CA"/>
        </w:rPr>
        <w:t xml:space="preserve"> </w:t>
      </w:r>
      <w:r w:rsidR="00AB6FD4" w:rsidRPr="002247C1">
        <w:rPr>
          <w:rFonts w:ascii="Calibri" w:eastAsia="Calibri" w:hAnsi="Calibri" w:cs="Calibri"/>
          <w:b/>
          <w:color w:val="244061"/>
          <w:sz w:val="40"/>
          <w:szCs w:val="40"/>
        </w:rPr>
        <w:t>term structure</w:t>
      </w:r>
    </w:p>
    <w:p w14:paraId="3E29098A" w14:textId="7EAD72E6" w:rsidR="009C4CA6" w:rsidRPr="002247C1" w:rsidRDefault="00679DEB" w:rsidP="00679DEB">
      <w:pPr>
        <w:jc w:val="center"/>
        <w:rPr>
          <w:rFonts w:ascii="Calibri" w:eastAsia="Calibri" w:hAnsi="Calibri" w:cs="Calibri"/>
          <w:b/>
          <w:color w:val="244061"/>
          <w:sz w:val="40"/>
          <w:szCs w:val="40"/>
        </w:rPr>
      </w:pPr>
      <w:r w:rsidRPr="002247C1">
        <w:rPr>
          <w:rFonts w:ascii="Calibri" w:eastAsia="Calibri" w:hAnsi="Calibri" w:cs="Calibri"/>
          <w:b/>
          <w:bCs/>
          <w:color w:val="244061"/>
          <w:sz w:val="40"/>
          <w:szCs w:val="40"/>
        </w:rPr>
        <w:t xml:space="preserve">    </w:t>
      </w:r>
      <w:r w:rsidR="002806BA" w:rsidRPr="002247C1">
        <w:rPr>
          <w:rFonts w:ascii="Calibri" w:eastAsia="Calibri" w:hAnsi="Calibri" w:cs="Calibri"/>
          <w:b/>
          <w:color w:val="244061"/>
          <w:sz w:val="40"/>
          <w:szCs w:val="40"/>
        </w:rPr>
        <w:t>using single factor models</w:t>
      </w:r>
    </w:p>
    <w:p w14:paraId="68C4EE98" w14:textId="71F2DFEF" w:rsidR="00FE4AD6" w:rsidRPr="00212AED" w:rsidRDefault="00FE4AD6" w:rsidP="00212AED">
      <w:pPr>
        <w:ind w:left="720" w:hanging="720"/>
        <w:jc w:val="center"/>
        <w:rPr>
          <w:rFonts w:cstheme="minorHAnsi"/>
          <w:b/>
          <w:sz w:val="52"/>
        </w:rPr>
      </w:pPr>
    </w:p>
    <w:p w14:paraId="799D27B9" w14:textId="16EE1A45" w:rsidR="00FE4AD6" w:rsidRDefault="00FE4AD6" w:rsidP="00DB73C3">
      <w:pPr>
        <w:ind w:left="720" w:hanging="720"/>
      </w:pPr>
    </w:p>
    <w:p w14:paraId="47728B74" w14:textId="12C97422" w:rsidR="00212AED" w:rsidRDefault="00212AED" w:rsidP="00DB73C3">
      <w:pPr>
        <w:ind w:left="720" w:hanging="720"/>
      </w:pPr>
    </w:p>
    <w:p w14:paraId="5578EA6E" w14:textId="1359C9AA" w:rsidR="00212AED" w:rsidRDefault="00212AED" w:rsidP="00DB73C3">
      <w:pPr>
        <w:ind w:left="720" w:hanging="720"/>
      </w:pPr>
    </w:p>
    <w:p w14:paraId="769A2D96" w14:textId="22C7382F" w:rsidR="00212AED" w:rsidRDefault="00212AED" w:rsidP="00DB73C3">
      <w:pPr>
        <w:ind w:left="720" w:hanging="720"/>
      </w:pPr>
    </w:p>
    <w:p w14:paraId="05293952" w14:textId="566E449E" w:rsidR="00212AED" w:rsidRDefault="00212AED" w:rsidP="00DB73C3">
      <w:pPr>
        <w:ind w:left="720" w:hanging="720"/>
      </w:pPr>
    </w:p>
    <w:p w14:paraId="5F4B5084" w14:textId="77777777" w:rsidR="00212AED" w:rsidRDefault="00212AED" w:rsidP="00DB73C3">
      <w:pPr>
        <w:ind w:left="720" w:hanging="720"/>
      </w:pPr>
    </w:p>
    <w:p w14:paraId="62141A6E" w14:textId="5C23837D" w:rsidR="00212AED" w:rsidRDefault="00212AED" w:rsidP="00DB73C3">
      <w:pPr>
        <w:ind w:left="720" w:hanging="720"/>
      </w:pPr>
    </w:p>
    <w:p w14:paraId="29DB8FEA" w14:textId="41D98413" w:rsidR="00212AED" w:rsidRDefault="00212AED" w:rsidP="00DB73C3">
      <w:pPr>
        <w:ind w:left="720" w:hanging="720"/>
      </w:pPr>
    </w:p>
    <w:p w14:paraId="79DEFAA1" w14:textId="0FE3ABCF" w:rsidR="00212AED" w:rsidRDefault="00212AED" w:rsidP="00DB73C3">
      <w:pPr>
        <w:ind w:left="720" w:hanging="720"/>
      </w:pPr>
    </w:p>
    <w:p w14:paraId="496486CB" w14:textId="5E24DCCD" w:rsidR="00212AED" w:rsidRDefault="00212AED" w:rsidP="00DB73C3">
      <w:pPr>
        <w:ind w:left="720" w:hanging="720"/>
      </w:pPr>
    </w:p>
    <w:p w14:paraId="47377E50" w14:textId="4DAA0CC4" w:rsidR="00212AED" w:rsidRDefault="00212AED" w:rsidP="00DB73C3">
      <w:pPr>
        <w:ind w:left="720" w:hanging="720"/>
      </w:pPr>
    </w:p>
    <w:p w14:paraId="0FB8AAED" w14:textId="42ACF4A0" w:rsidR="00212AED" w:rsidRDefault="00212AED" w:rsidP="00DB73C3">
      <w:pPr>
        <w:ind w:left="720" w:hanging="720"/>
      </w:pPr>
    </w:p>
    <w:p w14:paraId="4AC4E44F" w14:textId="68321B67" w:rsidR="00B42D15" w:rsidRDefault="00B42D15" w:rsidP="00555B87">
      <w:r>
        <w:t xml:space="preserve">Valentin Dimitrov, </w:t>
      </w:r>
      <w:proofErr w:type="spellStart"/>
      <w:r>
        <w:t>Boubker</w:t>
      </w:r>
      <w:proofErr w:type="spellEnd"/>
      <w:r>
        <w:t xml:space="preserve"> </w:t>
      </w:r>
      <w:proofErr w:type="spellStart"/>
      <w:r w:rsidR="00B36947">
        <w:t>Kitane</w:t>
      </w:r>
      <w:proofErr w:type="spellEnd"/>
    </w:p>
    <w:p w14:paraId="2DDE13F3" w14:textId="0BC9D67A" w:rsidR="00212AED" w:rsidRDefault="00212AED" w:rsidP="00555B87"/>
    <w:p w14:paraId="5EE79A08" w14:textId="3018E7FA" w:rsidR="00B42D15" w:rsidRDefault="00B42D15" w:rsidP="00555B8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18123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41189514" w14:textId="1E8A6471" w:rsidR="00FE4AD6" w:rsidRPr="00600376" w:rsidRDefault="00FE4AD6" w:rsidP="00DB73C3">
          <w:pPr>
            <w:pStyle w:val="TOCHeading"/>
            <w:ind w:left="720" w:hanging="720"/>
            <w:rPr>
              <w:sz w:val="40"/>
              <w:szCs w:val="40"/>
            </w:rPr>
          </w:pPr>
          <w:r w:rsidRPr="00679DEB">
            <w:rPr>
              <w:sz w:val="40"/>
              <w:szCs w:val="40"/>
            </w:rPr>
            <w:t>Contents</w:t>
          </w:r>
        </w:p>
        <w:p w14:paraId="3E3C019E" w14:textId="77777777" w:rsidR="00212AED" w:rsidRPr="00212AED" w:rsidRDefault="00212AED" w:rsidP="00212AED"/>
        <w:p w14:paraId="16D20372" w14:textId="77777777" w:rsidR="00212AED" w:rsidRPr="00212AED" w:rsidRDefault="00212AED" w:rsidP="00212AED"/>
        <w:p w14:paraId="59BC9150" w14:textId="3F19039F" w:rsidR="008D1E29" w:rsidRPr="00600376" w:rsidRDefault="00FE4AD6" w:rsidP="00600376">
          <w:pPr>
            <w:pStyle w:val="TOC1"/>
            <w:tabs>
              <w:tab w:val="right" w:leader="dot" w:pos="9396"/>
            </w:tabs>
            <w:spacing w:line="360" w:lineRule="auto"/>
            <w:ind w:left="720" w:hanging="720"/>
            <w:rPr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65408" w:history="1">
            <w:r w:rsidR="00600376">
              <w:rPr>
                <w:rStyle w:val="Hyperlink"/>
                <w:b/>
                <w:noProof/>
                <w:sz w:val="24"/>
              </w:rPr>
              <w:t>In</w:t>
            </w:r>
            <w:r w:rsidR="008D1E29" w:rsidRPr="00600376">
              <w:rPr>
                <w:rStyle w:val="Hyperlink"/>
                <w:b/>
                <w:noProof/>
                <w:sz w:val="24"/>
              </w:rPr>
              <w:t>troduction</w:t>
            </w:r>
            <w:r w:rsidR="008D1E29" w:rsidRPr="00600376">
              <w:rPr>
                <w:noProof/>
                <w:webHidden/>
                <w:sz w:val="24"/>
              </w:rPr>
              <w:tab/>
            </w:r>
            <w:r w:rsidR="00600376">
              <w:rPr>
                <w:noProof/>
                <w:webHidden/>
                <w:sz w:val="24"/>
              </w:rPr>
              <w:t>3</w:t>
            </w:r>
          </w:hyperlink>
        </w:p>
        <w:p w14:paraId="4EA2C337" w14:textId="453718D4" w:rsidR="008D1E29" w:rsidRPr="00600376" w:rsidRDefault="0030256C" w:rsidP="00600376">
          <w:pPr>
            <w:pStyle w:val="TOC1"/>
            <w:tabs>
              <w:tab w:val="right" w:leader="dot" w:pos="9396"/>
            </w:tabs>
            <w:spacing w:line="360" w:lineRule="auto"/>
            <w:ind w:left="720" w:hanging="720"/>
            <w:rPr>
              <w:sz w:val="24"/>
            </w:rPr>
          </w:pPr>
          <w:hyperlink w:anchor="_Toc500065409" w:history="1">
            <w:r w:rsidR="008D1E29" w:rsidRPr="00600376">
              <w:rPr>
                <w:rStyle w:val="Hyperlink"/>
                <w:b/>
                <w:noProof/>
                <w:sz w:val="24"/>
              </w:rPr>
              <w:t xml:space="preserve">Oldrich Vasicek – </w:t>
            </w:r>
            <w:r w:rsidR="008D1E29" w:rsidRPr="00600376">
              <w:rPr>
                <w:rStyle w:val="Hyperlink"/>
                <w:b/>
                <w:i/>
                <w:noProof/>
                <w:sz w:val="22"/>
              </w:rPr>
              <w:t>An Equilibrium Characterization of the Term Structure</w:t>
            </w:r>
            <w:r w:rsidR="008D1E29" w:rsidRPr="00600376">
              <w:rPr>
                <w:noProof/>
                <w:webHidden/>
                <w:sz w:val="24"/>
              </w:rPr>
              <w:tab/>
            </w:r>
            <w:r w:rsidR="00600376">
              <w:rPr>
                <w:noProof/>
                <w:webHidden/>
                <w:sz w:val="24"/>
              </w:rPr>
              <w:t>5</w:t>
            </w:r>
          </w:hyperlink>
        </w:p>
        <w:p w14:paraId="0FD5BAEB" w14:textId="47B21FD9" w:rsidR="008D1E29" w:rsidRPr="00600376" w:rsidRDefault="0030256C" w:rsidP="00600376">
          <w:pPr>
            <w:pStyle w:val="TOC1"/>
            <w:tabs>
              <w:tab w:val="right" w:leader="dot" w:pos="9396"/>
            </w:tabs>
            <w:spacing w:line="360" w:lineRule="auto"/>
            <w:ind w:left="720" w:hanging="720"/>
            <w:rPr>
              <w:sz w:val="24"/>
            </w:rPr>
          </w:pPr>
          <w:hyperlink w:anchor="_Toc500065410" w:history="1">
            <w:r w:rsidR="008D1E29" w:rsidRPr="00600376">
              <w:rPr>
                <w:rStyle w:val="Hyperlink"/>
                <w:b/>
                <w:noProof/>
                <w:sz w:val="24"/>
              </w:rPr>
              <w:t>John Cox, Jonathan Ingersoll, Stephen Ross –</w:t>
            </w:r>
            <w:r w:rsidR="008D1E29" w:rsidRPr="00600376">
              <w:rPr>
                <w:rStyle w:val="Hyperlink"/>
                <w:b/>
                <w:noProof/>
                <w:sz w:val="22"/>
              </w:rPr>
              <w:t xml:space="preserve"> </w:t>
            </w:r>
            <w:r w:rsidR="008D1E29" w:rsidRPr="00600376">
              <w:rPr>
                <w:rStyle w:val="Hyperlink"/>
                <w:b/>
                <w:i/>
                <w:noProof/>
                <w:sz w:val="22"/>
              </w:rPr>
              <w:t>A Theory of the Term Structure of Interest</w:t>
            </w:r>
            <w:r w:rsidR="008D1E29" w:rsidRPr="00600376">
              <w:rPr>
                <w:rStyle w:val="Hyperlink"/>
                <w:b/>
                <w:i/>
                <w:noProof/>
                <w:sz w:val="24"/>
              </w:rPr>
              <w:t xml:space="preserve"> </w:t>
            </w:r>
            <w:r w:rsidR="008D1E29" w:rsidRPr="00600376">
              <w:rPr>
                <w:rStyle w:val="Hyperlink"/>
                <w:i/>
                <w:noProof/>
                <w:sz w:val="22"/>
                <w:u w:val="none"/>
              </w:rPr>
              <w:t>Rates</w:t>
            </w:r>
            <w:r w:rsidR="00600376" w:rsidRPr="00600376">
              <w:rPr>
                <w:noProof/>
                <w:webHidden/>
                <w:sz w:val="24"/>
              </w:rPr>
              <w:t>7</w:t>
            </w:r>
          </w:hyperlink>
        </w:p>
        <w:p w14:paraId="73D87A6E" w14:textId="4C053560" w:rsidR="008D1E29" w:rsidRPr="00600376" w:rsidRDefault="0030256C" w:rsidP="00600376">
          <w:pPr>
            <w:pStyle w:val="TOC1"/>
            <w:tabs>
              <w:tab w:val="right" w:leader="dot" w:pos="9396"/>
            </w:tabs>
            <w:spacing w:line="360" w:lineRule="auto"/>
            <w:ind w:left="720" w:hanging="720"/>
            <w:rPr>
              <w:sz w:val="24"/>
            </w:rPr>
          </w:pPr>
          <w:hyperlink w:anchor="_Toc500065411" w:history="1">
            <w:r w:rsidR="008D1E29" w:rsidRPr="00600376">
              <w:rPr>
                <w:rStyle w:val="Hyperlink"/>
                <w:b/>
                <w:noProof/>
                <w:sz w:val="24"/>
              </w:rPr>
              <w:t xml:space="preserve">John Hull, Alan White – </w:t>
            </w:r>
            <w:r w:rsidR="008D1E29" w:rsidRPr="00600376">
              <w:rPr>
                <w:rStyle w:val="Hyperlink"/>
                <w:b/>
                <w:i/>
                <w:noProof/>
                <w:sz w:val="22"/>
              </w:rPr>
              <w:t>Pricing Interest-Rate-Derivative Securities</w:t>
            </w:r>
            <w:r w:rsidR="008D1E29" w:rsidRPr="00600376">
              <w:rPr>
                <w:noProof/>
                <w:webHidden/>
                <w:sz w:val="24"/>
              </w:rPr>
              <w:tab/>
            </w:r>
            <w:r w:rsidR="00600376">
              <w:rPr>
                <w:noProof/>
                <w:webHidden/>
                <w:sz w:val="24"/>
              </w:rPr>
              <w:t>9</w:t>
            </w:r>
          </w:hyperlink>
        </w:p>
        <w:p w14:paraId="5A9C25F9" w14:textId="0CFEAFF2" w:rsidR="008D1E29" w:rsidRPr="00600376" w:rsidRDefault="0030256C" w:rsidP="00600376">
          <w:pPr>
            <w:pStyle w:val="TOC1"/>
            <w:tabs>
              <w:tab w:val="right" w:leader="dot" w:pos="9396"/>
            </w:tabs>
            <w:spacing w:line="360" w:lineRule="auto"/>
            <w:ind w:left="720" w:hanging="720"/>
            <w:rPr>
              <w:sz w:val="24"/>
            </w:rPr>
          </w:pPr>
          <w:hyperlink w:anchor="_Toc500065412" w:history="1">
            <w:r w:rsidR="008D1E29" w:rsidRPr="00600376">
              <w:rPr>
                <w:rStyle w:val="Hyperlink"/>
                <w:b/>
                <w:noProof/>
                <w:sz w:val="24"/>
              </w:rPr>
              <w:t>References</w:t>
            </w:r>
            <w:r w:rsidR="008D1E29" w:rsidRPr="00600376">
              <w:rPr>
                <w:noProof/>
                <w:webHidden/>
                <w:sz w:val="24"/>
              </w:rPr>
              <w:tab/>
            </w:r>
            <w:r w:rsidR="00600376">
              <w:rPr>
                <w:noProof/>
                <w:webHidden/>
                <w:sz w:val="24"/>
              </w:rPr>
              <w:t>1</w:t>
            </w:r>
          </w:hyperlink>
        </w:p>
        <w:p w14:paraId="50787C97" w14:textId="7130DFFF" w:rsidR="00314B05" w:rsidRDefault="00FE4AD6" w:rsidP="00DB73C3">
          <w:pPr>
            <w:ind w:left="720" w:hanging="720"/>
            <w:rPr>
              <w:b/>
              <w:bCs/>
              <w:noProof/>
            </w:rPr>
          </w:pPr>
          <w:r w:rsidRPr="4EA71239">
            <w:fldChar w:fldCharType="end"/>
          </w:r>
        </w:p>
      </w:sdtContent>
    </w:sdt>
    <w:p w14:paraId="6B440CB1" w14:textId="76B1956E" w:rsidR="00A1458F" w:rsidRDefault="00A1458F" w:rsidP="00DB73C3">
      <w:pPr>
        <w:ind w:left="720" w:hanging="720"/>
        <w:rPr>
          <w:b/>
          <w:bCs/>
          <w:noProof/>
        </w:rPr>
      </w:pPr>
    </w:p>
    <w:p w14:paraId="666279E8" w14:textId="77777777" w:rsidR="00B90793" w:rsidRDefault="00B90793" w:rsidP="00DB73C3">
      <w:pPr>
        <w:ind w:left="720" w:hanging="7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500065408"/>
      <w:r>
        <w:br w:type="page"/>
      </w:r>
    </w:p>
    <w:p w14:paraId="4879133C" w14:textId="6F60E710" w:rsidR="008D1E29" w:rsidRPr="00600376" w:rsidRDefault="008D1E29" w:rsidP="00DB73C3">
      <w:pPr>
        <w:pStyle w:val="Heading1"/>
        <w:ind w:left="720" w:hanging="720"/>
        <w:rPr>
          <w:sz w:val="40"/>
          <w:szCs w:val="40"/>
        </w:rPr>
      </w:pPr>
      <w:r w:rsidRPr="00679DEB">
        <w:rPr>
          <w:sz w:val="40"/>
          <w:szCs w:val="40"/>
        </w:rPr>
        <w:lastRenderedPageBreak/>
        <w:t>Introduction</w:t>
      </w:r>
      <w:bookmarkEnd w:id="0"/>
    </w:p>
    <w:p w14:paraId="738D428D" w14:textId="77777777" w:rsidR="00555B87" w:rsidRPr="00555B87" w:rsidRDefault="00555B87" w:rsidP="00555B87"/>
    <w:p w14:paraId="684A6067" w14:textId="1AB834A7" w:rsidR="00331455" w:rsidRDefault="00331455" w:rsidP="006A2121">
      <w:pPr>
        <w:jc w:val="both"/>
      </w:pPr>
      <w:r>
        <w:t xml:space="preserve">The term structure of interest rates is the yield curve </w:t>
      </w:r>
      <w:r w:rsidR="00A13CB6">
        <w:t>which represents the</w:t>
      </w:r>
      <w:r w:rsidR="00E14C3C">
        <w:t xml:space="preserve"> </w:t>
      </w:r>
      <w:r w:rsidR="00A13CB6">
        <w:t>yield</w:t>
      </w:r>
      <w:r w:rsidR="00E14C3C">
        <w:t xml:space="preserve"> </w:t>
      </w:r>
      <w:r w:rsidR="00A13CB6">
        <w:t>of debt securities considered as default-free relative to their time to</w:t>
      </w:r>
      <w:r>
        <w:t xml:space="preserve"> maturity.</w:t>
      </w:r>
      <w:r w:rsidR="00A13CB6">
        <w:t xml:space="preserve"> </w:t>
      </w:r>
      <w:r w:rsidR="00576E1E">
        <w:t>Most notably, it contains</w:t>
      </w:r>
      <w:r w:rsidR="00B13508">
        <w:t xml:space="preserve"> premium</w:t>
      </w:r>
      <w:r w:rsidR="0099278B">
        <w:t>s accounting</w:t>
      </w:r>
      <w:r w:rsidR="00B13508">
        <w:t xml:space="preserve"> for</w:t>
      </w:r>
      <w:r w:rsidR="0099278B">
        <w:t xml:space="preserve"> the variability and expectations of </w:t>
      </w:r>
      <w:r w:rsidR="00576E1E">
        <w:t xml:space="preserve">future inflation and </w:t>
      </w:r>
      <w:r w:rsidR="009174CE">
        <w:t>future spot rates</w:t>
      </w:r>
      <w:r w:rsidR="0099278B">
        <w:t xml:space="preserve"> (</w:t>
      </w:r>
      <w:r w:rsidR="00547F87">
        <w:t>term</w:t>
      </w:r>
      <w:r w:rsidR="0099278B">
        <w:t xml:space="preserve"> premium). Default-free securities are generally very liquid</w:t>
      </w:r>
      <w:r w:rsidR="65C07267" w:rsidRPr="30346C1A">
        <w:t>,</w:t>
      </w:r>
      <w:r w:rsidR="0099278B">
        <w:t xml:space="preserve"> therefore</w:t>
      </w:r>
      <w:r w:rsidR="65C07267">
        <w:t>,</w:t>
      </w:r>
      <w:r w:rsidR="0099278B">
        <w:t xml:space="preserve"> the liquidity premium is </w:t>
      </w:r>
      <w:r w:rsidR="00A25781">
        <w:t>negligible</w:t>
      </w:r>
      <w:r w:rsidR="0099278B">
        <w:t>.</w:t>
      </w:r>
    </w:p>
    <w:p w14:paraId="45A3723B" w14:textId="2BF239FC" w:rsidR="00A13CB6" w:rsidRDefault="00A14D69" w:rsidP="00DB73C3">
      <w:pPr>
        <w:ind w:left="720" w:hanging="720"/>
      </w:pPr>
      <w:r>
        <w:rPr>
          <w:noProof/>
          <w:lang w:val="fr-FR" w:eastAsia="fr-FR"/>
        </w:rPr>
        <w:drawing>
          <wp:inline distT="0" distB="0" distL="0" distR="0" wp14:anchorId="676F2AE8" wp14:editId="3B4BE384">
            <wp:extent cx="5952227" cy="2743200"/>
            <wp:effectExtent l="0" t="0" r="698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7DAB96-09EF-4010-8B97-AB33D36C7D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TableGrid"/>
        <w:tblW w:w="9073" w:type="dxa"/>
        <w:tblLook w:val="04A0" w:firstRow="1" w:lastRow="0" w:firstColumn="1" w:lastColumn="0" w:noHBand="0" w:noVBand="1"/>
      </w:tblPr>
      <w:tblGrid>
        <w:gridCol w:w="335"/>
        <w:gridCol w:w="879"/>
        <w:gridCol w:w="879"/>
        <w:gridCol w:w="879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6A2121" w14:paraId="3C50A4E5" w14:textId="77777777" w:rsidTr="00679DEB">
        <w:trPr>
          <w:trHeight w:val="98"/>
        </w:trPr>
        <w:tc>
          <w:tcPr>
            <w:tcW w:w="458" w:type="dxa"/>
          </w:tcPr>
          <w:p w14:paraId="38869D06" w14:textId="77777777" w:rsidR="006A2121" w:rsidRDefault="006A2121" w:rsidP="006A2121">
            <w:pPr>
              <w:ind w:left="720" w:hanging="720"/>
              <w:jc w:val="center"/>
            </w:pPr>
            <w:r>
              <w:t>M</w:t>
            </w:r>
          </w:p>
        </w:tc>
        <w:tc>
          <w:tcPr>
            <w:tcW w:w="837" w:type="dxa"/>
          </w:tcPr>
          <w:p w14:paraId="1F42B28B" w14:textId="77777777" w:rsidR="006A2121" w:rsidRDefault="006A2121" w:rsidP="00360CFA">
            <w:pPr>
              <w:ind w:left="720" w:hanging="720"/>
            </w:pPr>
            <w:r>
              <w:t>1 Mo</w:t>
            </w:r>
          </w:p>
        </w:tc>
        <w:tc>
          <w:tcPr>
            <w:tcW w:w="837" w:type="dxa"/>
          </w:tcPr>
          <w:p w14:paraId="5CC83D49" w14:textId="77777777" w:rsidR="006A2121" w:rsidRDefault="006A2121" w:rsidP="00360CFA">
            <w:pPr>
              <w:ind w:left="720" w:hanging="720"/>
            </w:pPr>
            <w:r>
              <w:t>3 Mo</w:t>
            </w:r>
          </w:p>
        </w:tc>
        <w:tc>
          <w:tcPr>
            <w:tcW w:w="837" w:type="dxa"/>
          </w:tcPr>
          <w:p w14:paraId="08E3FB9B" w14:textId="77777777" w:rsidR="006A2121" w:rsidRDefault="006A2121" w:rsidP="00360CFA">
            <w:pPr>
              <w:ind w:left="720" w:hanging="720"/>
            </w:pPr>
            <w:r>
              <w:t>5 Mo</w:t>
            </w:r>
          </w:p>
        </w:tc>
        <w:tc>
          <w:tcPr>
            <w:tcW w:w="763" w:type="dxa"/>
          </w:tcPr>
          <w:p w14:paraId="2D3813DF" w14:textId="77777777" w:rsidR="006A2121" w:rsidRDefault="006A2121" w:rsidP="00360CFA">
            <w:pPr>
              <w:ind w:left="720" w:hanging="720"/>
            </w:pPr>
            <w:r>
              <w:t xml:space="preserve">1 </w:t>
            </w:r>
            <w:proofErr w:type="spellStart"/>
            <w:r>
              <w:t>Yr</w:t>
            </w:r>
            <w:proofErr w:type="spellEnd"/>
          </w:p>
        </w:tc>
        <w:tc>
          <w:tcPr>
            <w:tcW w:w="763" w:type="dxa"/>
          </w:tcPr>
          <w:p w14:paraId="5B5F0C14" w14:textId="77777777" w:rsidR="006A2121" w:rsidRDefault="006A2121" w:rsidP="00360CFA">
            <w:pPr>
              <w:ind w:left="720" w:hanging="720"/>
            </w:pPr>
            <w:r>
              <w:t xml:space="preserve">2 </w:t>
            </w:r>
            <w:proofErr w:type="spellStart"/>
            <w:r>
              <w:t>Yr</w:t>
            </w:r>
            <w:proofErr w:type="spellEnd"/>
          </w:p>
        </w:tc>
        <w:tc>
          <w:tcPr>
            <w:tcW w:w="763" w:type="dxa"/>
          </w:tcPr>
          <w:p w14:paraId="685F52B3" w14:textId="77777777" w:rsidR="006A2121" w:rsidRDefault="006A2121" w:rsidP="00360CFA">
            <w:pPr>
              <w:ind w:left="720" w:hanging="720"/>
            </w:pPr>
            <w:r>
              <w:t xml:space="preserve">3 </w:t>
            </w:r>
            <w:proofErr w:type="spellStart"/>
            <w:r>
              <w:t>Yr</w:t>
            </w:r>
            <w:proofErr w:type="spellEnd"/>
          </w:p>
        </w:tc>
        <w:tc>
          <w:tcPr>
            <w:tcW w:w="763" w:type="dxa"/>
          </w:tcPr>
          <w:p w14:paraId="2BF48B66" w14:textId="77777777" w:rsidR="006A2121" w:rsidRDefault="006A2121" w:rsidP="00360CFA">
            <w:pPr>
              <w:ind w:left="720" w:hanging="720"/>
            </w:pPr>
            <w:r>
              <w:t xml:space="preserve">5 </w:t>
            </w:r>
            <w:proofErr w:type="spellStart"/>
            <w:r>
              <w:t>Yr</w:t>
            </w:r>
            <w:proofErr w:type="spellEnd"/>
          </w:p>
        </w:tc>
        <w:tc>
          <w:tcPr>
            <w:tcW w:w="763" w:type="dxa"/>
          </w:tcPr>
          <w:p w14:paraId="5F9490E2" w14:textId="77777777" w:rsidR="006A2121" w:rsidRDefault="006A2121" w:rsidP="00360CFA">
            <w:pPr>
              <w:ind w:left="720" w:hanging="720"/>
            </w:pPr>
            <w:r>
              <w:t xml:space="preserve">7 </w:t>
            </w:r>
            <w:proofErr w:type="spellStart"/>
            <w:r>
              <w:t>Yr</w:t>
            </w:r>
            <w:proofErr w:type="spellEnd"/>
          </w:p>
        </w:tc>
        <w:tc>
          <w:tcPr>
            <w:tcW w:w="763" w:type="dxa"/>
          </w:tcPr>
          <w:p w14:paraId="61871D38" w14:textId="77777777" w:rsidR="006A2121" w:rsidRDefault="006A2121" w:rsidP="00360CFA">
            <w:pPr>
              <w:ind w:left="720" w:hanging="720"/>
            </w:pPr>
            <w:r>
              <w:t xml:space="preserve">10 </w:t>
            </w:r>
            <w:proofErr w:type="spellStart"/>
            <w:r>
              <w:t>Yr</w:t>
            </w:r>
            <w:proofErr w:type="spellEnd"/>
          </w:p>
        </w:tc>
        <w:tc>
          <w:tcPr>
            <w:tcW w:w="763" w:type="dxa"/>
          </w:tcPr>
          <w:p w14:paraId="1778D57F" w14:textId="77777777" w:rsidR="006A2121" w:rsidRDefault="006A2121" w:rsidP="00360CFA">
            <w:pPr>
              <w:ind w:left="720" w:hanging="720"/>
            </w:pPr>
            <w:r>
              <w:t xml:space="preserve">20 </w:t>
            </w:r>
            <w:proofErr w:type="spellStart"/>
            <w:r>
              <w:t>Yr</w:t>
            </w:r>
            <w:proofErr w:type="spellEnd"/>
          </w:p>
        </w:tc>
        <w:tc>
          <w:tcPr>
            <w:tcW w:w="763" w:type="dxa"/>
          </w:tcPr>
          <w:p w14:paraId="11A32F0C" w14:textId="77777777" w:rsidR="006A2121" w:rsidRDefault="006A2121" w:rsidP="00360CFA">
            <w:pPr>
              <w:ind w:left="720" w:hanging="720"/>
            </w:pPr>
            <w:r>
              <w:t xml:space="preserve">30 </w:t>
            </w:r>
            <w:proofErr w:type="spellStart"/>
            <w:r>
              <w:t>Yr</w:t>
            </w:r>
            <w:proofErr w:type="spellEnd"/>
          </w:p>
        </w:tc>
      </w:tr>
      <w:tr w:rsidR="006A2121" w14:paraId="138D416E" w14:textId="77777777" w:rsidTr="00679DEB">
        <w:trPr>
          <w:trHeight w:val="102"/>
        </w:trPr>
        <w:tc>
          <w:tcPr>
            <w:tcW w:w="458" w:type="dxa"/>
          </w:tcPr>
          <w:p w14:paraId="7CD2AE3E" w14:textId="77777777" w:rsidR="006A2121" w:rsidRDefault="006A2121" w:rsidP="006A2121">
            <w:pPr>
              <w:ind w:left="720" w:hanging="720"/>
              <w:jc w:val="center"/>
            </w:pPr>
            <w:r>
              <w:t>R</w:t>
            </w:r>
          </w:p>
        </w:tc>
        <w:tc>
          <w:tcPr>
            <w:tcW w:w="837" w:type="dxa"/>
          </w:tcPr>
          <w:p w14:paraId="3973848C" w14:textId="77777777" w:rsidR="006A2121" w:rsidRDefault="006A2121" w:rsidP="00360CFA">
            <w:pPr>
              <w:ind w:left="720" w:hanging="720"/>
            </w:pPr>
            <w:r>
              <w:t>1.14%</w:t>
            </w:r>
          </w:p>
        </w:tc>
        <w:tc>
          <w:tcPr>
            <w:tcW w:w="837" w:type="dxa"/>
          </w:tcPr>
          <w:p w14:paraId="1FB0CACC" w14:textId="77777777" w:rsidR="006A2121" w:rsidRDefault="006A2121" w:rsidP="00360CFA">
            <w:pPr>
              <w:ind w:left="720" w:hanging="720"/>
            </w:pPr>
            <w:r>
              <w:t>1.27%</w:t>
            </w:r>
          </w:p>
        </w:tc>
        <w:tc>
          <w:tcPr>
            <w:tcW w:w="837" w:type="dxa"/>
          </w:tcPr>
          <w:p w14:paraId="5C60C914" w14:textId="77777777" w:rsidR="006A2121" w:rsidRDefault="006A2121" w:rsidP="00360CFA">
            <w:pPr>
              <w:ind w:left="720" w:hanging="720"/>
            </w:pPr>
            <w:r>
              <w:t>1.45%</w:t>
            </w:r>
          </w:p>
        </w:tc>
        <w:tc>
          <w:tcPr>
            <w:tcW w:w="763" w:type="dxa"/>
          </w:tcPr>
          <w:p w14:paraId="080EDD5C" w14:textId="77777777" w:rsidR="006A2121" w:rsidRDefault="006A2121" w:rsidP="00360CFA">
            <w:pPr>
              <w:ind w:left="720" w:hanging="720"/>
            </w:pPr>
            <w:r>
              <w:t>1.62%</w:t>
            </w:r>
          </w:p>
        </w:tc>
        <w:tc>
          <w:tcPr>
            <w:tcW w:w="763" w:type="dxa"/>
          </w:tcPr>
          <w:p w14:paraId="3D4EC4C6" w14:textId="77777777" w:rsidR="006A2121" w:rsidRDefault="006A2121" w:rsidP="00360CFA">
            <w:pPr>
              <w:ind w:left="720" w:hanging="720"/>
            </w:pPr>
            <w:r>
              <w:t>1.78%</w:t>
            </w:r>
          </w:p>
        </w:tc>
        <w:tc>
          <w:tcPr>
            <w:tcW w:w="763" w:type="dxa"/>
          </w:tcPr>
          <w:p w14:paraId="11DFBC2B" w14:textId="77777777" w:rsidR="006A2121" w:rsidRDefault="006A2121" w:rsidP="00360CFA">
            <w:pPr>
              <w:ind w:left="720" w:hanging="720"/>
            </w:pPr>
            <w:r>
              <w:t>1.90%</w:t>
            </w:r>
          </w:p>
        </w:tc>
        <w:tc>
          <w:tcPr>
            <w:tcW w:w="763" w:type="dxa"/>
          </w:tcPr>
          <w:p w14:paraId="4F428819" w14:textId="77777777" w:rsidR="006A2121" w:rsidRDefault="006A2121" w:rsidP="00360CFA">
            <w:pPr>
              <w:ind w:left="720" w:hanging="720"/>
            </w:pPr>
            <w:r>
              <w:t>2.13%</w:t>
            </w:r>
          </w:p>
        </w:tc>
        <w:tc>
          <w:tcPr>
            <w:tcW w:w="763" w:type="dxa"/>
          </w:tcPr>
          <w:p w14:paraId="466C160D" w14:textId="77777777" w:rsidR="006A2121" w:rsidRDefault="006A2121" w:rsidP="00360CFA">
            <w:pPr>
              <w:ind w:left="720" w:hanging="720"/>
            </w:pPr>
            <w:r>
              <w:t>2.28%</w:t>
            </w:r>
          </w:p>
        </w:tc>
        <w:tc>
          <w:tcPr>
            <w:tcW w:w="763" w:type="dxa"/>
          </w:tcPr>
          <w:p w14:paraId="3B96CAF0" w14:textId="77777777" w:rsidR="006A2121" w:rsidRDefault="006A2121" w:rsidP="00360CFA">
            <w:pPr>
              <w:ind w:left="720" w:hanging="720"/>
            </w:pPr>
            <w:r>
              <w:t>2.37%</w:t>
            </w:r>
          </w:p>
        </w:tc>
        <w:tc>
          <w:tcPr>
            <w:tcW w:w="763" w:type="dxa"/>
          </w:tcPr>
          <w:p w14:paraId="22F42757" w14:textId="77777777" w:rsidR="006A2121" w:rsidRDefault="006A2121" w:rsidP="00360CFA">
            <w:pPr>
              <w:ind w:left="720" w:hanging="720"/>
            </w:pPr>
            <w:r>
              <w:t>2.58%</w:t>
            </w:r>
          </w:p>
        </w:tc>
        <w:tc>
          <w:tcPr>
            <w:tcW w:w="763" w:type="dxa"/>
          </w:tcPr>
          <w:p w14:paraId="0B95F965" w14:textId="77777777" w:rsidR="006A2121" w:rsidRDefault="006A2121" w:rsidP="00360CFA">
            <w:pPr>
              <w:ind w:left="720" w:hanging="720"/>
            </w:pPr>
            <w:r>
              <w:t>2.76%</w:t>
            </w:r>
          </w:p>
        </w:tc>
      </w:tr>
    </w:tbl>
    <w:p w14:paraId="146584A1" w14:textId="2AF0BFDE" w:rsidR="008D3F3D" w:rsidRPr="008D3F3D" w:rsidRDefault="05F9597F" w:rsidP="00DB73C3">
      <w:pPr>
        <w:spacing w:before="120" w:after="200"/>
        <w:ind w:left="720" w:hanging="720"/>
        <w:jc w:val="center"/>
        <w:rPr>
          <w:i/>
        </w:rPr>
      </w:pPr>
      <w:r w:rsidRPr="05F9597F">
        <w:rPr>
          <w:i/>
          <w:iCs/>
        </w:rPr>
        <w:t xml:space="preserve">Data source: </w:t>
      </w:r>
      <w:hyperlink r:id="rId11">
        <w:r w:rsidRPr="05F9597F">
          <w:rPr>
            <w:rStyle w:val="Hyperlink"/>
            <w:i/>
            <w:iCs/>
          </w:rPr>
          <w:t>U.S. Department of the Treasury</w:t>
        </w:r>
      </w:hyperlink>
    </w:p>
    <w:p w14:paraId="29C551C2" w14:textId="1B7C797E" w:rsidR="008C518A" w:rsidRDefault="00F261D1" w:rsidP="006A2121">
      <w:pPr>
        <w:jc w:val="both"/>
      </w:pPr>
      <w:r>
        <w:t>An explanation of the term structure</w:t>
      </w:r>
      <w:r w:rsidR="00A16AE4">
        <w:t xml:space="preserve"> </w:t>
      </w:r>
      <w:r w:rsidR="00AD190C">
        <w:t>sh</w:t>
      </w:r>
      <w:r w:rsidR="00A16AE4">
        <w:t>ould</w:t>
      </w:r>
      <w:r>
        <w:t xml:space="preserve"> </w:t>
      </w:r>
      <w:r w:rsidR="00AD190C">
        <w:t xml:space="preserve">provide </w:t>
      </w:r>
      <w:r w:rsidR="00004AAB">
        <w:t xml:space="preserve">a </w:t>
      </w:r>
      <w:r w:rsidR="00AD190C">
        <w:t>method</w:t>
      </w:r>
      <w:r w:rsidR="00004AAB">
        <w:t xml:space="preserve"> </w:t>
      </w:r>
      <w:r w:rsidR="008C518A">
        <w:t>of</w:t>
      </w:r>
      <w:r w:rsidR="00004AAB">
        <w:t xml:space="preserve"> predict</w:t>
      </w:r>
      <w:r w:rsidR="008C518A">
        <w:t>ion or fitting</w:t>
      </w:r>
      <w:r w:rsidR="00004AAB">
        <w:t xml:space="preserve"> </w:t>
      </w:r>
      <w:r w:rsidR="008C518A">
        <w:t xml:space="preserve">which establishes a connection between interest rates of bonds with different maturities. </w:t>
      </w:r>
    </w:p>
    <w:p w14:paraId="111F3AF4" w14:textId="161C6809" w:rsidR="00F129A0" w:rsidRDefault="002A2919" w:rsidP="006A2121">
      <w:pPr>
        <w:jc w:val="both"/>
      </w:pPr>
      <w:r>
        <w:t xml:space="preserve">Robert </w:t>
      </w:r>
      <w:r w:rsidR="00F129A0">
        <w:t>Merton (1973) was the first one to propose a single factor model for the term structure</w:t>
      </w:r>
      <w:r w:rsidR="00314B05">
        <w:t xml:space="preserve"> of interest rates. </w:t>
      </w:r>
      <w:r w:rsidR="005B7CAE">
        <w:t xml:space="preserve">Due to modelling the evolution of the spot rate as geometric Brownian motion, </w:t>
      </w:r>
      <w:r w:rsidR="00314B05">
        <w:t>Merton’s model allows for negative interest rates, assumes that volatility and the risk premium are constant. This model serve</w:t>
      </w:r>
      <w:r w:rsidR="00044B34">
        <w:t>s</w:t>
      </w:r>
      <w:r w:rsidR="00314B05">
        <w:t xml:space="preserve"> as base for subsequent</w:t>
      </w:r>
      <w:r w:rsidR="005B7CAE">
        <w:t xml:space="preserve"> more </w:t>
      </w:r>
      <w:r w:rsidR="00670542">
        <w:t>complex</w:t>
      </w:r>
      <w:r w:rsidR="00314B05">
        <w:t xml:space="preserve"> single factor models.</w:t>
      </w:r>
    </w:p>
    <w:p w14:paraId="44084223" w14:textId="3DEAFEF0" w:rsidR="00CF7F89" w:rsidRPr="00EC1E02" w:rsidRDefault="008616CE" w:rsidP="005933E0">
      <w:pPr>
        <w:jc w:val="both"/>
      </w:pPr>
      <w:r>
        <w:t>Later on, m</w:t>
      </w:r>
      <w:r w:rsidR="00CF7F89" w:rsidRPr="00EC1E02">
        <w:t xml:space="preserve">ulti-factor models </w:t>
      </w:r>
      <w:r>
        <w:t xml:space="preserve">have been </w:t>
      </w:r>
      <w:r w:rsidR="00D717E5">
        <w:t xml:space="preserve">proposed which </w:t>
      </w:r>
      <w:r w:rsidR="00CF7F89" w:rsidRPr="00EC1E02">
        <w:t>aim to improve modelling of the term structure of interest rates by introducing factors such as stochastic drift, instantaneous inflation rate, long term rate or volatility of some sort.</w:t>
      </w:r>
    </w:p>
    <w:p w14:paraId="51376B96" w14:textId="2197E0BB" w:rsidR="00C34530" w:rsidRPr="002A2919" w:rsidRDefault="00C34530" w:rsidP="00120287">
      <w:pPr>
        <w:spacing w:after="0"/>
        <w:jc w:val="both"/>
      </w:pPr>
      <w:r w:rsidRPr="002A2919">
        <w:t xml:space="preserve">There are </w:t>
      </w:r>
      <w:r w:rsidR="00876AB8">
        <w:t>3</w:t>
      </w:r>
      <w:r w:rsidRPr="002A2919">
        <w:t xml:space="preserve"> main theories which aim to explain the </w:t>
      </w:r>
      <w:r w:rsidR="00566E7E" w:rsidRPr="002A2919">
        <w:t>relationship between interest rates of risk-free bonds with various maturities.</w:t>
      </w:r>
    </w:p>
    <w:p w14:paraId="6D6902B2" w14:textId="6F173641" w:rsidR="00566E7E" w:rsidRPr="002A2919" w:rsidRDefault="00566E7E" w:rsidP="00BE7F40">
      <w:pPr>
        <w:pStyle w:val="ListParagraph"/>
        <w:numPr>
          <w:ilvl w:val="0"/>
          <w:numId w:val="11"/>
        </w:numPr>
        <w:spacing w:after="0"/>
        <w:jc w:val="both"/>
      </w:pPr>
      <w:r w:rsidRPr="00BE7F40">
        <w:rPr>
          <w:b/>
        </w:rPr>
        <w:t>Expectation hypothesis</w:t>
      </w:r>
      <w:r w:rsidRPr="002A2919">
        <w:t xml:space="preserve"> – Investors’ expectations of future spot rates determine the term structure.</w:t>
      </w:r>
      <w:r w:rsidR="002A2919" w:rsidRPr="002A2919">
        <w:t xml:space="preserve"> </w:t>
      </w:r>
      <w:r w:rsidR="002A2919">
        <w:t xml:space="preserve">Bond pricing is done on the principle that </w:t>
      </w:r>
      <w:r w:rsidR="002A2919" w:rsidRPr="002A2919">
        <w:t>the</w:t>
      </w:r>
      <w:r w:rsidR="00876AB8">
        <w:t xml:space="preserve"> implied</w:t>
      </w:r>
      <w:r w:rsidR="002A2919" w:rsidRPr="002A2919">
        <w:t xml:space="preserve"> forward rate </w:t>
      </w:r>
      <w:r w:rsidR="00876AB8">
        <w:t>should be</w:t>
      </w:r>
      <w:r w:rsidR="002A2919" w:rsidRPr="002A2919">
        <w:t xml:space="preserve"> an unbiased estimator of the future prevailing spot rate.</w:t>
      </w:r>
      <w:r w:rsidR="002A2919">
        <w:t xml:space="preserve"> A few variations of this hypothesis exist.</w:t>
      </w:r>
    </w:p>
    <w:p w14:paraId="1733A1C2" w14:textId="1E37E8F9" w:rsidR="002A2919" w:rsidRDefault="002A2919" w:rsidP="00BE7F40">
      <w:pPr>
        <w:pStyle w:val="ListParagraph"/>
        <w:numPr>
          <w:ilvl w:val="0"/>
          <w:numId w:val="11"/>
        </w:numPr>
        <w:spacing w:after="0"/>
        <w:jc w:val="both"/>
      </w:pPr>
      <w:bookmarkStart w:id="1" w:name="_Toc500065409"/>
      <w:r w:rsidRPr="00BE7F40">
        <w:rPr>
          <w:b/>
        </w:rPr>
        <w:t>Liquidity preference theory</w:t>
      </w:r>
      <w:r>
        <w:t xml:space="preserve"> – Investors are risk-averse </w:t>
      </w:r>
      <w:r w:rsidR="003346C5">
        <w:t xml:space="preserve">therefore have a </w:t>
      </w:r>
      <w:r>
        <w:t xml:space="preserve">preference for short-term bonds. </w:t>
      </w:r>
      <w:r w:rsidR="003346C5">
        <w:t>On the other hand, l</w:t>
      </w:r>
      <w:r>
        <w:t xml:space="preserve">ong-term ones </w:t>
      </w:r>
      <w:r w:rsidR="00BB3B66">
        <w:t>are preferred by borrowers</w:t>
      </w:r>
      <w:r w:rsidR="003346C5">
        <w:t xml:space="preserve">. As result, </w:t>
      </w:r>
      <w:r>
        <w:t>a</w:t>
      </w:r>
      <w:r w:rsidR="003346C5">
        <w:t xml:space="preserve"> </w:t>
      </w:r>
      <w:r>
        <w:t>premium</w:t>
      </w:r>
      <w:r w:rsidR="003346C5">
        <w:t xml:space="preserve"> is </w:t>
      </w:r>
      <w:r w:rsidR="003346C5">
        <w:lastRenderedPageBreak/>
        <w:t xml:space="preserve">incorporated in the price depending on the time to </w:t>
      </w:r>
      <w:r w:rsidR="003346C5" w:rsidRPr="002C5CC3">
        <w:t>maturity</w:t>
      </w:r>
      <w:r w:rsidRPr="002C5CC3">
        <w:t xml:space="preserve">. </w:t>
      </w:r>
      <w:r w:rsidR="00BB3B66" w:rsidRPr="002C5CC3">
        <w:t>An important consequence is that the expected return from a buy and hold strategy will be higher than the expected return for a roll-over strategy. The resulting term structure of interest rates should be upward sloping.</w:t>
      </w:r>
    </w:p>
    <w:p w14:paraId="08421C66" w14:textId="0A85EBF1" w:rsidR="002A2919" w:rsidRPr="002C5CC3" w:rsidRDefault="002A2919" w:rsidP="00BE7F40">
      <w:pPr>
        <w:pStyle w:val="ListParagraph"/>
        <w:numPr>
          <w:ilvl w:val="0"/>
          <w:numId w:val="11"/>
        </w:numPr>
        <w:jc w:val="both"/>
      </w:pPr>
      <w:r w:rsidRPr="00BE7F40">
        <w:rPr>
          <w:b/>
        </w:rPr>
        <w:t>Preferred habitat theory</w:t>
      </w:r>
      <w:r>
        <w:t xml:space="preserve"> –</w:t>
      </w:r>
      <w:r w:rsidR="003346C5">
        <w:t xml:space="preserve"> Market participants are assumed to have individual preferences </w:t>
      </w:r>
      <w:r w:rsidR="003346C5" w:rsidRPr="002C5CC3">
        <w:t xml:space="preserve">regarding time to maturity. They are willing to change their “habitat” range if a sufficient premium is offered. </w:t>
      </w:r>
      <w:r w:rsidR="00BB3B66" w:rsidRPr="002C5CC3">
        <w:t xml:space="preserve">Depending on </w:t>
      </w:r>
      <w:r w:rsidR="003346C5" w:rsidRPr="002C5CC3">
        <w:t>market conditions</w:t>
      </w:r>
      <w:r w:rsidR="00BB3B66" w:rsidRPr="002C5CC3">
        <w:t xml:space="preserve">, the risk premia </w:t>
      </w:r>
      <w:r w:rsidR="00FC1802" w:rsidRPr="002C5CC3">
        <w:t>associated with</w:t>
      </w:r>
      <w:r w:rsidR="00BB3B66" w:rsidRPr="002C5CC3">
        <w:t xml:space="preserve"> bonds of various maturities can be positive, negative or none. </w:t>
      </w:r>
      <w:r w:rsidR="00FC1802" w:rsidRPr="002C5CC3">
        <w:t>Therefore,</w:t>
      </w:r>
      <w:r w:rsidR="00BB3B66" w:rsidRPr="002C5CC3">
        <w:t xml:space="preserve"> the term structure of interest rates can </w:t>
      </w:r>
      <w:r w:rsidR="00FC1802" w:rsidRPr="002C5CC3">
        <w:t>take</w:t>
      </w:r>
      <w:r w:rsidR="00BB3B66" w:rsidRPr="002C5CC3">
        <w:t xml:space="preserve"> any shape.</w:t>
      </w:r>
    </w:p>
    <w:p w14:paraId="4C4B4C0C" w14:textId="1E52C81E" w:rsidR="00876AB8" w:rsidRPr="009655FE" w:rsidRDefault="00EC1031" w:rsidP="00DB73C3">
      <w:pPr>
        <w:ind w:left="720" w:hanging="720"/>
      </w:pPr>
      <w:r>
        <w:t xml:space="preserve">Only the risk-neutral versions of the 3 models are presented in this paper. </w:t>
      </w:r>
    </w:p>
    <w:p w14:paraId="68D3EA42" w14:textId="78F8866F" w:rsidR="00600376" w:rsidRDefault="00600376" w:rsidP="00DB73C3">
      <w:pPr>
        <w:ind w:left="720" w:hanging="720"/>
      </w:pPr>
    </w:p>
    <w:p w14:paraId="714A47D5" w14:textId="4E191A61" w:rsidR="00600376" w:rsidRDefault="00600376" w:rsidP="00DB73C3">
      <w:pPr>
        <w:ind w:left="720" w:hanging="720"/>
      </w:pPr>
    </w:p>
    <w:p w14:paraId="3415CC50" w14:textId="7FF7567B" w:rsidR="00600376" w:rsidRDefault="00600376" w:rsidP="00DB73C3">
      <w:pPr>
        <w:ind w:left="720" w:hanging="720"/>
      </w:pPr>
    </w:p>
    <w:p w14:paraId="4EBDB32E" w14:textId="1DAA5074" w:rsidR="00600376" w:rsidRDefault="00600376" w:rsidP="00DB73C3">
      <w:pPr>
        <w:ind w:left="720" w:hanging="720"/>
      </w:pPr>
    </w:p>
    <w:p w14:paraId="29DD42D7" w14:textId="3AFFE34D" w:rsidR="00600376" w:rsidRDefault="00600376" w:rsidP="00DB73C3">
      <w:pPr>
        <w:ind w:left="720" w:hanging="720"/>
      </w:pPr>
    </w:p>
    <w:p w14:paraId="05BFDA71" w14:textId="0B199065" w:rsidR="00600376" w:rsidRDefault="00600376" w:rsidP="00DB73C3">
      <w:pPr>
        <w:ind w:left="720" w:hanging="720"/>
      </w:pPr>
    </w:p>
    <w:p w14:paraId="6EC52830" w14:textId="5F8AE0E2" w:rsidR="00600376" w:rsidRDefault="00600376" w:rsidP="00DB73C3">
      <w:pPr>
        <w:ind w:left="720" w:hanging="720"/>
      </w:pPr>
    </w:p>
    <w:p w14:paraId="6DE220C8" w14:textId="2AD7092E" w:rsidR="00600376" w:rsidRDefault="00600376" w:rsidP="00DB73C3">
      <w:pPr>
        <w:ind w:left="720" w:hanging="720"/>
      </w:pPr>
    </w:p>
    <w:p w14:paraId="1687E907" w14:textId="178550BA" w:rsidR="00600376" w:rsidRDefault="00600376" w:rsidP="00DB73C3">
      <w:pPr>
        <w:ind w:left="720" w:hanging="720"/>
      </w:pPr>
    </w:p>
    <w:p w14:paraId="70769FE5" w14:textId="50662BEA" w:rsidR="00600376" w:rsidRDefault="00600376" w:rsidP="00DB73C3">
      <w:pPr>
        <w:ind w:left="720" w:hanging="720"/>
      </w:pPr>
    </w:p>
    <w:p w14:paraId="7AAF856C" w14:textId="2076BC19" w:rsidR="00600376" w:rsidRDefault="00600376" w:rsidP="00DB73C3">
      <w:pPr>
        <w:ind w:left="720" w:hanging="720"/>
      </w:pPr>
    </w:p>
    <w:p w14:paraId="061AD916" w14:textId="23490F28" w:rsidR="00600376" w:rsidRDefault="00600376" w:rsidP="00DB73C3">
      <w:pPr>
        <w:ind w:left="720" w:hanging="720"/>
      </w:pPr>
    </w:p>
    <w:p w14:paraId="44D7484C" w14:textId="64890C39" w:rsidR="00600376" w:rsidRDefault="00600376" w:rsidP="00DB73C3">
      <w:pPr>
        <w:ind w:left="720" w:hanging="720"/>
      </w:pPr>
    </w:p>
    <w:p w14:paraId="78A6CAE2" w14:textId="70B669F9" w:rsidR="00600376" w:rsidRDefault="00600376" w:rsidP="00DB73C3">
      <w:pPr>
        <w:ind w:left="720" w:hanging="720"/>
      </w:pPr>
    </w:p>
    <w:p w14:paraId="210C5930" w14:textId="7D515986" w:rsidR="00600376" w:rsidRDefault="00600376" w:rsidP="00DB73C3">
      <w:pPr>
        <w:ind w:left="720" w:hanging="720"/>
      </w:pPr>
    </w:p>
    <w:p w14:paraId="34E45F78" w14:textId="3881B4B5" w:rsidR="00600376" w:rsidRDefault="00600376" w:rsidP="00DB73C3">
      <w:pPr>
        <w:ind w:left="720" w:hanging="720"/>
      </w:pPr>
    </w:p>
    <w:p w14:paraId="62FE5473" w14:textId="1DB11F5D" w:rsidR="00600376" w:rsidRDefault="00600376" w:rsidP="00DB73C3">
      <w:pPr>
        <w:ind w:left="720" w:hanging="720"/>
      </w:pPr>
    </w:p>
    <w:p w14:paraId="2F0CFF5D" w14:textId="32F62C84" w:rsidR="00600376" w:rsidRDefault="00600376" w:rsidP="00DB73C3">
      <w:pPr>
        <w:ind w:left="720" w:hanging="720"/>
      </w:pPr>
    </w:p>
    <w:p w14:paraId="2916903B" w14:textId="4BDA7934" w:rsidR="00600376" w:rsidRDefault="00600376" w:rsidP="00DB73C3">
      <w:pPr>
        <w:ind w:left="720" w:hanging="720"/>
      </w:pPr>
    </w:p>
    <w:p w14:paraId="17689EC1" w14:textId="163120AA" w:rsidR="00600376" w:rsidRDefault="00600376" w:rsidP="00DB73C3">
      <w:pPr>
        <w:ind w:left="720" w:hanging="720"/>
      </w:pPr>
    </w:p>
    <w:p w14:paraId="75BECCA2" w14:textId="48177B87" w:rsidR="00600376" w:rsidRDefault="00600376" w:rsidP="00DB73C3">
      <w:pPr>
        <w:ind w:left="720" w:hanging="720"/>
      </w:pPr>
    </w:p>
    <w:p w14:paraId="50A2F82C" w14:textId="5CCCF221" w:rsidR="00600376" w:rsidRDefault="00600376" w:rsidP="00DB73C3">
      <w:pPr>
        <w:ind w:left="720" w:hanging="720"/>
      </w:pPr>
    </w:p>
    <w:p w14:paraId="3D71CF87" w14:textId="77777777" w:rsidR="00600376" w:rsidRPr="009655FE" w:rsidRDefault="00600376" w:rsidP="00DB73C3">
      <w:pPr>
        <w:ind w:left="720" w:hanging="720"/>
      </w:pPr>
    </w:p>
    <w:p w14:paraId="2AC2629D" w14:textId="68005D7D" w:rsidR="002F479C" w:rsidRPr="00600376" w:rsidRDefault="002F479C" w:rsidP="00DB73C3">
      <w:pPr>
        <w:pStyle w:val="Heading1"/>
        <w:ind w:left="720" w:hanging="720"/>
        <w:rPr>
          <w:sz w:val="40"/>
        </w:rPr>
      </w:pPr>
      <w:proofErr w:type="spellStart"/>
      <w:r w:rsidRPr="00600376">
        <w:rPr>
          <w:sz w:val="40"/>
        </w:rPr>
        <w:lastRenderedPageBreak/>
        <w:t>Oldrich</w:t>
      </w:r>
      <w:proofErr w:type="spellEnd"/>
      <w:r w:rsidRPr="00600376">
        <w:rPr>
          <w:sz w:val="40"/>
        </w:rPr>
        <w:t xml:space="preserve"> Vasicek – An </w:t>
      </w:r>
      <w:r w:rsidR="009C4CA6" w:rsidRPr="00600376">
        <w:rPr>
          <w:sz w:val="40"/>
        </w:rPr>
        <w:t>E</w:t>
      </w:r>
      <w:r w:rsidRPr="00600376">
        <w:rPr>
          <w:sz w:val="40"/>
        </w:rPr>
        <w:t xml:space="preserve">quilibrium </w:t>
      </w:r>
      <w:r w:rsidR="009C4CA6" w:rsidRPr="00600376">
        <w:rPr>
          <w:sz w:val="40"/>
        </w:rPr>
        <w:t>C</w:t>
      </w:r>
      <w:r w:rsidRPr="00600376">
        <w:rPr>
          <w:sz w:val="40"/>
        </w:rPr>
        <w:t xml:space="preserve">haracterization of the </w:t>
      </w:r>
      <w:r w:rsidR="009C4CA6" w:rsidRPr="00600376">
        <w:rPr>
          <w:sz w:val="40"/>
        </w:rPr>
        <w:t>T</w:t>
      </w:r>
      <w:r w:rsidRPr="00600376">
        <w:rPr>
          <w:sz w:val="40"/>
        </w:rPr>
        <w:t xml:space="preserve">erm </w:t>
      </w:r>
      <w:r w:rsidR="009C4CA6" w:rsidRPr="00600376">
        <w:rPr>
          <w:sz w:val="40"/>
        </w:rPr>
        <w:t>S</w:t>
      </w:r>
      <w:r w:rsidRPr="00600376">
        <w:rPr>
          <w:sz w:val="40"/>
        </w:rPr>
        <w:t>tructure</w:t>
      </w:r>
      <w:bookmarkEnd w:id="1"/>
    </w:p>
    <w:p w14:paraId="1249865E" w14:textId="77777777" w:rsidR="00DD7734" w:rsidRPr="00DD7734" w:rsidRDefault="00DD7734" w:rsidP="00DB73C3">
      <w:pPr>
        <w:spacing w:after="0"/>
        <w:ind w:left="720" w:hanging="720"/>
        <w:rPr>
          <w:color w:val="FF0000"/>
        </w:rPr>
      </w:pPr>
    </w:p>
    <w:p w14:paraId="2BB62F02" w14:textId="76B1956E" w:rsidR="0015799E" w:rsidRDefault="00622E79" w:rsidP="005933E0">
      <w:pPr>
        <w:spacing w:after="0"/>
        <w:jc w:val="both"/>
      </w:pPr>
      <w:r>
        <w:t>In t</w:t>
      </w:r>
      <w:r w:rsidR="0015799E">
        <w:t>he Vasicek model</w:t>
      </w:r>
      <w:r>
        <w:t>,</w:t>
      </w:r>
      <w:r w:rsidR="0015799E">
        <w:t xml:space="preserve"> the evolution of spot interest rates</w:t>
      </w:r>
      <w:r>
        <w:t xml:space="preserve"> is</w:t>
      </w:r>
      <w:r w:rsidR="0015799E">
        <w:t xml:space="preserve"> characterized by a stochastic </w:t>
      </w:r>
      <w:r w:rsidR="00E841FA">
        <w:t>m</w:t>
      </w:r>
      <w:r w:rsidR="007F4BB1">
        <w:t>ean-reversion</w:t>
      </w:r>
      <w:r w:rsidR="00E841FA">
        <w:t xml:space="preserve"> behavior </w:t>
      </w:r>
      <w:r w:rsidR="0015799E">
        <w:t xml:space="preserve">towards a fundamental long-term value. </w:t>
      </w:r>
      <w:r w:rsidR="005B7CAE">
        <w:t xml:space="preserve">This can be considered as theoretically </w:t>
      </w:r>
      <w:r w:rsidR="3BF0DEFA" w:rsidRPr="3BF0DEFA">
        <w:t>as</w:t>
      </w:r>
      <w:r w:rsidR="3F148359">
        <w:t xml:space="preserve"> </w:t>
      </w:r>
      <w:r w:rsidR="005B7CAE">
        <w:t>consistent with equilibrium economic models.</w:t>
      </w:r>
      <w:r w:rsidR="00650E6E">
        <w:t xml:space="preserve"> In reality, high interest rates impede economic activity while low interest rates reduce savings and investment. Assuming a reasonable fundamental value is congruent</w:t>
      </w:r>
      <w:r w:rsidR="008B23CD">
        <w:t xml:space="preserve"> with reality</w:t>
      </w:r>
      <w:r w:rsidR="00650E6E">
        <w:t xml:space="preserve"> no matter how it is derived.</w:t>
      </w:r>
    </w:p>
    <w:p w14:paraId="3B1995EB" w14:textId="42485675" w:rsidR="0015799E" w:rsidRDefault="0015799E" w:rsidP="00DB73C3">
      <w:pPr>
        <w:spacing w:after="0"/>
        <w:ind w:left="720" w:hanging="720"/>
        <w:jc w:val="both"/>
      </w:pPr>
      <w:r>
        <w:t xml:space="preserve">More precisely, the </w:t>
      </w:r>
      <w:r w:rsidR="00104E4E" w:rsidRPr="000328A7">
        <w:t xml:space="preserve">Vasicek model is an application of </w:t>
      </w:r>
      <w:r w:rsidR="001D490A">
        <w:t xml:space="preserve">the </w:t>
      </w:r>
      <w:r w:rsidR="00104E4E" w:rsidRPr="000328A7">
        <w:t>Ornstein-Uhlenbeck stochastic process</w:t>
      </w:r>
      <w:r>
        <w:t xml:space="preserve"> </w:t>
      </w:r>
      <w:r w:rsidR="00104E4E" w:rsidRPr="000328A7">
        <w:t>whic</w:t>
      </w:r>
      <w:r w:rsidR="00104E4E">
        <w:t>h</w:t>
      </w:r>
    </w:p>
    <w:p w14:paraId="299F6C5D" w14:textId="6BDA925A" w:rsidR="00104E4E" w:rsidRDefault="00104E4E" w:rsidP="00DB73C3">
      <w:pPr>
        <w:spacing w:after="0"/>
        <w:ind w:left="720" w:hanging="720"/>
        <w:jc w:val="both"/>
      </w:pPr>
      <w:r>
        <w:t xml:space="preserve">is an asymptotically stationary </w:t>
      </w:r>
      <w:r w:rsidR="00CF13EB">
        <w:t>and</w:t>
      </w:r>
      <w:r w:rsidRPr="000328A7">
        <w:t xml:space="preserve"> distribu</w:t>
      </w:r>
      <w:r>
        <w:t>ted</w:t>
      </w:r>
      <w:r w:rsidRPr="000328A7">
        <w:t xml:space="preserve"> a</w:t>
      </w:r>
      <w:r>
        <w:t xml:space="preserve">round a </w:t>
      </w:r>
      <w:r w:rsidRPr="000328A7">
        <w:t>long term</w:t>
      </w:r>
      <w:r>
        <w:t xml:space="preserve"> value</w:t>
      </w:r>
      <w:r w:rsidR="0015799E">
        <w:t>.</w:t>
      </w:r>
    </w:p>
    <w:p w14:paraId="7537CDDD" w14:textId="77777777" w:rsidR="0015799E" w:rsidRPr="000328A7" w:rsidRDefault="0015799E" w:rsidP="00DB73C3">
      <w:pPr>
        <w:spacing w:after="0"/>
        <w:ind w:left="720" w:hanging="720"/>
      </w:pPr>
    </w:p>
    <w:p w14:paraId="626BC422" w14:textId="347E4289" w:rsidR="00085EB6" w:rsidRDefault="000B3337" w:rsidP="00DB73C3">
      <w:pPr>
        <w:spacing w:after="0"/>
        <w:ind w:left="720" w:hanging="720"/>
      </w:pPr>
      <w:r>
        <w:t>T</w:t>
      </w:r>
      <w:r w:rsidR="00085EB6">
        <w:t>here are the 3 hypotheses</w:t>
      </w:r>
      <w:r>
        <w:t xml:space="preserve"> underlying the model</w:t>
      </w:r>
      <w:r w:rsidR="00085EB6">
        <w:t>:</w:t>
      </w:r>
    </w:p>
    <w:p w14:paraId="65E15B2A" w14:textId="77777777" w:rsidR="00085EB6" w:rsidRDefault="00085EB6" w:rsidP="00DB73C3">
      <w:pPr>
        <w:pStyle w:val="ListParagraph"/>
        <w:numPr>
          <w:ilvl w:val="0"/>
          <w:numId w:val="4"/>
        </w:numPr>
        <w:ind w:hanging="720"/>
      </w:pPr>
      <w:r>
        <w:t>The spot interest rate follows a diffusion process</w:t>
      </w:r>
    </w:p>
    <w:p w14:paraId="11735538" w14:textId="77777777" w:rsidR="00085EB6" w:rsidRDefault="00085EB6" w:rsidP="00DB73C3">
      <w:pPr>
        <w:pStyle w:val="ListParagraph"/>
        <w:numPr>
          <w:ilvl w:val="0"/>
          <w:numId w:val="4"/>
        </w:numPr>
        <w:ind w:hanging="720"/>
      </w:pPr>
      <w:r>
        <w:t>The price of a discount bond depends only on the spot rate over its term</w:t>
      </w:r>
    </w:p>
    <w:p w14:paraId="1098FB98" w14:textId="77777777" w:rsidR="00085EB6" w:rsidRDefault="00085EB6" w:rsidP="00DB73C3">
      <w:pPr>
        <w:pStyle w:val="ListParagraph"/>
        <w:numPr>
          <w:ilvl w:val="0"/>
          <w:numId w:val="4"/>
        </w:numPr>
        <w:ind w:hanging="720"/>
      </w:pPr>
      <w:r>
        <w:t>The market is efficient (there is no possibility of arbitrage)</w:t>
      </w:r>
    </w:p>
    <w:p w14:paraId="76BCDC12" w14:textId="713CB7A5" w:rsidR="005A1BED" w:rsidRPr="00707CB1" w:rsidRDefault="00085EB6" w:rsidP="00DB73C3">
      <w:pPr>
        <w:spacing w:line="240" w:lineRule="auto"/>
        <w:ind w:left="720" w:hanging="720"/>
        <w:jc w:val="both"/>
      </w:pPr>
      <w:r w:rsidRPr="00707CB1">
        <w:t>T</w:t>
      </w:r>
      <w:r w:rsidR="005A1BED" w:rsidRPr="00707CB1">
        <w:t>he</w:t>
      </w:r>
      <w:r w:rsidR="00310366" w:rsidRPr="00707CB1">
        <w:t xml:space="preserve"> Vasicek </w:t>
      </w:r>
      <w:r w:rsidR="00300254" w:rsidRPr="00707CB1">
        <w:t>model assumes that the</w:t>
      </w:r>
      <w:r w:rsidR="005A1BED" w:rsidRPr="00707CB1">
        <w:t xml:space="preserve"> spot interest rate</w:t>
      </w:r>
      <w:r w:rsidRPr="00707CB1">
        <w:t xml:space="preserve"> </w:t>
      </w:r>
      <w:r w:rsidR="006526E3" w:rsidRPr="00707CB1">
        <w:t>behave</w:t>
      </w:r>
      <w:r w:rsidR="00300254" w:rsidRPr="00707CB1">
        <w:t>s</w:t>
      </w:r>
      <w:r w:rsidRPr="00707CB1">
        <w:t xml:space="preserve"> like </w:t>
      </w:r>
      <w:r w:rsidR="006526E3" w:rsidRPr="00707CB1">
        <w:t>a</w:t>
      </w:r>
      <w:r w:rsidR="00A237A1" w:rsidRPr="00707CB1">
        <w:t xml:space="preserve"> first-order </w:t>
      </w:r>
      <w:r w:rsidRPr="00707CB1">
        <w:t>autoregressive process</w:t>
      </w:r>
      <w:r w:rsidR="00300254" w:rsidRPr="00707CB1">
        <w:t>:</w:t>
      </w:r>
    </w:p>
    <w:p w14:paraId="6813BA10" w14:textId="373BFCDA" w:rsidR="005A1BED" w:rsidRPr="00707CB1" w:rsidRDefault="006526E3" w:rsidP="00DB73C3">
      <w:pPr>
        <w:ind w:left="720" w:hanging="720"/>
      </w:pPr>
      <m:oMathPara>
        <m:oMath>
          <m:r>
            <w:rPr>
              <w:rFonts w:ascii="Cambria Math" w:hAnsi="Cambria Math"/>
            </w:rPr>
            <m:t>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: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=α+β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      where   α=ab   </m:t>
          </m:r>
          <m:r>
            <w:rPr>
              <w:rFonts w:ascii="Cambria Math" w:hAnsi="Cambria Math"/>
              <w:color w:val="A6A6A6" w:themeColor="background1" w:themeShade="A6"/>
            </w:rPr>
            <m:t>;</m:t>
          </m:r>
          <m:r>
            <w:rPr>
              <w:rFonts w:ascii="Cambria Math" w:hAnsi="Cambria Math"/>
            </w:rPr>
            <m:t xml:space="preserve">   β=1-a   </m:t>
          </m:r>
          <m:r>
            <w:rPr>
              <w:rFonts w:ascii="Cambria Math" w:hAnsi="Cambria Math"/>
              <w:color w:val="A6A6A6" w:themeColor="background1" w:themeShade="A6"/>
            </w:rPr>
            <m:t>;</m:t>
          </m:r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  <w:color w:val="A6A6A6" w:themeColor="background1" w:themeShade="A6"/>
            </w:rPr>
            <m:t>;</m:t>
          </m:r>
          <m:r>
            <w:rPr>
              <w:rFonts w:ascii="Cambria Math" w:hAnsi="Cambria Math"/>
            </w:rPr>
            <m:t xml:space="preserve">   t∈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0,1,…,n</m:t>
              </m:r>
            </m:e>
          </m:d>
        </m:oMath>
      </m:oMathPara>
    </w:p>
    <w:p w14:paraId="31F679C6" w14:textId="358E5A24" w:rsidR="00085EB6" w:rsidRPr="00707CB1" w:rsidRDefault="00085EB6" w:rsidP="00DB73C3">
      <w:pPr>
        <w:spacing w:line="240" w:lineRule="auto"/>
        <w:ind w:left="720" w:hanging="720"/>
      </w:pPr>
      <w:r w:rsidRPr="00707CB1">
        <w:t>The latter equation could be rewritten as</w:t>
      </w:r>
      <w:r w:rsidR="0060721F" w:rsidRPr="00707CB1">
        <w:t>:</w:t>
      </w:r>
    </w:p>
    <w:p w14:paraId="531943AA" w14:textId="67C5DC6F" w:rsidR="00104E4E" w:rsidRPr="00707CB1" w:rsidRDefault="005A1BED" w:rsidP="00DB73C3">
      <w:pPr>
        <w:ind w:left="720" w:hanging="72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=ab+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612ADDAC" w14:textId="6F7B9B77" w:rsidR="00ED3F4B" w:rsidRPr="000328A7" w:rsidRDefault="0060721F" w:rsidP="00DB73C3">
      <w:pPr>
        <w:tabs>
          <w:tab w:val="left" w:pos="3423"/>
        </w:tabs>
        <w:spacing w:line="240" w:lineRule="auto"/>
        <w:ind w:left="720" w:hanging="720"/>
      </w:pPr>
      <w:r>
        <w:t>Therefore, t</w:t>
      </w:r>
      <w:r w:rsidR="009847D8">
        <w:t xml:space="preserve">he evolution of the spot interest is thus determined by the following </w:t>
      </w:r>
      <w:r w:rsidR="006526E3">
        <w:t>diffusion process</w:t>
      </w:r>
      <w:r w:rsidR="009847D8">
        <w:t xml:space="preserve">: </w:t>
      </w:r>
    </w:p>
    <w:p w14:paraId="5CAEF64C" w14:textId="438C352F" w:rsidR="002522B6" w:rsidRPr="000F7594" w:rsidRDefault="002522B6" w:rsidP="00DB73C3">
      <w:pPr>
        <w:ind w:left="720" w:hanging="720"/>
      </w:pPr>
      <w:bookmarkStart w:id="2" w:name="_Hlk500155660"/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dt+σd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5FDA6CCB" w14:textId="5C12C7DF" w:rsidR="000F7594" w:rsidRPr="00A3142D" w:rsidRDefault="000F7594" w:rsidP="00DB73C3">
      <w:pPr>
        <w:ind w:left="720" w:hanging="720"/>
      </w:pPr>
      <w:r>
        <w:t xml:space="preserve">This form </w:t>
      </w:r>
      <w:r w:rsidR="009A5F3E">
        <w:t xml:space="preserve">is most often used to refer to the </w:t>
      </w:r>
      <w:r w:rsidR="002C294F">
        <w:t>Vasicek model.</w:t>
      </w:r>
    </w:p>
    <w:bookmarkEnd w:id="2"/>
    <w:p w14:paraId="5DA07F05" w14:textId="7FD9E469" w:rsidR="00A3142D" w:rsidRPr="004E09B1" w:rsidRDefault="00A3142D" w:rsidP="00DB73C3">
      <w:pPr>
        <w:spacing w:after="0"/>
        <w:ind w:left="720" w:hanging="720"/>
      </w:pPr>
      <w:r>
        <w:t>Where:</w:t>
      </w:r>
    </w:p>
    <w:p w14:paraId="3F2BB333" w14:textId="4A0B9DED" w:rsidR="002522B6" w:rsidRPr="00BE7F40" w:rsidRDefault="002522B6" w:rsidP="00BE7F40">
      <w:pPr>
        <w:pStyle w:val="ListParagraph"/>
        <w:numPr>
          <w:ilvl w:val="0"/>
          <w:numId w:val="12"/>
        </w:numPr>
        <w:spacing w:after="0"/>
        <w:rPr>
          <w:lang w:val="en-CA"/>
        </w:rPr>
      </w:pPr>
      <m:oMath>
        <m:r>
          <w:rPr>
            <w:rFonts w:ascii="Cambria Math" w:hAnsi="Cambria Math"/>
            <w:lang w:val="fr-FR"/>
          </w:rPr>
          <m:t>a</m:t>
        </m:r>
      </m:oMath>
      <w:r w:rsidRPr="00182106">
        <w:t xml:space="preserve"> –</w:t>
      </w:r>
      <w:r w:rsidR="00182106" w:rsidRPr="00182106">
        <w:t xml:space="preserve"> </w:t>
      </w:r>
      <w:r w:rsidRPr="00182106">
        <w:t>convergence</w:t>
      </w:r>
      <w:r w:rsidR="00182106" w:rsidRPr="00182106">
        <w:t xml:space="preserve"> </w:t>
      </w:r>
      <w:r w:rsidRPr="00182106">
        <w:t>speed</w:t>
      </w:r>
      <w:r w:rsidR="00892224">
        <w:t xml:space="preserve"> factor</w:t>
      </w:r>
    </w:p>
    <w:p w14:paraId="0A869375" w14:textId="60B47AB9" w:rsidR="002522B6" w:rsidRPr="002522B6" w:rsidRDefault="002522B6" w:rsidP="00BE7F40">
      <w:pPr>
        <w:pStyle w:val="ListParagraph"/>
        <w:numPr>
          <w:ilvl w:val="0"/>
          <w:numId w:val="12"/>
        </w:numPr>
        <w:spacing w:after="0"/>
      </w:pPr>
      <m:oMath>
        <m:r>
          <w:rPr>
            <w:rFonts w:ascii="Cambria Math" w:hAnsi="Cambria Math"/>
            <w:lang w:val="fr-FR"/>
          </w:rPr>
          <m:t>b</m:t>
        </m:r>
      </m:oMath>
      <w:r w:rsidRPr="002522B6">
        <w:t xml:space="preserve"> – convergence limit (fundamental value of the spot rate; cou</w:t>
      </w:r>
      <w:proofErr w:type="spellStart"/>
      <w:r>
        <w:t>ld</w:t>
      </w:r>
      <w:proofErr w:type="spellEnd"/>
      <w:r>
        <w:t xml:space="preserve"> be time dependent</w:t>
      </w:r>
      <w:r w:rsidRPr="002522B6">
        <w:t xml:space="preserve"> - </w:t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</m:t>
            </m:r>
          </m:e>
        </m:d>
      </m:oMath>
      <w:r w:rsidRPr="002522B6">
        <w:t>)</w:t>
      </w:r>
    </w:p>
    <w:p w14:paraId="11BAF170" w14:textId="77777777" w:rsidR="006526E3" w:rsidRDefault="002522B6" w:rsidP="00BE7F40">
      <w:pPr>
        <w:pStyle w:val="ListParagraph"/>
        <w:numPr>
          <w:ilvl w:val="0"/>
          <w:numId w:val="12"/>
        </w:numPr>
      </w:pPr>
      <m:oMath>
        <m:r>
          <w:rPr>
            <w:rFonts w:ascii="Cambria Math" w:hAnsi="Cambria Math"/>
            <w:lang w:val="fr-FR"/>
          </w:rPr>
          <m:t>σ</m:t>
        </m:r>
      </m:oMath>
      <w:r w:rsidRPr="006526E3">
        <w:t xml:space="preserve"> </w:t>
      </w:r>
      <w:r w:rsidRPr="00182106">
        <w:t>–</w:t>
      </w:r>
      <w:r w:rsidRPr="006526E3">
        <w:t xml:space="preserve"> </w:t>
      </w:r>
      <w:r w:rsidR="00182106" w:rsidRPr="006526E3">
        <w:t xml:space="preserve">instantaneous volatility or randomness impacting the evolution of the interest rate </w:t>
      </w:r>
    </w:p>
    <w:p w14:paraId="16B2B852" w14:textId="5C477D56" w:rsidR="006E2987" w:rsidRDefault="0030256C" w:rsidP="00BE7F40">
      <w:pPr>
        <w:pStyle w:val="ListParagraph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t</m:t>
            </m:r>
          </m:sub>
        </m:sSub>
      </m:oMath>
      <w:r w:rsidR="006E2987" w:rsidRPr="006526E3">
        <w:t xml:space="preserve"> – Wiener proc</w:t>
      </w:r>
      <w:proofErr w:type="spellStart"/>
      <w:r w:rsidR="006E2987" w:rsidRPr="006526E3">
        <w:t>ess</w:t>
      </w:r>
      <w:proofErr w:type="spellEnd"/>
    </w:p>
    <w:p w14:paraId="3DA03D9C" w14:textId="2AEDF23D" w:rsidR="008B23CD" w:rsidRDefault="008B23CD" w:rsidP="00BE7F40">
      <w:pPr>
        <w:pStyle w:val="ListParagraph"/>
        <w:numPr>
          <w:ilvl w:val="0"/>
          <w:numId w:val="12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– expected instantaneous change of the spot rate</w:t>
      </w:r>
    </w:p>
    <w:p w14:paraId="2879D176" w14:textId="09487D94" w:rsidR="008B23CD" w:rsidRDefault="008B23CD" w:rsidP="00BE7F40">
      <w:pPr>
        <w:pStyle w:val="ListParagraph"/>
        <w:numPr>
          <w:ilvl w:val="0"/>
          <w:numId w:val="12"/>
        </w:numPr>
      </w:pPr>
      <m:oMath>
        <m:r>
          <w:rPr>
            <w:rFonts w:ascii="Cambria Math" w:hAnsi="Cambria Math"/>
          </w:rPr>
          <m:t>σd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– exogenous shocks impacting the spot rate </w:t>
      </w:r>
    </w:p>
    <w:p w14:paraId="1A1B656A" w14:textId="6A6ADFCA" w:rsidR="00DD274F" w:rsidRDefault="00DD274F" w:rsidP="00DB73C3">
      <w:pPr>
        <w:spacing w:after="0"/>
        <w:ind w:left="720" w:hanging="720"/>
      </w:pPr>
    </w:p>
    <w:p w14:paraId="21183601" w14:textId="77777777" w:rsidR="00864567" w:rsidRDefault="00864567" w:rsidP="00DB73C3">
      <w:pPr>
        <w:spacing w:after="0"/>
        <w:ind w:left="720" w:hanging="720"/>
      </w:pPr>
    </w:p>
    <w:p w14:paraId="3D0659AD" w14:textId="55618AEC" w:rsidR="00D73E2C" w:rsidRDefault="000E2C7D" w:rsidP="00DB73C3">
      <w:pPr>
        <w:spacing w:after="0"/>
        <w:ind w:left="720" w:hanging="720"/>
      </w:pPr>
      <w:r>
        <w:t>A</w:t>
      </w:r>
      <w:r w:rsidR="00D73E2C">
        <w:t xml:space="preserve">nother </w:t>
      </w:r>
      <w:r>
        <w:t xml:space="preserve">transformed </w:t>
      </w:r>
      <w:r w:rsidR="00D73E2C">
        <w:t>form of the model is:</w:t>
      </w:r>
    </w:p>
    <w:p w14:paraId="5219B441" w14:textId="6A471BCF" w:rsidR="00D73E2C" w:rsidRPr="00D73E2C" w:rsidRDefault="0030256C" w:rsidP="00DB73C3">
      <w:pPr>
        <w:ind w:left="720" w:hanging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fr-F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-at</m:t>
                  </m:r>
                </m:sup>
              </m:sSup>
            </m:e>
          </m:d>
          <m:r>
            <w:rPr>
              <w:rFonts w:ascii="Cambria Math" w:hAnsi="Cambria Math"/>
            </w:rPr>
            <m:t>+σ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5785633E" w14:textId="1BAFF075" w:rsidR="00EF5BD2" w:rsidRDefault="00D73E2C" w:rsidP="00DB73C3">
      <w:pPr>
        <w:ind w:left="720" w:hanging="720"/>
      </w:pPr>
      <w:r>
        <w:t>This one makes easy to obtain t</w:t>
      </w:r>
      <w:r w:rsidR="00D82C56">
        <w:t>he expected value and the variance of the process</w:t>
      </w:r>
      <w:r>
        <w:t xml:space="preserve"> which</w:t>
      </w:r>
      <w:r w:rsidR="002B53D1">
        <w:t xml:space="preserve"> </w:t>
      </w:r>
      <w:r w:rsidR="009B1208">
        <w:t>are</w:t>
      </w:r>
      <w:r w:rsidR="002B53D1">
        <w:t>:</w:t>
      </w:r>
    </w:p>
    <w:p w14:paraId="432961A7" w14:textId="2D1212E6" w:rsidR="006526E3" w:rsidRPr="0020000C" w:rsidRDefault="0012242D" w:rsidP="00DB73C3">
      <w:pPr>
        <w:ind w:left="720" w:hanging="720"/>
        <w:rPr>
          <w:lang w:val="fr-FR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  <w:lang w:val="fr-F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r</m:t>
              </m:r>
            </m:e>
            <m:sub>
              <m:r>
                <w:rPr>
                  <w:rFonts w:ascii="Cambria Math" w:hAnsi="Cambria Math"/>
                  <w:lang w:val="fr-FR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e</m:t>
              </m:r>
            </m:e>
            <m:sup>
              <m:r>
                <w:rPr>
                  <w:rFonts w:ascii="Cambria Math" w:hAnsi="Cambria Math"/>
                  <w:lang w:val="fr-FR"/>
                </w:rPr>
                <m:t>-at</m:t>
              </m:r>
            </m:sup>
          </m:sSup>
          <m:r>
            <w:rPr>
              <w:rFonts w:ascii="Cambria Math" w:hAnsi="Cambria Math"/>
              <w:lang w:val="fr-FR"/>
            </w:rPr>
            <m:t>+b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-at</m:t>
                  </m:r>
                </m:sup>
              </m:sSup>
            </m:e>
          </m:d>
          <m:r>
            <w:rPr>
              <w:rFonts w:ascii="Cambria Math" w:hAnsi="Cambria Math"/>
              <w:lang w:val="fr-FR"/>
            </w:rPr>
            <m:t xml:space="preserve">      </m:t>
          </m:r>
          <m:func>
            <m:funcPr>
              <m:ctrlPr>
                <w:rPr>
                  <w:rFonts w:ascii="Cambria Math" w:hAnsi="Cambria Math"/>
                  <w:i/>
                  <w:lang w:val="fr-F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fr-FR"/>
                    </w:rPr>
                    <m:t>t→∞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hAnsi="Cambria Math"/>
                  <w:lang w:val="fr-FR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fr-FR"/>
            </w:rPr>
            <m:t>=b</m:t>
          </m:r>
        </m:oMath>
      </m:oMathPara>
    </w:p>
    <w:p w14:paraId="5D132C51" w14:textId="0686FF2D" w:rsidR="00A27EB0" w:rsidRPr="001621ED" w:rsidRDefault="0012242D" w:rsidP="00DB73C3">
      <w:pPr>
        <w:ind w:left="720" w:hanging="720"/>
        <w:rPr>
          <w:lang w:val="fr-FR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  <w:lang w:val="fr-FR"/>
            </w:rPr>
            <w:lastRenderedPageBreak/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fr-FR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-2at</m:t>
                  </m:r>
                </m:sup>
              </m:sSup>
            </m:e>
          </m:d>
          <m:r>
            <w:rPr>
              <w:rFonts w:ascii="Cambria Math" w:hAnsi="Cambria Math"/>
              <w:lang w:val="fr-FR"/>
            </w:rPr>
            <m:t xml:space="preserve">                </m:t>
          </m:r>
          <m:func>
            <m:funcPr>
              <m:ctrlPr>
                <w:rPr>
                  <w:rFonts w:ascii="Cambria Math" w:hAnsi="Cambria Math"/>
                  <w:i/>
                  <w:lang w:val="fr-F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fr-FR"/>
                    </w:rPr>
                    <m:t>t→∞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hAnsi="Cambria Math"/>
                  <w:lang w:val="fr-FR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fr-FR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den>
          </m:f>
        </m:oMath>
      </m:oMathPara>
    </w:p>
    <w:p w14:paraId="2DE818A4" w14:textId="2778DAB3" w:rsidR="001621ED" w:rsidRPr="00B21B99" w:rsidRDefault="001621ED" w:rsidP="00DB73C3">
      <w:pPr>
        <w:ind w:left="720" w:hanging="720"/>
      </w:pPr>
      <w:r w:rsidRPr="001621ED">
        <w:t xml:space="preserve">Where </w:t>
      </w:r>
      <m:oMath>
        <m:r>
          <w:rPr>
            <w:rFonts w:ascii="Cambria Math" w:hAnsi="Cambria Math"/>
          </w:rPr>
          <m:t>0≤s≤</m:t>
        </m:r>
        <m:r>
          <w:rPr>
            <w:rFonts w:ascii="Cambria Math" w:hAnsi="Cambria Math"/>
            <w:lang w:val="fr-FR"/>
          </w:rPr>
          <m:t>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fr-FR"/>
          </w:rPr>
          <m:t>T</m:t>
        </m:r>
      </m:oMath>
    </w:p>
    <w:p w14:paraId="7E6C17D4" w14:textId="5341272B" w:rsidR="00EB4E2D" w:rsidRDefault="0025344E" w:rsidP="00DB73C3">
      <w:pPr>
        <w:ind w:left="720" w:hanging="720"/>
      </w:pPr>
      <w:r>
        <w:t xml:space="preserve">The </w:t>
      </w:r>
      <w:r w:rsidR="006526E3">
        <w:t xml:space="preserve">process </w:t>
      </w:r>
      <w:r>
        <w:t>is asymptotically</w:t>
      </w:r>
      <w:r w:rsidR="006526E3">
        <w:t xml:space="preserve"> stationary around the fundamental value </w:t>
      </w:r>
      <m:oMath>
        <m:r>
          <w:rPr>
            <w:rFonts w:ascii="Cambria Math" w:hAnsi="Cambria Math"/>
          </w:rPr>
          <m:t>b</m:t>
        </m:r>
      </m:oMath>
      <w:r w:rsidR="00466A5F">
        <w:t>. The long-term variance</w:t>
      </w:r>
      <w:r w:rsidR="00C71BD6">
        <w:t xml:space="preserve"> shows </w:t>
      </w:r>
      <w:r w:rsidR="0035335C" w:rsidRPr="0035335C">
        <w:t>t</w:t>
      </w:r>
      <w:r w:rsidR="0035335C">
        <w:t xml:space="preserve">hat </w:t>
      </w:r>
      <m:oMath>
        <m:r>
          <w:rPr>
            <w:rFonts w:ascii="Cambria Math" w:hAnsi="Cambria Math"/>
          </w:rPr>
          <m:t>a</m:t>
        </m:r>
      </m:oMath>
      <w:r w:rsidR="0035335C">
        <w:t xml:space="preserve"> and </w:t>
      </w:r>
      <m:oMath>
        <m:r>
          <w:rPr>
            <w:rFonts w:ascii="Cambria Math" w:hAnsi="Cambria Math"/>
          </w:rPr>
          <m:t>σ</m:t>
        </m:r>
      </m:oMath>
      <w:r w:rsidR="0035335C">
        <w:t xml:space="preserve"> </w:t>
      </w:r>
      <w:r w:rsidR="00ED0C60">
        <w:t xml:space="preserve">partially </w:t>
      </w:r>
      <w:r w:rsidR="0035335C">
        <w:t>counteract</w:t>
      </w:r>
      <w:r w:rsidR="002A2D5A">
        <w:t xml:space="preserve"> each other’s effect. Increas</w:t>
      </w:r>
      <w:r w:rsidR="00E878C9">
        <w:t>e in</w:t>
      </w:r>
      <w:r w:rsidR="002A2D5A">
        <w:t xml:space="preserve"> </w:t>
      </w:r>
      <m:oMath>
        <m:r>
          <w:rPr>
            <w:rFonts w:ascii="Cambria Math" w:hAnsi="Cambria Math"/>
          </w:rPr>
          <m:t>a</m:t>
        </m:r>
      </m:oMath>
      <w:r w:rsidR="00ED0C60">
        <w:t xml:space="preserve"> </w:t>
      </w:r>
      <w:r w:rsidR="006571EF">
        <w:t>represents a</w:t>
      </w:r>
      <w:r w:rsidR="00B731E3">
        <w:t xml:space="preserve"> faster convergence </w:t>
      </w:r>
      <w:r w:rsidR="00132CE4">
        <w:t xml:space="preserve">speed which </w:t>
      </w:r>
      <w:r w:rsidR="003E4DE7">
        <w:t>could offset a</w:t>
      </w:r>
      <w:r w:rsidR="00414AC1">
        <w:t xml:space="preserve"> non-proportional</w:t>
      </w:r>
      <w:r w:rsidR="003E4DE7">
        <w:t xml:space="preserve"> increase in </w:t>
      </w:r>
      <m:oMath>
        <m:r>
          <w:rPr>
            <w:rFonts w:ascii="Cambria Math" w:hAnsi="Cambria Math"/>
          </w:rPr>
          <m:t>σ</m:t>
        </m:r>
      </m:oMath>
      <w:r w:rsidR="003E4DE7">
        <w:t>.</w:t>
      </w:r>
    </w:p>
    <w:p w14:paraId="2C85D0F7" w14:textId="14B1FE2E" w:rsidR="00F7737B" w:rsidRDefault="000E523E" w:rsidP="00DB73C3">
      <w:pPr>
        <w:ind w:left="720" w:hanging="720"/>
        <w:rPr>
          <w:color w:val="FF0000"/>
          <w:lang w:val="en-CA"/>
        </w:rPr>
      </w:pPr>
      <w:r>
        <w:t>The biggest drawback of this model is that</w:t>
      </w:r>
      <w:r w:rsidR="008B23CD">
        <w:t xml:space="preserve"> the interest rates may become negative. </w:t>
      </w:r>
      <w:r w:rsidR="00E2667E">
        <w:t xml:space="preserve">This tendency </w:t>
      </w:r>
      <w:r w:rsidR="008F5C7F">
        <w:t>is considered to be un</w:t>
      </w:r>
      <w:r w:rsidR="00E2667E">
        <w:t xml:space="preserve">realistic </w:t>
      </w:r>
      <w:r>
        <w:t>n</w:t>
      </w:r>
      <w:r w:rsidR="00E2667E">
        <w:t xml:space="preserve">or desirable </w:t>
      </w:r>
      <w:r w:rsidR="008F5C7F">
        <w:t xml:space="preserve">in </w:t>
      </w:r>
      <w:r w:rsidR="002C530B">
        <w:t>most cases</w:t>
      </w:r>
      <w:r w:rsidR="00E2667E">
        <w:t>.</w:t>
      </w:r>
      <w:r w:rsidR="00E2667E" w:rsidRPr="00DD697C">
        <w:rPr>
          <w:color w:val="FF0000"/>
          <w:lang w:val="en-CA"/>
        </w:rPr>
        <w:t xml:space="preserve"> </w:t>
      </w:r>
    </w:p>
    <w:p w14:paraId="58349150" w14:textId="77777777" w:rsidR="007827A2" w:rsidRDefault="007827A2" w:rsidP="00DB73C3">
      <w:pPr>
        <w:ind w:left="720" w:hanging="720"/>
        <w:rPr>
          <w:color w:val="FF0000"/>
          <w:lang w:val="en-CA"/>
        </w:rPr>
      </w:pPr>
    </w:p>
    <w:p w14:paraId="53A0FFFA" w14:textId="57690ABA" w:rsidR="007827A2" w:rsidRPr="007827A2" w:rsidRDefault="007827A2" w:rsidP="00DB73C3">
      <w:pPr>
        <w:ind w:left="720" w:hanging="720"/>
        <w:rPr>
          <w:b/>
          <w:lang w:val="en-CA"/>
        </w:rPr>
      </w:pPr>
      <w:r w:rsidRPr="007827A2">
        <w:rPr>
          <w:b/>
          <w:lang w:val="en-CA"/>
        </w:rPr>
        <w:t>Simulation of the model and pricing of a zero-coupon bond using R</w:t>
      </w:r>
    </w:p>
    <w:p w14:paraId="34ED13C9" w14:textId="721F24AD" w:rsidR="002A2424" w:rsidRPr="00F7737B" w:rsidRDefault="00F7737B" w:rsidP="00DB73C3">
      <w:pPr>
        <w:ind w:left="720" w:hanging="720"/>
      </w:pPr>
      <w:r w:rsidRPr="00F7737B">
        <w:t xml:space="preserve">In order to perform simulations of the Vasicek model, equation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Pr="00F7737B">
        <w:t xml:space="preserve"> can be </w:t>
      </w:r>
      <w:r w:rsidR="004D0DCD">
        <w:t>approximated</w:t>
      </w:r>
      <w:r w:rsidRPr="00F7737B">
        <w:t xml:space="preserve"> in discrete terms</w:t>
      </w:r>
      <w:r w:rsidR="004D0DCD">
        <w:t xml:space="preserve"> by</w:t>
      </w:r>
      <w:r w:rsidRPr="00F7737B">
        <w:t>:</w:t>
      </w:r>
    </w:p>
    <w:p w14:paraId="535998B3" w14:textId="2EF83F77" w:rsidR="00DA1A52" w:rsidRPr="00F7737B" w:rsidRDefault="0030256C" w:rsidP="00DB73C3">
      <w:pPr>
        <w:ind w:left="720" w:hanging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+σ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 xml:space="preserve">t 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2a</m:t>
                  </m:r>
                </m:den>
              </m:f>
            </m:e>
          </m:ra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</m:oMath>
      </m:oMathPara>
    </w:p>
    <w:p w14:paraId="33E8BC1D" w14:textId="71AE3C05" w:rsidR="002A2424" w:rsidRDefault="002A2424" w:rsidP="00DB73C3">
      <w:pPr>
        <w:ind w:left="720" w:hanging="720"/>
        <w:rPr>
          <w:color w:val="FF0000"/>
        </w:rPr>
      </w:pPr>
    </w:p>
    <w:p w14:paraId="4AF82168" w14:textId="77777777" w:rsidR="00F7737B" w:rsidRPr="004C2B29" w:rsidRDefault="00F7737B" w:rsidP="00DB73C3">
      <w:pPr>
        <w:ind w:left="720" w:hanging="720"/>
        <w:rPr>
          <w:color w:val="FF0000"/>
        </w:rPr>
      </w:pPr>
    </w:p>
    <w:p w14:paraId="2C9894ED" w14:textId="7C6534AF" w:rsidR="00D73E2C" w:rsidRPr="000E2C7D" w:rsidRDefault="00D73E2C" w:rsidP="00DB73C3">
      <w:pPr>
        <w:ind w:left="720" w:hanging="720"/>
      </w:pPr>
      <w:r w:rsidRPr="000E2C7D">
        <w:t xml:space="preserve">The price of a zero-coupon bond with maturity </w:t>
      </w:r>
      <m:oMath>
        <m:r>
          <w:rPr>
            <w:rFonts w:ascii="Cambria Math" w:hAnsi="Cambria Math"/>
          </w:rPr>
          <m:t>T</m:t>
        </m:r>
      </m:oMath>
      <w:r w:rsidRPr="000E2C7D">
        <w:t xml:space="preserve"> a</w:t>
      </w:r>
      <w:r w:rsidR="001E7BC4" w:rsidRPr="000E2C7D">
        <w:t xml:space="preserve">t time </w:t>
      </w:r>
      <m:oMath>
        <m:r>
          <w:rPr>
            <w:rFonts w:ascii="Cambria Math" w:hAnsi="Cambria Math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</m:oMath>
      <w:r w:rsidR="001E7BC4" w:rsidRPr="000E2C7D">
        <w:t xml:space="preserve"> can be obtained by solving:</w:t>
      </w:r>
    </w:p>
    <w:p w14:paraId="70AF143D" w14:textId="69A937F1" w:rsidR="000D24B8" w:rsidRPr="000E2C7D" w:rsidRDefault="00D73E2C" w:rsidP="00DB73C3">
      <w:pPr>
        <w:ind w:left="720" w:hanging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r,t,T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</m:oMath>
      </m:oMathPara>
    </w:p>
    <w:p w14:paraId="4B9C3A17" w14:textId="3F8995FF" w:rsidR="00D73E2C" w:rsidRPr="000E2C7D" w:rsidRDefault="00D73E2C" w:rsidP="00DB73C3">
      <w:pPr>
        <w:ind w:left="720" w:hanging="720"/>
      </w:pPr>
      <w:r w:rsidRPr="000E2C7D">
        <w:t>Where:</w:t>
      </w:r>
    </w:p>
    <w:p w14:paraId="75AA8354" w14:textId="42F4D789" w:rsidR="00D73E2C" w:rsidRPr="000E2C7D" w:rsidRDefault="00D73E2C" w:rsidP="00DB73C3">
      <w:pPr>
        <w:ind w:left="720" w:hanging="720"/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-T+t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</m:oMath>
      </m:oMathPara>
    </w:p>
    <w:p w14:paraId="7C7B9EDE" w14:textId="6692BDB8" w:rsidR="00946AE2" w:rsidRDefault="00946AE2" w:rsidP="00DB73C3">
      <w:pPr>
        <w:ind w:left="720" w:hanging="720"/>
      </w:pPr>
    </w:p>
    <w:p w14:paraId="37509F94" w14:textId="30ACF7D5" w:rsidR="009343B3" w:rsidRPr="00571016" w:rsidRDefault="009343B3" w:rsidP="00DB73C3">
      <w:pPr>
        <w:ind w:left="720" w:hanging="720"/>
        <w:rPr>
          <w:color w:val="FF0000"/>
        </w:rPr>
      </w:pPr>
      <w:r w:rsidRPr="00571016">
        <w:rPr>
          <w:color w:val="FF0000"/>
        </w:rPr>
        <w:t>T</w:t>
      </w:r>
      <w:r w:rsidR="00622E79" w:rsidRPr="00571016">
        <w:rPr>
          <w:color w:val="FF0000"/>
        </w:rPr>
        <w:t>he expected rate of return on any bond in excess of the s</w:t>
      </w:r>
      <w:r w:rsidR="00EC4CE5" w:rsidRPr="00571016">
        <w:rPr>
          <w:color w:val="FF0000"/>
        </w:rPr>
        <w:t>p</w:t>
      </w:r>
      <w:r w:rsidR="00622E79" w:rsidRPr="00571016">
        <w:rPr>
          <w:color w:val="FF0000"/>
        </w:rPr>
        <w:t xml:space="preserve">ot rate is proportional to its standard deviation. </w:t>
      </w:r>
    </w:p>
    <w:p w14:paraId="4AFA34A6" w14:textId="7FEF9555" w:rsidR="00555B87" w:rsidRDefault="00555B87" w:rsidP="00555B87">
      <w:pPr>
        <w:ind w:left="720" w:hanging="720"/>
        <w:rPr>
          <w:color w:val="FF0000"/>
        </w:rPr>
      </w:pPr>
      <w:bookmarkStart w:id="3" w:name="_Toc500065410"/>
    </w:p>
    <w:p w14:paraId="2540E008" w14:textId="0D37E000" w:rsidR="00555B87" w:rsidRDefault="00555B87" w:rsidP="00555B87">
      <w:pPr>
        <w:ind w:left="720" w:hanging="720"/>
        <w:rPr>
          <w:color w:val="FF0000"/>
        </w:rPr>
      </w:pPr>
    </w:p>
    <w:p w14:paraId="33990C49" w14:textId="077B377F" w:rsidR="00600376" w:rsidRDefault="00600376" w:rsidP="00555B87">
      <w:pPr>
        <w:ind w:left="720" w:hanging="720"/>
        <w:rPr>
          <w:color w:val="FF0000"/>
        </w:rPr>
      </w:pPr>
    </w:p>
    <w:p w14:paraId="1D0CC334" w14:textId="12FA5D29" w:rsidR="00600376" w:rsidRDefault="00600376" w:rsidP="00555B87">
      <w:pPr>
        <w:ind w:left="720" w:hanging="720"/>
        <w:rPr>
          <w:color w:val="FF0000"/>
        </w:rPr>
      </w:pPr>
    </w:p>
    <w:p w14:paraId="29D4AC76" w14:textId="4F6E599A" w:rsidR="00600376" w:rsidRDefault="00600376" w:rsidP="00555B87">
      <w:pPr>
        <w:ind w:left="720" w:hanging="720"/>
        <w:rPr>
          <w:color w:val="FF0000"/>
        </w:rPr>
      </w:pPr>
    </w:p>
    <w:p w14:paraId="5770585D" w14:textId="101F83E2" w:rsidR="00600376" w:rsidRDefault="00600376" w:rsidP="00555B87">
      <w:pPr>
        <w:ind w:left="720" w:hanging="720"/>
        <w:rPr>
          <w:color w:val="FF0000"/>
        </w:rPr>
      </w:pPr>
    </w:p>
    <w:p w14:paraId="24133385" w14:textId="0D7ADC23" w:rsidR="00600376" w:rsidRDefault="00600376" w:rsidP="00555B87">
      <w:pPr>
        <w:ind w:left="720" w:hanging="720"/>
        <w:rPr>
          <w:color w:val="FF0000"/>
        </w:rPr>
      </w:pPr>
    </w:p>
    <w:p w14:paraId="3D5BE070" w14:textId="4DF5FE20" w:rsidR="00600376" w:rsidRDefault="00600376" w:rsidP="00555B87">
      <w:pPr>
        <w:ind w:left="720" w:hanging="720"/>
        <w:rPr>
          <w:color w:val="FF0000"/>
        </w:rPr>
      </w:pPr>
    </w:p>
    <w:p w14:paraId="725056F8" w14:textId="7EED6625" w:rsidR="00600376" w:rsidRPr="00571016" w:rsidRDefault="00600376" w:rsidP="00555B87">
      <w:pPr>
        <w:ind w:left="720" w:hanging="720"/>
        <w:rPr>
          <w:color w:val="FF0000"/>
        </w:rPr>
      </w:pPr>
    </w:p>
    <w:p w14:paraId="4221105E" w14:textId="58815C1A" w:rsidR="002F479C" w:rsidRPr="00600376" w:rsidRDefault="002F479C" w:rsidP="00DB73C3">
      <w:pPr>
        <w:pStyle w:val="Heading1"/>
        <w:ind w:left="720" w:hanging="720"/>
        <w:rPr>
          <w:sz w:val="40"/>
        </w:rPr>
      </w:pPr>
      <w:r w:rsidRPr="00600376">
        <w:rPr>
          <w:sz w:val="40"/>
        </w:rPr>
        <w:t xml:space="preserve">John Cox, Jonathan Ingersoll, Stephen Ross – A </w:t>
      </w:r>
      <w:r w:rsidR="009C4CA6" w:rsidRPr="00600376">
        <w:rPr>
          <w:sz w:val="40"/>
        </w:rPr>
        <w:t>T</w:t>
      </w:r>
      <w:r w:rsidRPr="00600376">
        <w:rPr>
          <w:sz w:val="40"/>
        </w:rPr>
        <w:t xml:space="preserve">heory of the </w:t>
      </w:r>
      <w:r w:rsidR="009C4CA6" w:rsidRPr="00600376">
        <w:rPr>
          <w:sz w:val="40"/>
        </w:rPr>
        <w:t>T</w:t>
      </w:r>
      <w:r w:rsidRPr="00600376">
        <w:rPr>
          <w:sz w:val="40"/>
        </w:rPr>
        <w:t xml:space="preserve">erm </w:t>
      </w:r>
      <w:r w:rsidR="009C4CA6" w:rsidRPr="00600376">
        <w:rPr>
          <w:sz w:val="40"/>
        </w:rPr>
        <w:t>S</w:t>
      </w:r>
      <w:r w:rsidRPr="00600376">
        <w:rPr>
          <w:sz w:val="40"/>
        </w:rPr>
        <w:t xml:space="preserve">tructure of </w:t>
      </w:r>
      <w:r w:rsidR="009C4CA6" w:rsidRPr="00600376">
        <w:rPr>
          <w:sz w:val="40"/>
        </w:rPr>
        <w:t>I</w:t>
      </w:r>
      <w:r w:rsidRPr="00600376">
        <w:rPr>
          <w:sz w:val="40"/>
        </w:rPr>
        <w:t xml:space="preserve">nterest </w:t>
      </w:r>
      <w:r w:rsidR="009C4CA6" w:rsidRPr="00600376">
        <w:rPr>
          <w:sz w:val="40"/>
        </w:rPr>
        <w:t>R</w:t>
      </w:r>
      <w:r w:rsidRPr="00600376">
        <w:rPr>
          <w:sz w:val="40"/>
        </w:rPr>
        <w:t>ates</w:t>
      </w:r>
      <w:bookmarkEnd w:id="3"/>
    </w:p>
    <w:p w14:paraId="75B73732" w14:textId="34BBAC2D" w:rsidR="003E5199" w:rsidRPr="003E5199" w:rsidRDefault="003E5199" w:rsidP="00DB73C3">
      <w:pPr>
        <w:spacing w:after="0"/>
        <w:ind w:left="720" w:hanging="720"/>
      </w:pPr>
    </w:p>
    <w:p w14:paraId="1EC9135D" w14:textId="77777777" w:rsidR="00555B87" w:rsidRPr="003E5199" w:rsidRDefault="00555B87" w:rsidP="00DB73C3">
      <w:pPr>
        <w:spacing w:after="0"/>
        <w:ind w:left="720" w:hanging="720"/>
      </w:pPr>
    </w:p>
    <w:p w14:paraId="417F997E" w14:textId="0A3F7514" w:rsidR="00023571" w:rsidRDefault="00466A5F" w:rsidP="00DB73C3">
      <w:pPr>
        <w:ind w:left="720" w:hanging="720"/>
      </w:pPr>
      <w:r>
        <w:t>The Cox-Ingersoll-Ross model is an extension of the Vasicek model.</w:t>
      </w:r>
      <w:r w:rsidR="00622E79">
        <w:t xml:space="preserve"> </w:t>
      </w:r>
      <w:r w:rsidR="00622E79" w:rsidRPr="00FF1966">
        <w:t xml:space="preserve">Unlike Vasicek, </w:t>
      </w:r>
      <w:r w:rsidR="00FF4437">
        <w:t xml:space="preserve">the </w:t>
      </w:r>
      <w:r w:rsidR="00DF6394">
        <w:t>Cox-Ingersoll-Ross (</w:t>
      </w:r>
      <w:r w:rsidR="00622E79" w:rsidRPr="00FF1966">
        <w:t>CIR</w:t>
      </w:r>
      <w:r w:rsidR="00DF6394">
        <w:t>)</w:t>
      </w:r>
      <w:r w:rsidR="00FF4437">
        <w:t xml:space="preserve"> model</w:t>
      </w:r>
      <w:r w:rsidR="00622E79" w:rsidRPr="00FF1966">
        <w:t xml:space="preserve"> is</w:t>
      </w:r>
      <w:r w:rsidR="00FF4437">
        <w:t xml:space="preserve"> based on an </w:t>
      </w:r>
      <w:r w:rsidR="00AC4EE3">
        <w:t xml:space="preserve">intertemporal general </w:t>
      </w:r>
      <w:r w:rsidR="00622E79" w:rsidRPr="00FF1966">
        <w:t>equilibrium model</w:t>
      </w:r>
      <w:r w:rsidR="00AC4EE3">
        <w:t xml:space="preserve"> (</w:t>
      </w:r>
      <w:r w:rsidR="00FF1966">
        <w:t xml:space="preserve">meaning that it is derived </w:t>
      </w:r>
      <w:r w:rsidR="00876AB8">
        <w:t>from</w:t>
      </w:r>
      <w:r w:rsidR="00FF1966">
        <w:t xml:space="preserve"> a hypothetical structure of the economy</w:t>
      </w:r>
      <w:r w:rsidR="00AC4EE3">
        <w:t>).</w:t>
      </w:r>
    </w:p>
    <w:p w14:paraId="2E36BA96" w14:textId="03FA6F91" w:rsidR="00111F97" w:rsidRDefault="00111F97" w:rsidP="00DB73C3">
      <w:pPr>
        <w:ind w:left="720" w:hanging="720"/>
      </w:pPr>
      <w:r>
        <w:t>The derived diffusion process of the spot interest rate is:</w:t>
      </w:r>
    </w:p>
    <w:p w14:paraId="53BD3A84" w14:textId="253F8666" w:rsidR="00876AB8" w:rsidRDefault="00876AB8" w:rsidP="00DB73C3">
      <w:pPr>
        <w:ind w:left="720" w:hanging="720"/>
      </w:pPr>
      <m:oMathPara>
        <m:oMath>
          <m:r>
            <w:rPr>
              <w:rFonts w:ascii="Cambria Math" w:hAnsi="Cambria Math"/>
              <w:sz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lang w:val="fr-FR"/>
            </w:rPr>
            <m:t>=</m:t>
          </m:r>
          <m:r>
            <w:rPr>
              <w:rFonts w:ascii="Cambria Math" w:hAnsi="Cambria Math"/>
              <w:sz w:val="24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b</m:t>
              </m:r>
              <m:r>
                <w:rPr>
                  <w:rFonts w:ascii="Cambria Math" w:hAnsi="Cambria Math"/>
                  <w:sz w:val="24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dt</m:t>
          </m:r>
          <m:r>
            <w:rPr>
              <w:rFonts w:ascii="Cambria Math" w:hAnsi="Cambria Math"/>
              <w:sz w:val="24"/>
              <w:lang w:val="fr-FR"/>
            </w:rPr>
            <m:t>+</m:t>
          </m:r>
          <m:r>
            <w:rPr>
              <w:rFonts w:ascii="Cambria Math" w:hAnsi="Cambria Math"/>
              <w:sz w:val="24"/>
            </w:rPr>
            <m:t>σ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sub>
              </m:sSub>
            </m:e>
          </m:rad>
          <m:r>
            <w:rPr>
              <w:rFonts w:ascii="Cambria Math" w:hAnsi="Cambria Math"/>
              <w:sz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8</m:t>
              </m:r>
            </m:e>
          </m:d>
        </m:oMath>
      </m:oMathPara>
    </w:p>
    <w:p w14:paraId="58C0FD47" w14:textId="0FCD92EA" w:rsidR="00111F97" w:rsidRDefault="00F261D1" w:rsidP="00DB73C3">
      <w:pPr>
        <w:spacing w:after="0"/>
        <w:ind w:left="720" w:hanging="720"/>
      </w:pPr>
      <w:r>
        <w:t xml:space="preserve">The drift factors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remains the same</w:t>
      </w:r>
      <w:r w:rsidR="00101790">
        <w:t xml:space="preserve"> compared to the Vasicek model</w:t>
      </w:r>
      <w:r w:rsidR="00622E79">
        <w:t>, but the diffusion parameter</w:t>
      </w:r>
      <w:r>
        <w:t xml:space="preserve"> is different. The addition of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rad>
      </m:oMath>
      <w:r>
        <w:t xml:space="preserve"> </w:t>
      </w:r>
      <w:r w:rsidR="00A45832">
        <w:t>results</w:t>
      </w:r>
      <w:r w:rsidR="008F16F1">
        <w:t xml:space="preserve"> in</w:t>
      </w:r>
      <w:r w:rsidR="00A45832">
        <w:t xml:space="preserve"> larger deviations when the spot rate is high</w:t>
      </w:r>
      <w:r w:rsidR="000F1651">
        <w:t>, thus increasing the variance of the spot rate</w:t>
      </w:r>
      <w:r w:rsidR="008F16F1">
        <w:t xml:space="preserve"> and in lower deviation when the spot rate is low, thus reducing the variance of the spot rate.</w:t>
      </w:r>
      <w:r w:rsidR="00A45832">
        <w:t xml:space="preserve"> </w:t>
      </w:r>
      <w:r w:rsidR="008F16F1">
        <w:t>The intuition would</w:t>
      </w:r>
      <w:r w:rsidR="008F16F1" w:rsidRPr="008F16F1">
        <w:t xml:space="preserve"> be that spot</w:t>
      </w:r>
      <w:r w:rsidR="008F16F1" w:rsidRPr="008F16F1">
        <w:rPr>
          <w:rFonts w:ascii="Calibri" w:eastAsia="Calibri" w:hAnsi="Calibri" w:cs="Calibri"/>
        </w:rPr>
        <w:t xml:space="preserve"> rates on the market are very low, volatility tends to be also very low.</w:t>
      </w:r>
    </w:p>
    <w:p w14:paraId="12C17A93" w14:textId="6A286AAF" w:rsidR="0075096B" w:rsidRDefault="00111F97" w:rsidP="00DB73C3">
      <w:pPr>
        <w:ind w:left="720" w:hanging="720"/>
      </w:pPr>
      <w:r>
        <w:t>T</w:t>
      </w:r>
      <w:r w:rsidR="00A45832">
        <w:t xml:space="preserve">he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A2AA2">
        <w:t xml:space="preserve"> will never become negative if</w:t>
      </w:r>
      <w:r>
        <w:t xml:space="preserve"> the initial spot interest rate is </w:t>
      </w:r>
      <w:r w:rsidR="00C06FA1">
        <w:t>positive</w:t>
      </w:r>
      <w:r>
        <w:t xml:space="preserve"> and</w:t>
      </w:r>
      <w:r w:rsidR="004A2AA2">
        <w:t xml:space="preserve"> </w:t>
      </w:r>
      <m:oMath>
        <m:r>
          <w:rPr>
            <w:rFonts w:ascii="Cambria Math" w:hAnsi="Cambria Math"/>
          </w:rPr>
          <m:t>2ab&gt;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01790" w:rsidRPr="008A2EEB">
        <w:rPr>
          <w:color w:val="FF0000"/>
        </w:rPr>
        <w:t xml:space="preserve"> </w:t>
      </w:r>
      <w:r w:rsidR="00101790">
        <w:t xml:space="preserve">because the upward drift would </w:t>
      </w:r>
      <w:r w:rsidR="00A45832">
        <w:t xml:space="preserve">be bigger than a negative </w:t>
      </w:r>
      <w:r>
        <w:t>shock. This</w:t>
      </w:r>
      <w:r w:rsidR="706FE4C7">
        <w:t xml:space="preserve"> is attributed to the mean-reverting drift that tends to pull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706FE4C7">
        <w:t xml:space="preserve"> towards the long-run a</w:t>
      </w:r>
      <w:proofErr w:type="spellStart"/>
      <w:r w:rsidR="706FE4C7">
        <w:t>verage</w:t>
      </w:r>
      <w:proofErr w:type="spellEnd"/>
      <w:r w:rsidR="706FE4C7">
        <w:t xml:space="preserve"> </w:t>
      </w:r>
      <m:oMath>
        <m:r>
          <w:rPr>
            <w:rFonts w:ascii="Cambria Math" w:hAnsi="Cambria Math"/>
          </w:rPr>
          <m:t>b</m:t>
        </m:r>
      </m:oMath>
      <w:r w:rsidR="706FE4C7">
        <w:t xml:space="preserve"> </w:t>
      </w:r>
      <w:r w:rsidR="00035AFD">
        <w:t>as well as to</w:t>
      </w:r>
      <w:r w:rsidR="706FE4C7">
        <w:t xml:space="preserve"> the diminishing volatility </w:t>
      </w:r>
      <w:r w:rsidR="00035AFD">
        <w:t>due to</w:t>
      </w:r>
      <w:r w:rsidR="706FE4C7">
        <w:t xml:space="preserve"> </w:t>
      </w:r>
      <m:oMath>
        <m:r>
          <w:rPr>
            <w:rFonts w:ascii="Cambria Math" w:hAnsi="Cambria Math"/>
          </w:rPr>
          <m:t>r(t)</m:t>
        </m:r>
      </m:oMath>
      <w:r w:rsidR="706FE4C7">
        <w:t xml:space="preserve"> </w:t>
      </w:r>
      <w:r w:rsidR="00035AFD">
        <w:t>being closer</w:t>
      </w:r>
      <w:r w:rsidR="706FE4C7">
        <w:t xml:space="preserve"> to </w:t>
      </w:r>
      <w:r>
        <w:t>zero</w:t>
      </w:r>
      <w:r w:rsidR="706FE4C7">
        <w:t xml:space="preserve">. </w:t>
      </w:r>
    </w:p>
    <w:p w14:paraId="311FD700" w14:textId="4B5E1E85" w:rsidR="00C56046" w:rsidRPr="00DF6394" w:rsidRDefault="00A839B5" w:rsidP="00DB73C3">
      <w:pPr>
        <w:ind w:left="720" w:hanging="720"/>
      </w:pPr>
      <w:r w:rsidRPr="00DF6394">
        <w:t>Th</w:t>
      </w:r>
      <w:r w:rsidR="00BF42E7">
        <w:t xml:space="preserve">e </w:t>
      </w:r>
      <w:r w:rsidR="00082E9D">
        <w:t>v</w:t>
      </w:r>
      <w:r w:rsidR="00792A03">
        <w:t xml:space="preserve">alue of the spot rate at time </w:t>
      </w:r>
      <m:oMath>
        <m:r>
          <w:rPr>
            <w:rFonts w:ascii="Cambria Math" w:hAnsi="Cambria Math"/>
          </w:rPr>
          <m:t>t</m:t>
        </m:r>
      </m:oMath>
      <w:r w:rsidR="00792A03" w:rsidRPr="2D61A83F">
        <w:t>is</w:t>
      </w:r>
      <w:r w:rsidR="00792A03">
        <w:t xml:space="preserve"> given by:</w:t>
      </w:r>
    </w:p>
    <w:p w14:paraId="2B045AC8" w14:textId="6EB5B8BA" w:rsidR="008E5D98" w:rsidRPr="00D73E2C" w:rsidRDefault="0030256C" w:rsidP="00DB73C3">
      <w:pPr>
        <w:ind w:left="720" w:hanging="72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fr-F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-at</m:t>
                  </m:r>
                </m:sup>
              </m:sSup>
            </m:e>
          </m:d>
          <m:r>
            <w:rPr>
              <w:rFonts w:ascii="Cambria Math" w:hAnsi="Cambria Math"/>
            </w:rPr>
            <m:t>+σ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</m:oMath>
      </m:oMathPara>
    </w:p>
    <w:p w14:paraId="73BE8489" w14:textId="77777777" w:rsidR="00E90037" w:rsidRPr="0020000C" w:rsidRDefault="00E90037" w:rsidP="00DB73C3">
      <w:pPr>
        <w:ind w:left="720" w:hanging="720"/>
        <w:rPr>
          <w:lang w:val="fr-FR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  <w:lang w:val="fr-F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r</m:t>
              </m:r>
            </m:e>
            <m:sub>
              <m:r>
                <w:rPr>
                  <w:rFonts w:ascii="Cambria Math" w:hAnsi="Cambria Math"/>
                  <w:lang w:val="fr-FR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e</m:t>
              </m:r>
            </m:e>
            <m:sup>
              <m:r>
                <w:rPr>
                  <w:rFonts w:ascii="Cambria Math" w:hAnsi="Cambria Math"/>
                  <w:lang w:val="fr-FR"/>
                </w:rPr>
                <m:t>-at</m:t>
              </m:r>
            </m:sup>
          </m:sSup>
          <m:r>
            <w:rPr>
              <w:rFonts w:ascii="Cambria Math" w:hAnsi="Cambria Math"/>
              <w:lang w:val="fr-FR"/>
            </w:rPr>
            <m:t>+b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-at</m:t>
                  </m:r>
                </m:sup>
              </m:sSup>
            </m:e>
          </m:d>
          <m:r>
            <w:rPr>
              <w:rFonts w:ascii="Cambria Math" w:hAnsi="Cambria Math"/>
              <w:lang w:val="fr-FR"/>
            </w:rPr>
            <m:t xml:space="preserve">                                            </m:t>
          </m:r>
          <m:func>
            <m:funcPr>
              <m:ctrlPr>
                <w:rPr>
                  <w:rFonts w:ascii="Cambria Math" w:hAnsi="Cambria Math"/>
                  <w:i/>
                  <w:lang w:val="fr-F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fr-FR"/>
                    </w:rPr>
                    <m:t>t→∞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hAnsi="Cambria Math"/>
                  <w:lang w:val="fr-FR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fr-FR"/>
            </w:rPr>
            <m:t>=b</m:t>
          </m:r>
        </m:oMath>
      </m:oMathPara>
    </w:p>
    <w:p w14:paraId="6EEF6E7B" w14:textId="77777777" w:rsidR="00E90037" w:rsidRPr="00C56046" w:rsidRDefault="00E90037" w:rsidP="00DB73C3">
      <w:pPr>
        <w:ind w:left="720" w:hanging="720"/>
        <w:rPr>
          <w:lang w:val="fr-FR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  <w:lang w:val="fr-FR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r</m:t>
              </m:r>
            </m:e>
            <m:sub>
              <m:r>
                <w:rPr>
                  <w:rFonts w:ascii="Cambria Math" w:hAnsi="Cambria Math"/>
                  <w:lang w:val="fr-FR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fr-FR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-at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-2at</m:t>
                  </m:r>
                </m:sup>
              </m:sSup>
            </m:e>
          </m:d>
          <m:r>
            <w:rPr>
              <w:rFonts w:ascii="Cambria Math" w:hAnsi="Cambria Math"/>
              <w:lang w:val="fr-F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fr-FR"/>
                </w:rPr>
                <m:t>2a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-2at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fr-FR"/>
                </w:rPr>
                <m:t>2</m:t>
              </m:r>
            </m:sup>
          </m:sSup>
          <m:r>
            <w:rPr>
              <w:rFonts w:ascii="Cambria Math" w:hAnsi="Cambria Math"/>
              <w:lang w:val="fr-FR"/>
            </w:rPr>
            <m:t xml:space="preserve">          </m:t>
          </m:r>
          <m:func>
            <m:funcPr>
              <m:ctrlPr>
                <w:rPr>
                  <w:rFonts w:ascii="Cambria Math" w:hAnsi="Cambria Math"/>
                  <w:i/>
                  <w:lang w:val="fr-F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fr-FR"/>
                    </w:rPr>
                    <m:t>t→∞</m:t>
                  </m:r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hAnsi="Cambria Math"/>
                  <w:lang w:val="fr-FR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fr-FR"/>
                </w:rPr>
                <m:t>2a</m:t>
              </m:r>
            </m:den>
          </m:f>
        </m:oMath>
      </m:oMathPara>
    </w:p>
    <w:p w14:paraId="215C99C4" w14:textId="53D57BEA" w:rsidR="008E5D98" w:rsidRPr="00461C1F" w:rsidRDefault="005F03B9" w:rsidP="00DB73C3">
      <w:pPr>
        <w:ind w:left="720" w:hanging="720"/>
      </w:pPr>
      <w:r w:rsidRPr="00461C1F">
        <w:t>The expected va</w:t>
      </w:r>
      <w:r w:rsidR="00461C1F" w:rsidRPr="00461C1F">
        <w:t xml:space="preserve">lue of the </w:t>
      </w:r>
      <w:r w:rsidR="00461C1F">
        <w:t xml:space="preserve">spot rate is the </w:t>
      </w:r>
      <w:r w:rsidR="00AE432D">
        <w:t xml:space="preserve">same as Vasicek due to the mean-reversion behavior. </w:t>
      </w:r>
      <w:r w:rsidR="009D23BB">
        <w:t xml:space="preserve">The variance is obviously modified due to the additional </w:t>
      </w:r>
      <w:r w:rsidR="00AD62BA">
        <w:t xml:space="preserve">of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rad>
      </m:oMath>
      <w:r w:rsidR="00AD62BA">
        <w:t xml:space="preserve">. The asymptotic </w:t>
      </w:r>
      <w:r w:rsidR="00FF6FF4">
        <w:t>value of the first two moments remain the same.</w:t>
      </w:r>
    </w:p>
    <w:p w14:paraId="204994F2" w14:textId="77777777" w:rsidR="00571016" w:rsidRDefault="00571016" w:rsidP="00DB73C3">
      <w:pPr>
        <w:ind w:left="720" w:hanging="720"/>
        <w:rPr>
          <w:b/>
          <w:lang w:val="en-CA"/>
        </w:rPr>
      </w:pPr>
    </w:p>
    <w:p w14:paraId="360AEA8E" w14:textId="40C352BB" w:rsidR="00571016" w:rsidRPr="007827A2" w:rsidRDefault="00571016" w:rsidP="00DB73C3">
      <w:pPr>
        <w:ind w:left="720" w:hanging="720"/>
        <w:rPr>
          <w:b/>
          <w:lang w:val="en-CA"/>
        </w:rPr>
      </w:pPr>
      <w:r w:rsidRPr="007827A2">
        <w:rPr>
          <w:b/>
          <w:lang w:val="en-CA"/>
        </w:rPr>
        <w:t>Simulation of the model and pricing of a zero-coupon bond using R</w:t>
      </w:r>
    </w:p>
    <w:p w14:paraId="16AB502E" w14:textId="491E3761" w:rsidR="00571016" w:rsidRPr="00F7737B" w:rsidRDefault="00571016" w:rsidP="00DB73C3">
      <w:pPr>
        <w:ind w:left="720" w:hanging="720"/>
      </w:pPr>
      <w:r w:rsidRPr="00F7737B">
        <w:t xml:space="preserve">In order to perform simulations of the </w:t>
      </w:r>
      <w:r>
        <w:t>CIR</w:t>
      </w:r>
      <w:r w:rsidRPr="00F7737B">
        <w:t xml:space="preserve"> model, equation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</m:oMath>
      <w:r w:rsidRPr="00F7737B">
        <w:t xml:space="preserve"> can be </w:t>
      </w:r>
      <w:r>
        <w:t>approximated</w:t>
      </w:r>
      <w:r w:rsidRPr="00F7737B">
        <w:t xml:space="preserve"> in discrete terms</w:t>
      </w:r>
      <w:r>
        <w:t xml:space="preserve"> by</w:t>
      </w:r>
      <w:r w:rsidRPr="00F7737B">
        <w:t>:</w:t>
      </w:r>
    </w:p>
    <w:p w14:paraId="4C32880E" w14:textId="67113FD9" w:rsidR="00C56046" w:rsidRPr="00B57217" w:rsidRDefault="0030256C" w:rsidP="00DB73C3">
      <w:pPr>
        <w:ind w:left="720" w:hanging="72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+σ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 xml:space="preserve">t 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2a</m:t>
                  </m:r>
                </m:den>
              </m:f>
            </m:e>
          </m:ra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</m:oMath>
      </m:oMathPara>
    </w:p>
    <w:p w14:paraId="108E904A" w14:textId="5EBACDCE" w:rsidR="00A52A1D" w:rsidRPr="00B90793" w:rsidRDefault="00A52A1D" w:rsidP="00DB73C3">
      <w:pPr>
        <w:ind w:left="720" w:hanging="720"/>
        <w:rPr>
          <w:color w:val="FF0000"/>
        </w:rPr>
      </w:pPr>
    </w:p>
    <w:p w14:paraId="560FE4C6" w14:textId="2A824971" w:rsidR="0012242D" w:rsidRPr="000E2C7D" w:rsidRDefault="0012242D" w:rsidP="00DB73C3">
      <w:pPr>
        <w:ind w:left="720" w:hanging="720"/>
      </w:pPr>
      <w:r w:rsidRPr="000E2C7D">
        <w:lastRenderedPageBreak/>
        <w:t>The price</w:t>
      </w:r>
      <w:r w:rsidR="001E5DCE">
        <w:t xml:space="preserve"> </w:t>
      </w:r>
      <w:r w:rsidRPr="000E2C7D">
        <w:t xml:space="preserve">of a zero-coupon bond with maturity </w:t>
      </w:r>
      <m:oMath>
        <m:r>
          <w:rPr>
            <w:rFonts w:ascii="Cambria Math" w:hAnsi="Cambria Math"/>
          </w:rPr>
          <m:t>T</m:t>
        </m:r>
      </m:oMath>
      <w:r w:rsidRPr="000E2C7D">
        <w:t xml:space="preserve"> at time </w:t>
      </w:r>
      <m:oMath>
        <m:r>
          <w:rPr>
            <w:rFonts w:ascii="Cambria Math" w:hAnsi="Cambria Math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</m:oMath>
      <w:r w:rsidRPr="000E2C7D">
        <w:t xml:space="preserve"> can be obtained by solving:</w:t>
      </w:r>
    </w:p>
    <w:p w14:paraId="3AC8690E" w14:textId="0CDB137A" w:rsidR="0012242D" w:rsidRPr="000E2C7D" w:rsidRDefault="0012242D" w:rsidP="00DB73C3">
      <w:pPr>
        <w:ind w:left="720" w:hanging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r,t,T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t,T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</m:oMath>
      </m:oMathPara>
    </w:p>
    <w:p w14:paraId="357311DB" w14:textId="007A2166" w:rsidR="0012242D" w:rsidRDefault="0012242D" w:rsidP="00DB73C3">
      <w:pPr>
        <w:ind w:left="720" w:hanging="720"/>
      </w:pPr>
      <w:r w:rsidRPr="000E2C7D">
        <w:t>Where:</w:t>
      </w:r>
    </w:p>
    <w:p w14:paraId="7C92E558" w14:textId="52B2FFB1" w:rsidR="00BC4D03" w:rsidRPr="00B90793" w:rsidRDefault="0012242D" w:rsidP="00DB73C3">
      <w:pPr>
        <w:ind w:left="720" w:hanging="720"/>
        <w:rPr>
          <w:color w:val="FF0000"/>
        </w:rPr>
      </w:pPr>
      <m:oMathPara>
        <m:oMath>
          <m:r>
            <w:rPr>
              <w:rFonts w:ascii="Cambria Math" w:hAnsi="Cambria Math"/>
            </w:rPr>
            <m:t>h=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ht-1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a+h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ht-1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a+h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a+h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ht-1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2ab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</m:t>
              </m:r>
            </m:e>
          </m:d>
        </m:oMath>
      </m:oMathPara>
    </w:p>
    <w:p w14:paraId="5AECEEB0" w14:textId="018D8073" w:rsidR="0030256C" w:rsidRDefault="00DF29E9" w:rsidP="00DB73C3">
      <w:pPr>
        <w:ind w:left="720" w:hanging="720"/>
        <w:rPr>
          <w:color w:val="FF0000"/>
        </w:rPr>
      </w:pPr>
      <w:r>
        <w:rPr>
          <w:color w:val="FF0000"/>
        </w:rPr>
        <w:t xml:space="preserve">CIR </w:t>
      </w:r>
      <w:proofErr w:type="spellStart"/>
      <w:r>
        <w:rPr>
          <w:color w:val="FF0000"/>
        </w:rPr>
        <w:t>european</w:t>
      </w:r>
      <w:proofErr w:type="spellEnd"/>
      <w:r>
        <w:rPr>
          <w:color w:val="FF0000"/>
        </w:rPr>
        <w:t xml:space="preserve"> call on bond – analytic solution</w:t>
      </w:r>
    </w:p>
    <w:p w14:paraId="1D3D0BC8" w14:textId="77777777" w:rsidR="00DF29E9" w:rsidRDefault="00DF29E9" w:rsidP="00DB73C3">
      <w:pPr>
        <w:ind w:left="720" w:hanging="720"/>
        <w:rPr>
          <w:color w:val="FF0000"/>
        </w:rPr>
      </w:pPr>
    </w:p>
    <w:p w14:paraId="4C911BD7" w14:textId="4EA685C0" w:rsidR="0030256C" w:rsidRDefault="0030256C" w:rsidP="00DB73C3">
      <w:pPr>
        <w:ind w:left="720" w:hanging="720"/>
        <w:rPr>
          <w:color w:val="FF0000"/>
        </w:rPr>
      </w:pPr>
    </w:p>
    <w:p w14:paraId="6565ECFE" w14:textId="77777777" w:rsidR="00B6590C" w:rsidRDefault="00B6590C" w:rsidP="00DB73C3">
      <w:pPr>
        <w:ind w:left="720" w:hanging="720"/>
        <w:rPr>
          <w:color w:val="FF0000"/>
        </w:rPr>
      </w:pPr>
    </w:p>
    <w:p w14:paraId="36ECB3A9" w14:textId="0A0F6D19" w:rsidR="007D6630" w:rsidRDefault="007D6630" w:rsidP="00DB73C3">
      <w:pPr>
        <w:ind w:left="720" w:hanging="720"/>
        <w:rPr>
          <w:color w:val="FF0000"/>
        </w:rPr>
      </w:pPr>
      <w:r>
        <w:rPr>
          <w:color w:val="FF0000"/>
        </w:rPr>
        <w:br w:type="page"/>
      </w:r>
    </w:p>
    <w:p w14:paraId="097DCB61" w14:textId="0E7CFBFB" w:rsidR="002F479C" w:rsidRPr="00600376" w:rsidRDefault="002F479C" w:rsidP="00DB73C3">
      <w:pPr>
        <w:pStyle w:val="Heading1"/>
        <w:ind w:left="720" w:hanging="720"/>
        <w:rPr>
          <w:sz w:val="40"/>
        </w:rPr>
      </w:pPr>
      <w:bookmarkStart w:id="4" w:name="_Toc500065411"/>
      <w:r w:rsidRPr="00600376">
        <w:rPr>
          <w:sz w:val="40"/>
        </w:rPr>
        <w:lastRenderedPageBreak/>
        <w:t xml:space="preserve">John Hull, Alan White – Pricing </w:t>
      </w:r>
      <w:r w:rsidR="009C4CA6" w:rsidRPr="00600376">
        <w:rPr>
          <w:sz w:val="40"/>
        </w:rPr>
        <w:t>I</w:t>
      </w:r>
      <w:r w:rsidRPr="00600376">
        <w:rPr>
          <w:sz w:val="40"/>
        </w:rPr>
        <w:t>nterest-</w:t>
      </w:r>
      <w:r w:rsidR="009C4CA6" w:rsidRPr="00600376">
        <w:rPr>
          <w:sz w:val="40"/>
        </w:rPr>
        <w:t>R</w:t>
      </w:r>
      <w:r w:rsidRPr="00600376">
        <w:rPr>
          <w:sz w:val="40"/>
        </w:rPr>
        <w:t>ate-</w:t>
      </w:r>
      <w:r w:rsidR="009C4CA6" w:rsidRPr="00600376">
        <w:rPr>
          <w:sz w:val="40"/>
        </w:rPr>
        <w:t>D</w:t>
      </w:r>
      <w:r w:rsidRPr="00600376">
        <w:rPr>
          <w:sz w:val="40"/>
        </w:rPr>
        <w:t xml:space="preserve">erivative </w:t>
      </w:r>
      <w:r w:rsidR="009C4CA6" w:rsidRPr="00600376">
        <w:rPr>
          <w:sz w:val="40"/>
        </w:rPr>
        <w:t>S</w:t>
      </w:r>
      <w:r w:rsidRPr="00600376">
        <w:rPr>
          <w:sz w:val="40"/>
        </w:rPr>
        <w:t>ecurities</w:t>
      </w:r>
      <w:bookmarkEnd w:id="4"/>
    </w:p>
    <w:p w14:paraId="2DD2A99A" w14:textId="46797291" w:rsidR="00B90793" w:rsidRPr="00B90793" w:rsidRDefault="00B90793" w:rsidP="00DB73C3">
      <w:pPr>
        <w:spacing w:after="0"/>
        <w:ind w:left="720" w:hanging="720"/>
        <w:rPr>
          <w:color w:val="FF0000"/>
        </w:rPr>
      </w:pPr>
    </w:p>
    <w:p w14:paraId="58D59E13" w14:textId="3424A51A" w:rsidR="00876AB8" w:rsidRPr="00FF1966" w:rsidRDefault="00B6590C" w:rsidP="00DB73C3">
      <w:pPr>
        <w:spacing w:after="0"/>
        <w:ind w:left="720" w:hanging="720"/>
      </w:pPr>
      <w:r>
        <w:t xml:space="preserve">John Hull and Alan White (HW) begin their article with a generalization of the </w:t>
      </w:r>
      <w:r w:rsidR="7888B5A1">
        <w:t xml:space="preserve">diffusion process of the spot interest rate </w:t>
      </w:r>
      <w:r>
        <w:t>of</w:t>
      </w:r>
      <w:r w:rsidR="7888B5A1">
        <w:t xml:space="preserve"> the Vasicek and CIR models:</w:t>
      </w:r>
    </w:p>
    <w:p w14:paraId="161E1AD8" w14:textId="261A5F73" w:rsidR="00876AB8" w:rsidRPr="00490007" w:rsidRDefault="00876AB8" w:rsidP="00DB73C3">
      <w:pPr>
        <w:ind w:left="720" w:hanging="72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=a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dt+σ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  <m:sup>
              <m:r>
                <w:rPr>
                  <w:rFonts w:ascii="Cambria Math" w:hAnsi="Cambria Math"/>
                  <w:sz w:val="24"/>
                </w:rPr>
                <m:t>β</m:t>
              </m:r>
            </m:sup>
          </m:sSubSup>
          <m:r>
            <w:rPr>
              <w:rFonts w:ascii="Cambria Math" w:hAnsi="Cambria Math"/>
              <w:sz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</m:t>
              </m:r>
            </m:e>
          </m:d>
        </m:oMath>
      </m:oMathPara>
    </w:p>
    <w:p w14:paraId="1BF87F14" w14:textId="77777777" w:rsidR="00876AB8" w:rsidRPr="00E63723" w:rsidRDefault="00876AB8" w:rsidP="00E6372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63723">
        <w:rPr>
          <w:sz w:val="24"/>
          <w:szCs w:val="24"/>
        </w:rPr>
        <w:t xml:space="preserve">Vasicek:    </w:t>
      </w:r>
      <m:oMath>
        <m:r>
          <w:rPr>
            <w:rFonts w:ascii="Cambria Math" w:hAnsi="Cambria Math"/>
            <w:sz w:val="24"/>
          </w:rPr>
          <m:t>β=0       →      d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  <m:r>
          <w:rPr>
            <w:rFonts w:ascii="Cambria Math" w:hAnsi="Cambria Math"/>
            <w:sz w:val="24"/>
          </w:rPr>
          <m:t>=a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4"/>
          </w:rPr>
          <m:t>dt+σd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</w:p>
    <w:p w14:paraId="272FD4FE" w14:textId="77777777" w:rsidR="00876AB8" w:rsidRPr="00E63723" w:rsidRDefault="00876AB8" w:rsidP="00E63723">
      <w:pPr>
        <w:pStyle w:val="ListParagraph"/>
        <w:numPr>
          <w:ilvl w:val="0"/>
          <w:numId w:val="12"/>
        </w:numPr>
        <w:rPr>
          <w:sz w:val="24"/>
          <w:szCs w:val="24"/>
          <w:lang w:val="fr-FR"/>
        </w:rPr>
      </w:pPr>
      <w:r w:rsidRPr="00E63723">
        <w:rPr>
          <w:sz w:val="24"/>
          <w:szCs w:val="24"/>
          <w:lang w:val="fr-FR"/>
        </w:rPr>
        <w:t>CIR:</w:t>
      </w:r>
      <w:r w:rsidRPr="00E63723">
        <w:rPr>
          <w:sz w:val="24"/>
          <w:lang w:val="fr-FR"/>
        </w:rPr>
        <w:tab/>
      </w:r>
      <w:r w:rsidRPr="00E63723">
        <w:rPr>
          <w:sz w:val="24"/>
          <w:szCs w:val="24"/>
          <w:lang w:val="fr-FR"/>
        </w:rPr>
        <w:t xml:space="preserve">     </w:t>
      </w:r>
      <m:oMath>
        <m:r>
          <w:rPr>
            <w:rFonts w:ascii="Cambria Math" w:hAnsi="Cambria Math"/>
            <w:sz w:val="24"/>
          </w:rPr>
          <m:t>β</m:t>
        </m:r>
        <m:r>
          <w:rPr>
            <w:rFonts w:ascii="Cambria Math" w:hAnsi="Cambria Math"/>
            <w:sz w:val="24"/>
            <w:lang w:val="fr-FR"/>
          </w:rPr>
          <m:t xml:space="preserve">=0.5    →      </m:t>
        </m:r>
        <m:r>
          <w:rPr>
            <w:rFonts w:ascii="Cambria Math" w:hAnsi="Cambria Math"/>
            <w:sz w:val="24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  <m:r>
          <w:rPr>
            <w:rFonts w:ascii="Cambria Math" w:hAnsi="Cambria Math"/>
            <w:sz w:val="24"/>
            <w:lang w:val="fr-FR"/>
          </w:rPr>
          <m:t>=</m:t>
        </m:r>
        <m:r>
          <w:rPr>
            <w:rFonts w:ascii="Cambria Math" w:hAnsi="Cambria Math"/>
            <w:sz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</m:t>
            </m:r>
            <m:r>
              <w:rPr>
                <w:rFonts w:ascii="Cambria Math" w:hAnsi="Cambria Math"/>
                <w:sz w:val="24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4"/>
          </w:rPr>
          <m:t>dt</m:t>
        </m:r>
        <m:r>
          <w:rPr>
            <w:rFonts w:ascii="Cambria Math" w:hAnsi="Cambria Math"/>
            <w:sz w:val="24"/>
            <w:lang w:val="fr-FR"/>
          </w:rPr>
          <m:t>+</m:t>
        </m:r>
        <m:r>
          <w:rPr>
            <w:rFonts w:ascii="Cambria Math" w:hAnsi="Cambria Math"/>
            <w:sz w:val="24"/>
          </w:rPr>
          <m:t>σ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t</m:t>
                </m:r>
              </m:sub>
            </m:sSub>
          </m:e>
        </m:rad>
        <m:r>
          <w:rPr>
            <w:rFonts w:ascii="Cambria Math" w:hAnsi="Cambria Math"/>
            <w:sz w:val="24"/>
          </w:rPr>
          <m:t>d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</w:p>
    <w:p w14:paraId="181C4B23" w14:textId="438833BB" w:rsidR="00111F97" w:rsidRDefault="00111F97" w:rsidP="00DB73C3">
      <w:pPr>
        <w:ind w:left="720" w:hanging="720"/>
      </w:pPr>
      <w:r>
        <w:t>In these versions of the models, it is assumed that the</w:t>
      </w:r>
      <w:r w:rsidRPr="00EE7979">
        <w:t xml:space="preserve"> te</w:t>
      </w:r>
      <w:r>
        <w:t>rm premiums (measuring the rise of the expected return for one unit of risk)</w:t>
      </w:r>
      <w:r w:rsidR="007971C0">
        <w:t xml:space="preserve"> denoted as </w:t>
      </w:r>
      <m:oMath>
        <m:r>
          <w:rPr>
            <w:rFonts w:ascii="Cambria Math" w:hAnsi="Cambria Math"/>
          </w:rPr>
          <m:t>λ</m:t>
        </m:r>
      </m:oMath>
      <w:r>
        <w:t xml:space="preserve"> are equal to 1</w:t>
      </w:r>
      <w:r w:rsidR="007971C0">
        <w:t xml:space="preserve"> (therefore</w:t>
      </w:r>
      <w:r>
        <w:t xml:space="preserve"> </w:t>
      </w:r>
      <m:oMath>
        <m:r>
          <w:rPr>
            <w:rFonts w:ascii="Cambria Math" w:hAnsi="Cambria Math"/>
          </w:rPr>
          <m:t>λσd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971C0">
        <w:t>). This assumption will be used for the rest of this paper.</w:t>
      </w:r>
    </w:p>
    <w:p w14:paraId="5B356679" w14:textId="65AA914F" w:rsidR="001B6B4E" w:rsidRPr="009256D9" w:rsidRDefault="001B6B4E" w:rsidP="00DB73C3">
      <w:pPr>
        <w:ind w:left="720" w:hanging="720"/>
      </w:pPr>
      <w:r w:rsidRPr="009256D9">
        <w:t>Ho and Lee (1986) pioneered a</w:t>
      </w:r>
      <w:r w:rsidR="009256D9" w:rsidRPr="009256D9">
        <w:t xml:space="preserve">n </w:t>
      </w:r>
      <w:r w:rsidRPr="009256D9">
        <w:t>approach</w:t>
      </w:r>
      <w:r w:rsidR="009256D9" w:rsidRPr="009256D9">
        <w:t xml:space="preserve"> to make an interest-rate model </w:t>
      </w:r>
      <w:r w:rsidRPr="009256D9">
        <w:t>consistent with any specified initial term structure.</w:t>
      </w:r>
      <w:r w:rsidR="004C14EF" w:rsidRPr="009256D9">
        <w:t xml:space="preserve"> </w:t>
      </w:r>
      <w:r w:rsidR="009256D9" w:rsidRPr="009256D9">
        <w:t xml:space="preserve">The </w:t>
      </w:r>
      <w:r w:rsidR="00B57217" w:rsidRPr="009256D9">
        <w:t xml:space="preserve">HW </w:t>
      </w:r>
      <w:r w:rsidR="00553BF3" w:rsidRPr="009256D9">
        <w:t xml:space="preserve">models </w:t>
      </w:r>
      <w:r w:rsidR="320ABDA4" w:rsidRPr="320ABDA4">
        <w:t>represent</w:t>
      </w:r>
      <w:r w:rsidR="00553BF3" w:rsidRPr="009256D9">
        <w:t xml:space="preserve"> a mix</w:t>
      </w:r>
      <w:r w:rsidR="00024101" w:rsidRPr="009256D9">
        <w:t xml:space="preserve"> </w:t>
      </w:r>
      <w:r w:rsidR="00553BF3" w:rsidRPr="009256D9">
        <w:t xml:space="preserve">of </w:t>
      </w:r>
      <w:r w:rsidR="00024101" w:rsidRPr="009256D9">
        <w:t xml:space="preserve">the ideas from the </w:t>
      </w:r>
      <w:r w:rsidR="009F3B3B">
        <w:t xml:space="preserve">continuous version </w:t>
      </w:r>
      <w:bookmarkStart w:id="5" w:name="_GoBack"/>
      <w:bookmarkEnd w:id="5"/>
      <w:r w:rsidR="009F3B3B">
        <w:t xml:space="preserve">of the </w:t>
      </w:r>
      <w:r w:rsidR="00553BF3" w:rsidRPr="009256D9">
        <w:t>Ho and Lee model with the Vasicek and CIR models.</w:t>
      </w:r>
      <w:r w:rsidR="009256D9" w:rsidRPr="009256D9">
        <w:t xml:space="preserve"> The general form of the HW models is:</w:t>
      </w:r>
    </w:p>
    <w:p w14:paraId="4607EA06" w14:textId="23D00E3A" w:rsidR="008459CA" w:rsidRPr="009256D9" w:rsidRDefault="008459CA" w:rsidP="00DB73C3">
      <w:pPr>
        <w:ind w:left="720" w:hanging="720"/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dt+σ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</m:t>
              </m:r>
            </m:e>
          </m:d>
        </m:oMath>
      </m:oMathPara>
    </w:p>
    <w:p w14:paraId="0A02D9B8" w14:textId="4F0A616F" w:rsidR="00BA1525" w:rsidRPr="00BA1525" w:rsidRDefault="00BA1525" w:rsidP="00DB73C3">
      <w:pPr>
        <w:spacing w:after="0"/>
        <w:ind w:left="720" w:hanging="720"/>
      </w:pPr>
      <w:r w:rsidRPr="00BA1525">
        <w:t>Where the additions to the Vasicek/CIR model are:</w:t>
      </w:r>
    </w:p>
    <w:p w14:paraId="4F915AEF" w14:textId="76A3D231" w:rsidR="00BA1525" w:rsidRPr="00BA1525" w:rsidRDefault="00BA1525" w:rsidP="00DB73C3">
      <w:pPr>
        <w:pStyle w:val="ListParagraph"/>
        <w:numPr>
          <w:ilvl w:val="0"/>
          <w:numId w:val="4"/>
        </w:numPr>
        <w:ind w:hanging="720"/>
      </w:pP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BA1525">
        <w:t xml:space="preserve"> – time-dependent drift </w:t>
      </w:r>
    </w:p>
    <w:p w14:paraId="05C3A9E0" w14:textId="33433C54" w:rsidR="00BA1525" w:rsidRPr="00BA1525" w:rsidRDefault="00BA1525" w:rsidP="00DB73C3">
      <w:pPr>
        <w:pStyle w:val="ListParagraph"/>
        <w:numPr>
          <w:ilvl w:val="0"/>
          <w:numId w:val="4"/>
        </w:numPr>
        <w:ind w:hanging="720"/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BA1525">
        <w:t xml:space="preserve"> – time-dependent convergence speed factor</w:t>
      </w:r>
    </w:p>
    <w:p w14:paraId="6981362A" w14:textId="01B97CC0" w:rsidR="00BA1525" w:rsidRPr="00BA1525" w:rsidRDefault="00BA1525" w:rsidP="00DB73C3">
      <w:pPr>
        <w:pStyle w:val="ListParagraph"/>
        <w:numPr>
          <w:ilvl w:val="0"/>
          <w:numId w:val="4"/>
        </w:numPr>
        <w:ind w:hanging="720"/>
      </w:pP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BA1525">
        <w:t xml:space="preserve"> – time-dependent volatility factor</w:t>
      </w:r>
    </w:p>
    <w:p w14:paraId="7A563419" w14:textId="3E50E6C6" w:rsidR="009256D9" w:rsidRPr="002E7934" w:rsidRDefault="009256D9" w:rsidP="00DB73C3">
      <w:pPr>
        <w:ind w:left="720" w:hanging="720"/>
        <w:rPr>
          <w:color w:val="FF0000"/>
        </w:rPr>
      </w:pPr>
      <w:r w:rsidRPr="002E7934">
        <w:rPr>
          <w:color w:val="FF0000"/>
        </w:rPr>
        <w:t xml:space="preserve">It is reasonable to conjecture that in some situations the market’s expectations about future interest rates involve time-dependent parameters. In other words, the drift rates and volatility of </w:t>
      </w:r>
      <m:oMath>
        <m:r>
          <w:rPr>
            <w:rFonts w:ascii="Cambria Math" w:hAnsi="Cambria Math"/>
            <w:color w:val="FF0000"/>
          </w:rPr>
          <m:t>r</m:t>
        </m:r>
      </m:oMath>
      <w:r w:rsidRPr="002E7934">
        <w:rPr>
          <w:color w:val="FF0000"/>
        </w:rPr>
        <w:t xml:space="preserve"> may be functions of time as well as being functions of </w:t>
      </w:r>
      <m:oMath>
        <m:r>
          <w:rPr>
            <w:rFonts w:ascii="Cambria Math" w:hAnsi="Cambria Math"/>
            <w:color w:val="FF0000"/>
          </w:rPr>
          <m:t>r</m:t>
        </m:r>
      </m:oMath>
      <w:r w:rsidRPr="002E7934">
        <w:rPr>
          <w:color w:val="FF0000"/>
        </w:rPr>
        <w:t xml:space="preserve"> and other state variables. The time dependence can arise from the cyclical nature of the economy, expectations concerning the future impact of monetary policies, and expected trends in other macr</w:t>
      </w:r>
      <w:proofErr w:type="spellStart"/>
      <w:r w:rsidRPr="002E7934">
        <w:rPr>
          <w:color w:val="FF0000"/>
        </w:rPr>
        <w:t>oeconomic</w:t>
      </w:r>
      <w:proofErr w:type="spellEnd"/>
      <w:r w:rsidRPr="002E7934">
        <w:rPr>
          <w:color w:val="FF0000"/>
        </w:rPr>
        <w:t xml:space="preserve"> variables.</w:t>
      </w:r>
    </w:p>
    <w:p w14:paraId="5E3F8D79" w14:textId="2F52F0C8" w:rsidR="00AA7E8F" w:rsidRDefault="00187C61" w:rsidP="00DB73C3">
      <w:pPr>
        <w:ind w:left="720" w:hanging="720"/>
      </w:pPr>
      <w:r>
        <w:t>In t</w:t>
      </w:r>
      <w:r w:rsidR="001B7324">
        <w:t xml:space="preserve">his </w:t>
      </w:r>
      <w:r>
        <w:t xml:space="preserve">form of the model, a drift rate is </w:t>
      </w:r>
      <w:r w:rsidR="009F3B3B">
        <w:t>imposed</w:t>
      </w:r>
      <w:r>
        <w:t xml:space="preserve"> to the otherwise converging dynamic.</w:t>
      </w:r>
    </w:p>
    <w:p w14:paraId="361605BC" w14:textId="0172490A" w:rsidR="00C614F7" w:rsidRDefault="009256D9" w:rsidP="00DB73C3">
      <w:pPr>
        <w:ind w:left="720" w:hanging="720"/>
      </w:pPr>
      <w:r>
        <w:t>The generalized form can be rewritten as:</w:t>
      </w:r>
    </w:p>
    <w:p w14:paraId="7462F683" w14:textId="1C4A075F" w:rsidR="005E08B1" w:rsidRPr="007B7BC6" w:rsidRDefault="005E08B1" w:rsidP="00DB73C3">
      <w:pPr>
        <w:ind w:left="720" w:hanging="720"/>
        <w:rPr>
          <w:b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+b-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dt+σ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</m:t>
              </m:r>
            </m:e>
          </m:d>
        </m:oMath>
      </m:oMathPara>
    </w:p>
    <w:p w14:paraId="5D8F52E5" w14:textId="03C51C10" w:rsidR="005E08B1" w:rsidRDefault="00187C61" w:rsidP="00DB73C3">
      <w:pPr>
        <w:ind w:left="720" w:hanging="720"/>
      </w:pPr>
      <w:r>
        <w:t xml:space="preserve">In this form of the model, the </w:t>
      </w:r>
      <w:r w:rsidR="00B53B71">
        <w:t>long-term</w:t>
      </w:r>
      <w:r>
        <w:t xml:space="preserve"> level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  <m:r>
          <w:rPr>
            <w:rFonts w:ascii="Cambria Math" w:hAnsi="Cambria Math"/>
          </w:rPr>
          <m:t>+b</m:t>
        </m:r>
      </m:oMath>
      <w:r>
        <w:t xml:space="preserve"> is a function of time.</w:t>
      </w:r>
    </w:p>
    <w:p w14:paraId="402B3CC6" w14:textId="77777777" w:rsidR="00C43407" w:rsidRDefault="00C43407" w:rsidP="00DB73C3">
      <w:pPr>
        <w:ind w:left="720" w:hanging="720"/>
      </w:pPr>
    </w:p>
    <w:p w14:paraId="12386485" w14:textId="3704C11D" w:rsidR="00B330D3" w:rsidRDefault="00B330D3" w:rsidP="00DB73C3">
      <w:pPr>
        <w:ind w:left="720" w:hanging="720"/>
      </w:pPr>
      <w:r>
        <w:t xml:space="preserve">We are going the consider </w:t>
      </w:r>
      <w:r w:rsidR="00707179">
        <w:t xml:space="preserve">the one-factor version of the HW model where only </w:t>
      </w:r>
      <m:oMath>
        <m:r>
          <w:rPr>
            <w:rFonts w:ascii="Cambria Math" w:hAnsi="Cambria Math"/>
          </w:rPr>
          <m:t>θ</m:t>
        </m:r>
      </m:oMath>
      <w:r w:rsidR="00707179">
        <w:t xml:space="preserve"> is t</w:t>
      </w:r>
      <w:r w:rsidR="00FB6F30">
        <w:t xml:space="preserve">ime dependent and </w:t>
      </w:r>
      <m:oMath>
        <m:r>
          <w:rPr>
            <w:rFonts w:ascii="Cambria Math" w:hAnsi="Cambria Math"/>
          </w:rPr>
          <m:t>a</m:t>
        </m:r>
      </m:oMath>
      <w:r w:rsidR="00FB6F30">
        <w:t xml:space="preserve"> and </w:t>
      </w:r>
      <m:oMath>
        <m:r>
          <w:rPr>
            <w:rFonts w:ascii="Cambria Math" w:hAnsi="Cambria Math"/>
          </w:rPr>
          <m:t>σ</m:t>
        </m:r>
      </m:oMath>
      <w:r w:rsidR="00FB6F30">
        <w:t xml:space="preserve"> are constants.</w:t>
      </w:r>
    </w:p>
    <w:p w14:paraId="0E1386DF" w14:textId="39ED1B04" w:rsidR="7888B5A1" w:rsidRPr="000D4314" w:rsidRDefault="7888B5A1" w:rsidP="00DB73C3">
      <w:pPr>
        <w:ind w:left="720" w:hanging="720"/>
        <w:rPr>
          <w:rFonts w:ascii="Calibri" w:eastAsia="Calibri" w:hAnsi="Calibri" w:cs="Calibri"/>
          <w:b/>
          <w:color w:val="FF0000"/>
          <w:lang w:val="fr-FR"/>
        </w:rPr>
      </w:pPr>
      <w:r w:rsidRPr="000D4314">
        <w:rPr>
          <w:b/>
          <w:lang w:val="fr-FR"/>
        </w:rPr>
        <w:t xml:space="preserve">Model 1: Extended Vasicek model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="Calibri"/>
              </w:rPr>
              <m:t>β</m:t>
            </m:r>
            <m:r>
              <m:rPr>
                <m:sty m:val="bi"/>
              </m:rPr>
              <w:rPr>
                <w:rFonts w:ascii="Cambria Math" w:eastAsia="Calibri" w:hAnsi="Cambria Math" w:cs="Calibri"/>
                <w:lang w:val="fr-FR"/>
              </w:rPr>
              <m:t>=</m:t>
            </m:r>
            <m:r>
              <m:rPr>
                <m:sty m:val="bi"/>
              </m:rPr>
              <w:rPr>
                <w:rFonts w:ascii="Cambria Math" w:eastAsia="Calibri" w:hAnsi="Cambria Math" w:cs="Calibri"/>
              </w:rPr>
              <m:t>0</m:t>
            </m:r>
            <m:ctrlPr>
              <w:rPr>
                <w:rFonts w:ascii="Cambria Math" w:eastAsia="Calibri" w:hAnsi="Cambria Math" w:cs="Calibri"/>
                <w:b/>
                <w:i/>
              </w:rPr>
            </m:ctrlPr>
          </m:e>
        </m:d>
      </m:oMath>
      <w:r w:rsidR="00871EF5" w:rsidRPr="000D4314">
        <w:rPr>
          <w:b/>
          <w:lang w:val="fr-FR"/>
        </w:rPr>
        <w:t xml:space="preserve"> </w:t>
      </w:r>
      <w:r w:rsidR="00871EF5" w:rsidRPr="000D4314">
        <w:rPr>
          <w:b/>
          <w:color w:val="FF0000"/>
          <w:lang w:val="fr-FR"/>
        </w:rPr>
        <w:t>(manqu</w:t>
      </w:r>
      <w:r w:rsidR="000D4314">
        <w:rPr>
          <w:b/>
          <w:color w:val="FF0000"/>
          <w:lang w:val="fr-FR"/>
        </w:rPr>
        <w:t>e</w:t>
      </w:r>
      <w:r w:rsidR="00871EF5" w:rsidRPr="000D4314">
        <w:rPr>
          <w:b/>
          <w:color w:val="FF0000"/>
          <w:lang w:val="fr-FR"/>
        </w:rPr>
        <w:t xml:space="preserve"> pas un </w:t>
      </w:r>
      <w:proofErr w:type="spellStart"/>
      <w:r w:rsidR="00871EF5" w:rsidRPr="000D4314">
        <w:rPr>
          <w:b/>
          <w:color w:val="FF0000"/>
          <w:lang w:val="fr-FR"/>
        </w:rPr>
        <w:t>rt</w:t>
      </w:r>
      <w:proofErr w:type="spellEnd"/>
      <w:r w:rsidR="00871EF5" w:rsidRPr="000D4314">
        <w:rPr>
          <w:b/>
          <w:color w:val="FF0000"/>
          <w:lang w:val="fr-FR"/>
        </w:rPr>
        <w:t xml:space="preserve"> </w:t>
      </w:r>
      <w:r w:rsidR="000D4314" w:rsidRPr="000D4314">
        <w:rPr>
          <w:b/>
          <w:color w:val="FF0000"/>
          <w:lang w:val="fr-FR"/>
        </w:rPr>
        <w:t xml:space="preserve">dans la </w:t>
      </w:r>
      <w:proofErr w:type="spellStart"/>
      <w:r w:rsidR="000D4314" w:rsidRPr="000D4314">
        <w:rPr>
          <w:b/>
          <w:color w:val="FF0000"/>
          <w:lang w:val="fr-FR"/>
        </w:rPr>
        <w:t>derniere</w:t>
      </w:r>
      <w:proofErr w:type="spellEnd"/>
      <w:r w:rsidR="000D4314" w:rsidRPr="000D4314">
        <w:rPr>
          <w:b/>
          <w:color w:val="FF0000"/>
          <w:lang w:val="fr-FR"/>
        </w:rPr>
        <w:t xml:space="preserve"> partie de l’eq ? )</w:t>
      </w:r>
    </w:p>
    <w:p w14:paraId="583FA073" w14:textId="69C94D5D" w:rsidR="000C219F" w:rsidRDefault="00024C92" w:rsidP="00DB73C3">
      <w:pPr>
        <w:ind w:left="720" w:hanging="720"/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dt+σd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</m:t>
              </m:r>
            </m:e>
          </m:d>
        </m:oMath>
      </m:oMathPara>
    </w:p>
    <w:p w14:paraId="3C9CDAB8" w14:textId="221F4CEC" w:rsidR="008F1066" w:rsidRDefault="008F1066" w:rsidP="00DB73C3">
      <w:pPr>
        <w:ind w:left="720" w:hanging="720"/>
      </w:pPr>
    </w:p>
    <w:p w14:paraId="2D6292D0" w14:textId="6EE83DD3" w:rsidR="7888B5A1" w:rsidRPr="00C43407" w:rsidRDefault="7888B5A1" w:rsidP="00DB73C3">
      <w:pPr>
        <w:ind w:left="720" w:hanging="720"/>
        <w:rPr>
          <w:rFonts w:ascii="Calibri" w:eastAsia="Calibri" w:hAnsi="Calibri" w:cs="Calibri"/>
          <w:b/>
        </w:rPr>
      </w:pPr>
      <w:r w:rsidRPr="00C43407">
        <w:rPr>
          <w:b/>
        </w:rPr>
        <w:t xml:space="preserve">Model 2: Extended CIR Model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="Calibri"/>
              </w:rPr>
              <m:t>β=0.5</m:t>
            </m:r>
            <m:ctrlPr>
              <w:rPr>
                <w:rFonts w:ascii="Cambria Math" w:eastAsia="Calibri" w:hAnsi="Cambria Math" w:cs="Calibri"/>
                <w:b/>
                <w:i/>
              </w:rPr>
            </m:ctrlPr>
          </m:e>
        </m:d>
      </m:oMath>
    </w:p>
    <w:p w14:paraId="0FDBB880" w14:textId="093190C4" w:rsidR="00574C6E" w:rsidRDefault="00574C6E" w:rsidP="00DB73C3">
      <w:pPr>
        <w:ind w:left="720" w:hanging="720"/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b-r</m:t>
                  </m:r>
                </m:e>
              </m:d>
            </m:e>
          </m:d>
          <m:r>
            <w:rPr>
              <w:rFonts w:ascii="Cambria Math" w:hAnsi="Cambria Math"/>
            </w:rPr>
            <m:t>dt+σ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0.5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</m:t>
              </m:r>
            </m:e>
          </m:d>
        </m:oMath>
      </m:oMathPara>
    </w:p>
    <w:p w14:paraId="1C9CFE8E" w14:textId="49B401B4" w:rsidR="000C7D3D" w:rsidRDefault="000C7D3D" w:rsidP="00DB73C3">
      <w:pPr>
        <w:ind w:left="720" w:hanging="720"/>
        <w:jc w:val="center"/>
      </w:pPr>
    </w:p>
    <w:p w14:paraId="4E3603BD" w14:textId="3660489C" w:rsidR="00B53B71" w:rsidRDefault="00B53B71" w:rsidP="00DB73C3">
      <w:pPr>
        <w:ind w:left="720" w:hanging="720"/>
        <w:rPr>
          <w:rFonts w:ascii="Calibri" w:eastAsia="Calibri" w:hAnsi="Calibri" w:cs="Calibri"/>
          <w:color w:val="4472C4" w:themeColor="accent1"/>
        </w:rPr>
      </w:pPr>
      <w:r w:rsidRPr="46F23DAD">
        <w:t xml:space="preserve">The addition of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rad>
      </m:oMath>
      <w:r w:rsidRPr="46F23DAD">
        <w:t xml:space="preserve">  </w:t>
      </w:r>
      <w:r w:rsidRPr="7888B5A1">
        <w:rPr>
          <w:rFonts w:ascii="Calibri" w:eastAsia="Calibri" w:hAnsi="Calibri" w:cs="Calibri"/>
          <w:color w:val="4472C4" w:themeColor="accent1"/>
        </w:rPr>
        <w:t xml:space="preserve">In the One-Factor Hull-White model, this would be equivalent to have a bigger mean reversion and a smaller </w:t>
      </w:r>
      <m:oMath>
        <m:r>
          <w:rPr>
            <w:rFonts w:ascii="Cambria Math" w:eastAsia="Calibri" w:hAnsi="Cambria Math" w:cs="Calibri"/>
            <w:color w:val="4472C4" w:themeColor="accent1"/>
          </w:rPr>
          <m:t>θ</m:t>
        </m:r>
        <m:d>
          <m:dPr>
            <m:ctrlPr>
              <w:rPr>
                <w:rFonts w:ascii="Cambria Math" w:eastAsia="Calibri" w:hAnsi="Cambria Math" w:cs="Calibri"/>
                <w:i/>
                <w:color w:val="4472C4" w:themeColor="accent1"/>
              </w:rPr>
            </m:ctrlPr>
          </m:dPr>
          <m:e>
            <m:r>
              <w:rPr>
                <w:rFonts w:ascii="Cambria Math" w:eastAsia="Calibri" w:hAnsi="Cambria Math" w:cs="Calibri"/>
                <w:color w:val="4472C4" w:themeColor="accent1"/>
              </w:rPr>
              <m:t>t</m:t>
            </m:r>
          </m:e>
        </m:d>
      </m:oMath>
      <w:r w:rsidRPr="7888B5A1">
        <w:rPr>
          <w:rFonts w:ascii="Calibri" w:eastAsia="Calibri" w:hAnsi="Calibri" w:cs="Calibri"/>
          <w:color w:val="4472C4" w:themeColor="accent1"/>
        </w:rPr>
        <w:t xml:space="preserve">. From the expression of </w:t>
      </w:r>
      <m:oMath>
        <m:r>
          <w:rPr>
            <w:rFonts w:ascii="Cambria Math" w:eastAsia="Calibri" w:hAnsi="Cambria Math" w:cs="Calibri"/>
            <w:color w:val="4472C4" w:themeColor="accent1"/>
          </w:rPr>
          <m:t>r</m:t>
        </m:r>
        <m:d>
          <m:dPr>
            <m:ctrlPr>
              <w:rPr>
                <w:rFonts w:ascii="Cambria Math" w:eastAsia="Calibri" w:hAnsi="Cambria Math" w:cs="Calibri"/>
                <w:i/>
                <w:color w:val="4472C4" w:themeColor="accent1"/>
              </w:rPr>
            </m:ctrlPr>
          </m:dPr>
          <m:e>
            <m:r>
              <w:rPr>
                <w:rFonts w:ascii="Cambria Math" w:eastAsia="Calibri" w:hAnsi="Cambria Math" w:cs="Calibri"/>
                <w:color w:val="4472C4" w:themeColor="accent1"/>
              </w:rPr>
              <m:t>t</m:t>
            </m:r>
          </m:e>
        </m:d>
      </m:oMath>
      <w:r w:rsidRPr="7888B5A1">
        <w:rPr>
          <w:rFonts w:ascii="Calibri" w:eastAsia="Calibri" w:hAnsi="Calibri" w:cs="Calibri"/>
          <w:color w:val="4472C4" w:themeColor="accent1"/>
        </w:rPr>
        <w:t xml:space="preserve">,we see that the bigger the mean reversion, the lower the variance or </w:t>
      </w:r>
      <m:oMath>
        <m:r>
          <w:rPr>
            <w:rFonts w:ascii="Cambria Math" w:eastAsia="Calibri" w:hAnsi="Cambria Math" w:cs="Calibri"/>
            <w:color w:val="4472C4" w:themeColor="accent1"/>
          </w:rPr>
          <m:t>r</m:t>
        </m:r>
        <m:d>
          <m:dPr>
            <m:ctrlPr>
              <w:rPr>
                <w:rFonts w:ascii="Cambria Math" w:eastAsia="Calibri" w:hAnsi="Cambria Math" w:cs="Calibri"/>
                <w:i/>
                <w:color w:val="4472C4" w:themeColor="accent1"/>
              </w:rPr>
            </m:ctrlPr>
          </m:dPr>
          <m:e>
            <m:r>
              <w:rPr>
                <w:rFonts w:ascii="Cambria Math" w:eastAsia="Calibri" w:hAnsi="Cambria Math" w:cs="Calibri"/>
                <w:color w:val="4472C4" w:themeColor="accent1"/>
              </w:rPr>
              <m:t>t</m:t>
            </m:r>
          </m:e>
        </m:d>
      </m:oMath>
      <w:r w:rsidRPr="7888B5A1">
        <w:rPr>
          <w:rFonts w:ascii="Calibri" w:eastAsia="Calibri" w:hAnsi="Calibri" w:cs="Calibri"/>
          <w:color w:val="4472C4" w:themeColor="accent1"/>
        </w:rPr>
        <w:t>.</w:t>
      </w:r>
    </w:p>
    <w:p w14:paraId="4E86982C" w14:textId="1493F284" w:rsidR="008F1066" w:rsidRPr="00B53B71" w:rsidRDefault="008F1066" w:rsidP="00DB73C3">
      <w:pPr>
        <w:ind w:left="720" w:hanging="720"/>
      </w:pPr>
    </w:p>
    <w:p w14:paraId="627C6C7B" w14:textId="07350F4F" w:rsidR="006F271F" w:rsidRDefault="006F271F" w:rsidP="00DB73C3">
      <w:pPr>
        <w:ind w:left="720" w:hanging="720"/>
        <w:rPr>
          <w:color w:val="FF0000"/>
        </w:rPr>
      </w:pPr>
      <w:r>
        <w:rPr>
          <w:color w:val="FF0000"/>
        </w:rPr>
        <w:t xml:space="preserve">Their disadvantage </w:t>
      </w:r>
      <w:r w:rsidR="46F23DAD" w:rsidRPr="46F23DAD">
        <w:rPr>
          <w:color w:val="FF0000"/>
        </w:rPr>
        <w:t>is</w:t>
      </w:r>
      <w:r>
        <w:rPr>
          <w:color w:val="FF0000"/>
        </w:rPr>
        <w:t xml:space="preserve"> that they involve several unobservable parameters and do </w:t>
      </w:r>
      <w:proofErr w:type="spellStart"/>
      <w:r>
        <w:rPr>
          <w:color w:val="FF0000"/>
        </w:rPr>
        <w:t>no</w:t>
      </w:r>
      <w:proofErr w:type="spellEnd"/>
      <w:r>
        <w:rPr>
          <w:color w:val="FF0000"/>
        </w:rPr>
        <w:t xml:space="preserve"> provide a perfect fit to the initial term structure of interest rates. </w:t>
      </w:r>
    </w:p>
    <w:p w14:paraId="5A5AA1BE" w14:textId="77777777" w:rsidR="006F271F" w:rsidRDefault="006F271F" w:rsidP="00DB73C3">
      <w:pPr>
        <w:ind w:left="720" w:hanging="720"/>
        <w:rPr>
          <w:color w:val="FF0000"/>
        </w:rPr>
      </w:pPr>
      <w:r>
        <w:rPr>
          <w:color w:val="FF0000"/>
        </w:rPr>
        <w:t>The volatility of the short-term interest rate can be a function of time.</w:t>
      </w:r>
    </w:p>
    <w:p w14:paraId="61FBE7EA" w14:textId="77777777" w:rsidR="006F271F" w:rsidRDefault="006F271F" w:rsidP="00DB73C3">
      <w:pPr>
        <w:ind w:left="720" w:hanging="720"/>
        <w:rPr>
          <w:color w:val="FF0000"/>
        </w:rPr>
      </w:pPr>
      <w:r>
        <w:rPr>
          <w:color w:val="FF0000"/>
        </w:rPr>
        <w:t>Term structure of spot rate volatilities or of forward rate volatilities</w:t>
      </w:r>
    </w:p>
    <w:p w14:paraId="17FCD972" w14:textId="77777777" w:rsidR="006F271F" w:rsidRDefault="006F271F" w:rsidP="00DB73C3">
      <w:pPr>
        <w:ind w:left="720" w:hanging="720"/>
        <w:rPr>
          <w:color w:val="FF0000"/>
        </w:rPr>
      </w:pPr>
    </w:p>
    <w:p w14:paraId="5A2EB14C" w14:textId="77777777" w:rsidR="006F271F" w:rsidRDefault="006F271F" w:rsidP="00DB73C3">
      <w:pPr>
        <w:ind w:left="720" w:hanging="720"/>
        <w:rPr>
          <w:color w:val="FF0000"/>
        </w:rPr>
      </w:pPr>
      <w:r>
        <w:rPr>
          <w:color w:val="FF0000"/>
        </w:rPr>
        <w:t>The parameters of the extended Vasicek model can be determined analytically, CIR – numerically</w:t>
      </w:r>
    </w:p>
    <w:p w14:paraId="4C548401" w14:textId="77777777" w:rsidR="006F271F" w:rsidRDefault="006F271F" w:rsidP="00DB73C3">
      <w:pPr>
        <w:ind w:left="720" w:hanging="720"/>
        <w:rPr>
          <w:color w:val="FF0000"/>
        </w:rPr>
      </w:pPr>
      <w:r>
        <w:rPr>
          <w:color w:val="FF0000"/>
        </w:rPr>
        <w:t>Sigma – variance per unit time (annual)</w:t>
      </w:r>
    </w:p>
    <w:p w14:paraId="6158FA92" w14:textId="77777777" w:rsidR="006F271F" w:rsidRDefault="006F271F" w:rsidP="00DB73C3">
      <w:pPr>
        <w:ind w:left="720" w:hanging="720"/>
        <w:rPr>
          <w:color w:val="FF0000"/>
        </w:rPr>
      </w:pPr>
      <w:r>
        <w:rPr>
          <w:color w:val="FF0000"/>
        </w:rPr>
        <w:t>Time dependence of the drift (&amp; the reversion rate a) and the volatility of r – cyclicity of the economy, expectations of monetary policy</w:t>
      </w:r>
    </w:p>
    <w:p w14:paraId="58AE1FCC" w14:textId="0E36171D" w:rsidR="00C43407" w:rsidRPr="00555B87" w:rsidRDefault="006F271F" w:rsidP="00DB73C3">
      <w:pPr>
        <w:ind w:left="720" w:hanging="720"/>
      </w:pPr>
      <m:oMath>
        <m:r>
          <w:rPr>
            <w:rFonts w:ascii="Cambria Math" w:hAnsi="Cambria Math"/>
            <w:color w:val="FF0000"/>
          </w:rPr>
          <m:t>θ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</m:oMath>
      <w:r>
        <w:rPr>
          <w:color w:val="FF0000"/>
        </w:rPr>
        <w:t xml:space="preserve"> – a drift rate is imposed to an otherwise mean-reverting variable</w:t>
      </w:r>
    </w:p>
    <w:p w14:paraId="03654A3C" w14:textId="77777777" w:rsidR="00466A5F" w:rsidRPr="00C43407" w:rsidRDefault="00466A5F" w:rsidP="00DB73C3">
      <w:pPr>
        <w:ind w:left="720" w:hanging="720"/>
        <w:rPr>
          <w:lang w:val="en-CA"/>
        </w:rPr>
      </w:pPr>
    </w:p>
    <w:p w14:paraId="6D0F9652" w14:textId="28058AC9" w:rsidR="00973040" w:rsidRDefault="00973040" w:rsidP="00DB73C3">
      <w:pPr>
        <w:ind w:left="720" w:hanging="720"/>
        <w:rPr>
          <w:lang w:val="fr-FR"/>
        </w:rPr>
      </w:pPr>
      <w:r>
        <w:rPr>
          <w:lang w:val="fr-FR"/>
        </w:rPr>
        <w:t xml:space="preserve">Faire des statistiques comparatives – on fait bouger </w:t>
      </w:r>
      <w:r w:rsidR="00B87920">
        <w:rPr>
          <w:lang w:val="fr-FR"/>
        </w:rPr>
        <w:t xml:space="preserve">les paramètres afin de voir leur impact sur </w:t>
      </w:r>
      <w:r w:rsidR="00574C6E">
        <w:rPr>
          <w:lang w:val="fr-FR"/>
        </w:rPr>
        <w:t>la dynamique</w:t>
      </w:r>
    </w:p>
    <w:p w14:paraId="0D896FCC" w14:textId="1D654B9C" w:rsidR="003F64D2" w:rsidRPr="001A6CD6" w:rsidRDefault="003F64D2" w:rsidP="00DB73C3">
      <w:pPr>
        <w:ind w:left="720" w:hanging="720"/>
      </w:pPr>
      <w:r>
        <w:t xml:space="preserve">Add which hypothesis </w:t>
      </w:r>
      <w:r w:rsidR="004138FA">
        <w:t>each of the models are based on</w:t>
      </w:r>
    </w:p>
    <w:p w14:paraId="44C4214D" w14:textId="286540A0" w:rsidR="00AA7E8F" w:rsidRPr="001A6CD6" w:rsidRDefault="00AA7E8F" w:rsidP="00DB73C3">
      <w:pPr>
        <w:ind w:left="720" w:hanging="720"/>
      </w:pPr>
    </w:p>
    <w:p w14:paraId="4F6D11C1" w14:textId="77777777" w:rsidR="002C5CC3" w:rsidRPr="001A6CD6" w:rsidRDefault="002C5CC3" w:rsidP="00DB73C3">
      <w:pPr>
        <w:ind w:left="720" w:hanging="720"/>
      </w:pPr>
    </w:p>
    <w:p w14:paraId="20AA70BB" w14:textId="77777777" w:rsidR="00D17E48" w:rsidRPr="001A6CD6" w:rsidRDefault="00D17E48" w:rsidP="00DB73C3">
      <w:pPr>
        <w:ind w:left="720" w:hanging="720"/>
      </w:pPr>
    </w:p>
    <w:p w14:paraId="61552137" w14:textId="28722436" w:rsidR="00AA7E8F" w:rsidRPr="001A6CD6" w:rsidRDefault="00AA7E8F" w:rsidP="00DB73C3">
      <w:pPr>
        <w:ind w:left="720" w:hanging="720"/>
      </w:pPr>
    </w:p>
    <w:p w14:paraId="3DE404C8" w14:textId="4062724E" w:rsidR="00600376" w:rsidRDefault="00600376" w:rsidP="00DB73C3">
      <w:pPr>
        <w:ind w:left="720" w:hanging="720"/>
      </w:pPr>
      <w:bookmarkStart w:id="6" w:name="_Toc500065412"/>
    </w:p>
    <w:p w14:paraId="1BC80077" w14:textId="1BF9E9B8" w:rsidR="00600376" w:rsidRDefault="00600376" w:rsidP="00DB73C3">
      <w:pPr>
        <w:ind w:left="720" w:hanging="720"/>
      </w:pPr>
    </w:p>
    <w:p w14:paraId="5D87FD73" w14:textId="62547DB9" w:rsidR="00600376" w:rsidRDefault="00600376" w:rsidP="00DB73C3">
      <w:pPr>
        <w:ind w:left="720" w:hanging="720"/>
      </w:pPr>
    </w:p>
    <w:p w14:paraId="5E68076F" w14:textId="0430BE65" w:rsidR="00600376" w:rsidRDefault="00600376" w:rsidP="00DB73C3">
      <w:pPr>
        <w:ind w:left="720" w:hanging="720"/>
      </w:pPr>
    </w:p>
    <w:p w14:paraId="5D04E1A3" w14:textId="064BD306" w:rsidR="00600376" w:rsidRDefault="00600376" w:rsidP="00DB73C3">
      <w:pPr>
        <w:ind w:left="720" w:hanging="720"/>
      </w:pPr>
    </w:p>
    <w:p w14:paraId="25EB2F93" w14:textId="7B442104" w:rsidR="00600376" w:rsidRDefault="00600376" w:rsidP="00DB73C3">
      <w:pPr>
        <w:ind w:left="720" w:hanging="720"/>
      </w:pPr>
    </w:p>
    <w:p w14:paraId="7FB3A0B1" w14:textId="2F448CB3" w:rsidR="00600376" w:rsidRDefault="00600376" w:rsidP="00DB73C3">
      <w:pPr>
        <w:ind w:left="720" w:hanging="720"/>
      </w:pPr>
    </w:p>
    <w:p w14:paraId="73D67648" w14:textId="77777777" w:rsidR="00600376" w:rsidRPr="001A6CD6" w:rsidRDefault="00600376" w:rsidP="00DB73C3">
      <w:pPr>
        <w:ind w:left="720" w:hanging="72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1374649"/>
        <w:docPartObj>
          <w:docPartGallery w:val="Bibliographies"/>
          <w:docPartUnique/>
        </w:docPartObj>
      </w:sdtPr>
      <w:sdtEndPr>
        <w:rPr>
          <w:rFonts w:eastAsiaTheme="minorEastAsia"/>
          <w:sz w:val="21"/>
          <w:szCs w:val="21"/>
        </w:rPr>
      </w:sdtEndPr>
      <w:sdtContent>
        <w:p w14:paraId="1A87BC43" w14:textId="6F6A8C21" w:rsidR="009409B7" w:rsidRPr="00600376" w:rsidRDefault="009409B7" w:rsidP="00DB73C3">
          <w:pPr>
            <w:pStyle w:val="Heading1"/>
            <w:ind w:left="720" w:hanging="720"/>
            <w:rPr>
              <w:sz w:val="40"/>
            </w:rPr>
          </w:pPr>
          <w:r w:rsidRPr="00600376">
            <w:rPr>
              <w:sz w:val="40"/>
            </w:rPr>
            <w:t>References</w:t>
          </w:r>
          <w:bookmarkEnd w:id="6"/>
        </w:p>
        <w:p w14:paraId="658EC93E" w14:textId="77777777" w:rsidR="00600376" w:rsidRPr="00600376" w:rsidRDefault="00600376" w:rsidP="00600376"/>
        <w:sdt>
          <w:sdtPr>
            <w:id w:val="-573587230"/>
            <w:bibliography/>
          </w:sdtPr>
          <w:sdtEndPr/>
          <w:sdtContent>
            <w:p w14:paraId="7EFE54B6" w14:textId="77777777" w:rsidR="00207A35" w:rsidRDefault="009409B7" w:rsidP="00207A3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60781C">
                <w:instrText xml:space="preserve"> BIBLIOGRAPHY </w:instrText>
              </w:r>
              <w:r>
                <w:fldChar w:fldCharType="separate"/>
              </w:r>
              <w:r w:rsidR="00207A35">
                <w:rPr>
                  <w:noProof/>
                </w:rPr>
                <w:t xml:space="preserve">Gutiérrez, R. M. (2008). </w:t>
              </w:r>
              <w:r w:rsidR="00207A35">
                <w:rPr>
                  <w:i/>
                  <w:iCs/>
                  <w:noProof/>
                </w:rPr>
                <w:t>Modelling the Term Structure of Interest Rates: a Literature Review.</w:t>
              </w:r>
              <w:r w:rsidR="00207A35">
                <w:rPr>
                  <w:noProof/>
                </w:rPr>
                <w:t xml:space="preserve"> </w:t>
              </w:r>
            </w:p>
            <w:p w14:paraId="7E04D242" w14:textId="77777777" w:rsidR="00207A35" w:rsidRDefault="00207A35" w:rsidP="00207A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 T. S. Y., L. S. (1986). </w:t>
              </w:r>
              <w:r>
                <w:rPr>
                  <w:i/>
                  <w:iCs/>
                  <w:noProof/>
                </w:rPr>
                <w:t>Term Structure Movements and Pricing Interest Rate Contingent Claims.</w:t>
              </w:r>
              <w:r>
                <w:rPr>
                  <w:noProof/>
                </w:rPr>
                <w:t xml:space="preserve"> </w:t>
              </w:r>
            </w:p>
            <w:p w14:paraId="1A032FD4" w14:textId="77777777" w:rsidR="00207A35" w:rsidRDefault="00207A35" w:rsidP="00207A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J. Hull, A. W. (1990). </w:t>
              </w:r>
              <w:r>
                <w:rPr>
                  <w:i/>
                  <w:iCs/>
                  <w:noProof/>
                </w:rPr>
                <w:t>Pricing Interest-Rate-Derivative Securities.</w:t>
              </w:r>
              <w:r>
                <w:rPr>
                  <w:noProof/>
                </w:rPr>
                <w:t xml:space="preserve"> </w:t>
              </w:r>
            </w:p>
            <w:p w14:paraId="074EA99E" w14:textId="77777777" w:rsidR="00207A35" w:rsidRDefault="00207A35" w:rsidP="00207A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J.Cox, J. I. (1985). </w:t>
              </w:r>
              <w:r>
                <w:rPr>
                  <w:i/>
                  <w:iCs/>
                  <w:noProof/>
                </w:rPr>
                <w:t>A Theory of the Term Structure of Interest Rates.</w:t>
              </w:r>
              <w:r>
                <w:rPr>
                  <w:noProof/>
                </w:rPr>
                <w:t xml:space="preserve"> </w:t>
              </w:r>
            </w:p>
            <w:p w14:paraId="6FCDBE74" w14:textId="77777777" w:rsidR="00207A35" w:rsidRDefault="00207A35" w:rsidP="00207A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R. Gibson, F.-S. L. (2001). </w:t>
              </w:r>
              <w:r>
                <w:rPr>
                  <w:i/>
                  <w:iCs/>
                  <w:noProof/>
                </w:rPr>
                <w:t>Modeling the term structure of interest rates: a review of the literature.</w:t>
              </w:r>
              <w:r>
                <w:rPr>
                  <w:noProof/>
                </w:rPr>
                <w:t xml:space="preserve"> </w:t>
              </w:r>
            </w:p>
            <w:p w14:paraId="431060DA" w14:textId="77777777" w:rsidR="00207A35" w:rsidRDefault="00207A35" w:rsidP="00207A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Vasicek, O. (1977). </w:t>
              </w:r>
              <w:r>
                <w:rPr>
                  <w:i/>
                  <w:iCs/>
                  <w:noProof/>
                </w:rPr>
                <w:t>An Equilibrium Characterization of the Term Structure.</w:t>
              </w:r>
              <w:r>
                <w:rPr>
                  <w:noProof/>
                </w:rPr>
                <w:t xml:space="preserve"> </w:t>
              </w:r>
            </w:p>
            <w:p w14:paraId="5C6C1106" w14:textId="5C98D58A" w:rsidR="00EF638B" w:rsidRDefault="009409B7" w:rsidP="00207A35">
              <w:pPr>
                <w:ind w:left="720" w:hanging="720"/>
                <w:rPr>
                  <w:i/>
                  <w:sz w:val="18"/>
                  <w:lang w:val="fr-FR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  <w:r w:rsidR="00425A4D" w:rsidRPr="00425A4D">
                <w:rPr>
                  <w:bCs/>
                  <w:noProof/>
                  <w:lang w:val="fr-FR"/>
                </w:rPr>
                <w:t xml:space="preserve">Ioane Muni Toke. </w:t>
              </w:r>
              <w:r w:rsidR="001D5BD2">
                <w:rPr>
                  <w:i/>
                  <w:iCs/>
                  <w:noProof/>
                  <w:lang w:val="fr-FR"/>
                </w:rPr>
                <w:t>Modèles stochastiques de taux d’intérêts</w:t>
              </w:r>
              <w:r w:rsidR="00425A4D" w:rsidRPr="005B32B8">
                <w:rPr>
                  <w:i/>
                  <w:iCs/>
                  <w:noProof/>
                  <w:lang w:val="fr-FR"/>
                </w:rPr>
                <w:t xml:space="preserve">. </w:t>
              </w:r>
              <w:r w:rsidR="00EF638B" w:rsidRPr="005B32B8">
                <w:rPr>
                  <w:i/>
                  <w:iCs/>
                  <w:noProof/>
                  <w:lang w:val="fr-FR"/>
                </w:rPr>
                <w:t>2011.</w:t>
              </w:r>
              <w:r w:rsidR="00EF638B" w:rsidRPr="00EF638B">
                <w:rPr>
                  <w:lang w:val="fr-FR"/>
                </w:rPr>
                <w:t xml:space="preserve"> </w:t>
              </w:r>
              <w:hyperlink r:id="rId12" w:history="1">
                <w:r w:rsidR="001D5BD2" w:rsidRPr="001D5BD2">
                  <w:rPr>
                    <w:rStyle w:val="Hyperlink"/>
                    <w:i/>
                    <w:sz w:val="18"/>
                    <w:lang w:val="fr-FR"/>
                  </w:rPr>
                  <w:t>Ressources-actuarielles-Draft</w:t>
                </w:r>
              </w:hyperlink>
            </w:p>
            <w:p w14:paraId="65360F05" w14:textId="3AC8C386" w:rsidR="000D4314" w:rsidRPr="006F15DE" w:rsidRDefault="006F15DE" w:rsidP="00EF638B">
              <w:pPr>
                <w:ind w:left="720" w:hanging="720"/>
                <w:rPr>
                  <w:lang w:val="en-CA"/>
                </w:rPr>
              </w:pPr>
              <w:r w:rsidRPr="002247C1">
                <w:rPr>
                  <w:lang w:val="fr-FR"/>
                </w:rPr>
                <w:t xml:space="preserve">Arnaud Blanchard. </w:t>
              </w:r>
              <w:r w:rsidRPr="006F15DE">
                <w:rPr>
                  <w:lang w:val="en-CA"/>
                </w:rPr>
                <w:t>The two-factor Hull-White Model</w:t>
              </w:r>
              <w:r w:rsidR="00633C94">
                <w:rPr>
                  <w:lang w:val="en-CA"/>
                </w:rPr>
                <w:t xml:space="preserve">. </w:t>
              </w:r>
            </w:p>
            <w:p w14:paraId="3B299A99" w14:textId="01D3490D" w:rsidR="002576F7" w:rsidRPr="00425A4D" w:rsidRDefault="00E63723" w:rsidP="00DB73C3">
              <w:pPr>
                <w:ind w:left="720" w:hanging="720"/>
                <w:rPr>
                  <w:lang w:val="fr-FR"/>
                </w:rPr>
              </w:pPr>
              <w:hyperlink r:id="rId13" w:history="1">
                <w:proofErr w:type="spellStart"/>
                <w:r w:rsidR="00633C94" w:rsidRPr="009168AC">
                  <w:rPr>
                    <w:rStyle w:val="Hyperlink"/>
                    <w:i/>
                    <w:sz w:val="20"/>
                    <w:lang w:val="fr-FR"/>
                  </w:rPr>
                  <w:t>Wikipedia</w:t>
                </w:r>
                <w:proofErr w:type="spellEnd"/>
              </w:hyperlink>
            </w:p>
          </w:sdtContent>
        </w:sdt>
      </w:sdtContent>
    </w:sdt>
    <w:p w14:paraId="06EAC914" w14:textId="6C92E687" w:rsidR="004E53B4" w:rsidRDefault="004E53B4" w:rsidP="00DB73C3">
      <w:pPr>
        <w:ind w:left="720" w:hanging="720"/>
      </w:pPr>
    </w:p>
    <w:sectPr w:rsidR="004E53B4">
      <w:footerReference w:type="default" r:id="rId1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1C44F" w14:textId="77777777" w:rsidR="00794FD5" w:rsidRDefault="00794FD5" w:rsidP="00257AC1">
      <w:pPr>
        <w:spacing w:after="0" w:line="240" w:lineRule="auto"/>
      </w:pPr>
      <w:r>
        <w:separator/>
      </w:r>
    </w:p>
  </w:endnote>
  <w:endnote w:type="continuationSeparator" w:id="0">
    <w:p w14:paraId="22008578" w14:textId="77777777" w:rsidR="00794FD5" w:rsidRDefault="00794FD5" w:rsidP="00257AC1">
      <w:pPr>
        <w:spacing w:after="0" w:line="240" w:lineRule="auto"/>
      </w:pPr>
      <w:r>
        <w:continuationSeparator/>
      </w:r>
    </w:p>
  </w:endnote>
  <w:endnote w:type="continuationNotice" w:id="1">
    <w:p w14:paraId="542CF42C" w14:textId="77777777" w:rsidR="00794FD5" w:rsidRDefault="00794F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17DC7" w14:textId="5E21E4B7" w:rsidR="00794FD5" w:rsidRPr="00707A69" w:rsidRDefault="00794FD5">
    <w:pPr>
      <w:pStyle w:val="Footer"/>
      <w:jc w:val="center"/>
      <w:rPr>
        <w:caps/>
        <w:noProof/>
      </w:rPr>
    </w:pPr>
    <w:r w:rsidRPr="00707A69">
      <w:rPr>
        <w:caps/>
      </w:rPr>
      <w:fldChar w:fldCharType="begin"/>
    </w:r>
    <w:r w:rsidRPr="00707A69">
      <w:rPr>
        <w:caps/>
      </w:rPr>
      <w:instrText xml:space="preserve"> PAGE   \* MERGEFORMAT </w:instrText>
    </w:r>
    <w:r w:rsidRPr="00707A69">
      <w:rPr>
        <w:caps/>
      </w:rPr>
      <w:fldChar w:fldCharType="separate"/>
    </w:r>
    <w:r w:rsidR="00E63723">
      <w:rPr>
        <w:caps/>
        <w:noProof/>
      </w:rPr>
      <w:t>11</w:t>
    </w:r>
    <w:r w:rsidRPr="00707A69">
      <w:rPr>
        <w:caps/>
        <w:noProof/>
      </w:rPr>
      <w:fldChar w:fldCharType="end"/>
    </w:r>
  </w:p>
  <w:p w14:paraId="34B318CE" w14:textId="0D7E0C70" w:rsidR="00794FD5" w:rsidRDefault="00794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3E6E1" w14:textId="77777777" w:rsidR="00794FD5" w:rsidRDefault="00794FD5" w:rsidP="00257AC1">
      <w:pPr>
        <w:spacing w:after="0" w:line="240" w:lineRule="auto"/>
      </w:pPr>
      <w:r>
        <w:separator/>
      </w:r>
    </w:p>
  </w:footnote>
  <w:footnote w:type="continuationSeparator" w:id="0">
    <w:p w14:paraId="055914CE" w14:textId="77777777" w:rsidR="00794FD5" w:rsidRDefault="00794FD5" w:rsidP="00257AC1">
      <w:pPr>
        <w:spacing w:after="0" w:line="240" w:lineRule="auto"/>
      </w:pPr>
      <w:r>
        <w:continuationSeparator/>
      </w:r>
    </w:p>
  </w:footnote>
  <w:footnote w:type="continuationNotice" w:id="1">
    <w:p w14:paraId="55B1FCB2" w14:textId="77777777" w:rsidR="00794FD5" w:rsidRDefault="00794F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20A7"/>
    <w:multiLevelType w:val="hybridMultilevel"/>
    <w:tmpl w:val="908600D4"/>
    <w:lvl w:ilvl="0" w:tplc="9836BD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20153"/>
    <w:multiLevelType w:val="hybridMultilevel"/>
    <w:tmpl w:val="87148360"/>
    <w:lvl w:ilvl="0" w:tplc="89F05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5220A"/>
    <w:multiLevelType w:val="hybridMultilevel"/>
    <w:tmpl w:val="107CD784"/>
    <w:lvl w:ilvl="0" w:tplc="E72885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D2205"/>
    <w:multiLevelType w:val="hybridMultilevel"/>
    <w:tmpl w:val="8BACB7FA"/>
    <w:lvl w:ilvl="0" w:tplc="89F05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A486C"/>
    <w:multiLevelType w:val="hybridMultilevel"/>
    <w:tmpl w:val="542EF6F2"/>
    <w:lvl w:ilvl="0" w:tplc="89F05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85386"/>
    <w:multiLevelType w:val="hybridMultilevel"/>
    <w:tmpl w:val="FEE4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361E7"/>
    <w:multiLevelType w:val="hybridMultilevel"/>
    <w:tmpl w:val="8A06808E"/>
    <w:lvl w:ilvl="0" w:tplc="33BC1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51182"/>
    <w:multiLevelType w:val="hybridMultilevel"/>
    <w:tmpl w:val="563491A2"/>
    <w:lvl w:ilvl="0" w:tplc="C8E449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C21F3"/>
    <w:multiLevelType w:val="hybridMultilevel"/>
    <w:tmpl w:val="E152B194"/>
    <w:lvl w:ilvl="0" w:tplc="E72885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877DA"/>
    <w:multiLevelType w:val="hybridMultilevel"/>
    <w:tmpl w:val="984045E0"/>
    <w:lvl w:ilvl="0" w:tplc="E72885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B3A55"/>
    <w:multiLevelType w:val="hybridMultilevel"/>
    <w:tmpl w:val="C4DEF010"/>
    <w:lvl w:ilvl="0" w:tplc="785E4D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4004C"/>
    <w:multiLevelType w:val="hybridMultilevel"/>
    <w:tmpl w:val="463496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11"/>
  </w:num>
  <w:num w:numId="8">
    <w:abstractNumId w:val="6"/>
  </w:num>
  <w:num w:numId="9">
    <w:abstractNumId w:val="9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79C"/>
    <w:rsid w:val="000027F7"/>
    <w:rsid w:val="00004AAB"/>
    <w:rsid w:val="00023571"/>
    <w:rsid w:val="00024101"/>
    <w:rsid w:val="00024C92"/>
    <w:rsid w:val="000328A7"/>
    <w:rsid w:val="000335C7"/>
    <w:rsid w:val="000349E7"/>
    <w:rsid w:val="00035AFD"/>
    <w:rsid w:val="00036476"/>
    <w:rsid w:val="00036E74"/>
    <w:rsid w:val="00037907"/>
    <w:rsid w:val="00040723"/>
    <w:rsid w:val="000407C2"/>
    <w:rsid w:val="00044B34"/>
    <w:rsid w:val="00044FCE"/>
    <w:rsid w:val="0005364B"/>
    <w:rsid w:val="0007364C"/>
    <w:rsid w:val="00082E9D"/>
    <w:rsid w:val="00083AA1"/>
    <w:rsid w:val="00083DEC"/>
    <w:rsid w:val="00084171"/>
    <w:rsid w:val="00084468"/>
    <w:rsid w:val="00085EB6"/>
    <w:rsid w:val="00090B78"/>
    <w:rsid w:val="000A4EED"/>
    <w:rsid w:val="000A5216"/>
    <w:rsid w:val="000B3337"/>
    <w:rsid w:val="000B3740"/>
    <w:rsid w:val="000B3A9E"/>
    <w:rsid w:val="000C1409"/>
    <w:rsid w:val="000C219F"/>
    <w:rsid w:val="000C2DA9"/>
    <w:rsid w:val="000C39A5"/>
    <w:rsid w:val="000C7D3D"/>
    <w:rsid w:val="000D24B8"/>
    <w:rsid w:val="000D4314"/>
    <w:rsid w:val="000D6F8E"/>
    <w:rsid w:val="000E2C7D"/>
    <w:rsid w:val="000E4BB2"/>
    <w:rsid w:val="000E523E"/>
    <w:rsid w:val="000E7320"/>
    <w:rsid w:val="000F1651"/>
    <w:rsid w:val="000F3A52"/>
    <w:rsid w:val="000F7594"/>
    <w:rsid w:val="000F7B32"/>
    <w:rsid w:val="000F7CB9"/>
    <w:rsid w:val="00101790"/>
    <w:rsid w:val="00104E4E"/>
    <w:rsid w:val="00110312"/>
    <w:rsid w:val="00111D77"/>
    <w:rsid w:val="00111F97"/>
    <w:rsid w:val="001131E6"/>
    <w:rsid w:val="00120287"/>
    <w:rsid w:val="0012242D"/>
    <w:rsid w:val="0012496E"/>
    <w:rsid w:val="00125589"/>
    <w:rsid w:val="00125D33"/>
    <w:rsid w:val="00130FA4"/>
    <w:rsid w:val="001312B7"/>
    <w:rsid w:val="00132CE4"/>
    <w:rsid w:val="00136199"/>
    <w:rsid w:val="00152848"/>
    <w:rsid w:val="001565A7"/>
    <w:rsid w:val="00156CB4"/>
    <w:rsid w:val="0015799E"/>
    <w:rsid w:val="001621ED"/>
    <w:rsid w:val="00164CFC"/>
    <w:rsid w:val="001704A1"/>
    <w:rsid w:val="001720E5"/>
    <w:rsid w:val="00182106"/>
    <w:rsid w:val="00182493"/>
    <w:rsid w:val="001877CE"/>
    <w:rsid w:val="00187C61"/>
    <w:rsid w:val="00194873"/>
    <w:rsid w:val="001A0B13"/>
    <w:rsid w:val="001A1D55"/>
    <w:rsid w:val="001A2753"/>
    <w:rsid w:val="001A32F1"/>
    <w:rsid w:val="001A3F4B"/>
    <w:rsid w:val="001A6CD6"/>
    <w:rsid w:val="001B3AB0"/>
    <w:rsid w:val="001B4195"/>
    <w:rsid w:val="001B6B4E"/>
    <w:rsid w:val="001B7324"/>
    <w:rsid w:val="001C31E9"/>
    <w:rsid w:val="001C3FD2"/>
    <w:rsid w:val="001C49B1"/>
    <w:rsid w:val="001C626C"/>
    <w:rsid w:val="001D0D62"/>
    <w:rsid w:val="001D1119"/>
    <w:rsid w:val="001D490A"/>
    <w:rsid w:val="001D5BD2"/>
    <w:rsid w:val="001E518D"/>
    <w:rsid w:val="001E5DCE"/>
    <w:rsid w:val="001E7BC4"/>
    <w:rsid w:val="001F01A0"/>
    <w:rsid w:val="001F1420"/>
    <w:rsid w:val="001F54FB"/>
    <w:rsid w:val="001F5612"/>
    <w:rsid w:val="001F78F0"/>
    <w:rsid w:val="0020000C"/>
    <w:rsid w:val="002008B1"/>
    <w:rsid w:val="00206D33"/>
    <w:rsid w:val="00207A35"/>
    <w:rsid w:val="002104E1"/>
    <w:rsid w:val="002109EC"/>
    <w:rsid w:val="00210E22"/>
    <w:rsid w:val="00212AED"/>
    <w:rsid w:val="00213CEE"/>
    <w:rsid w:val="00216678"/>
    <w:rsid w:val="0021681F"/>
    <w:rsid w:val="00220FA1"/>
    <w:rsid w:val="002247C1"/>
    <w:rsid w:val="0024188E"/>
    <w:rsid w:val="002433DC"/>
    <w:rsid w:val="00245FA8"/>
    <w:rsid w:val="00250AAD"/>
    <w:rsid w:val="002522B6"/>
    <w:rsid w:val="0025344E"/>
    <w:rsid w:val="00255F24"/>
    <w:rsid w:val="002576F7"/>
    <w:rsid w:val="00257AC1"/>
    <w:rsid w:val="0026153B"/>
    <w:rsid w:val="00263900"/>
    <w:rsid w:val="002639C6"/>
    <w:rsid w:val="002654DF"/>
    <w:rsid w:val="00265664"/>
    <w:rsid w:val="002669C7"/>
    <w:rsid w:val="002708F8"/>
    <w:rsid w:val="00271676"/>
    <w:rsid w:val="002748BA"/>
    <w:rsid w:val="002806BA"/>
    <w:rsid w:val="00280B48"/>
    <w:rsid w:val="002816DC"/>
    <w:rsid w:val="00281D82"/>
    <w:rsid w:val="00284305"/>
    <w:rsid w:val="00284B0C"/>
    <w:rsid w:val="00284FC3"/>
    <w:rsid w:val="00291B70"/>
    <w:rsid w:val="002952BF"/>
    <w:rsid w:val="00296042"/>
    <w:rsid w:val="00296DDE"/>
    <w:rsid w:val="002A2424"/>
    <w:rsid w:val="002A2919"/>
    <w:rsid w:val="002A2D5A"/>
    <w:rsid w:val="002B0AB9"/>
    <w:rsid w:val="002B3E07"/>
    <w:rsid w:val="002B4CCB"/>
    <w:rsid w:val="002B5168"/>
    <w:rsid w:val="002B53D1"/>
    <w:rsid w:val="002C294F"/>
    <w:rsid w:val="002C309E"/>
    <w:rsid w:val="002C530B"/>
    <w:rsid w:val="002C5CC3"/>
    <w:rsid w:val="002E1815"/>
    <w:rsid w:val="002E18EA"/>
    <w:rsid w:val="002E2AB1"/>
    <w:rsid w:val="002E7934"/>
    <w:rsid w:val="002F3986"/>
    <w:rsid w:val="002F479C"/>
    <w:rsid w:val="00300254"/>
    <w:rsid w:val="00302495"/>
    <w:rsid w:val="0030256C"/>
    <w:rsid w:val="00302828"/>
    <w:rsid w:val="00302F8D"/>
    <w:rsid w:val="00310366"/>
    <w:rsid w:val="00310AEE"/>
    <w:rsid w:val="00314B05"/>
    <w:rsid w:val="003260C3"/>
    <w:rsid w:val="00326512"/>
    <w:rsid w:val="003305FA"/>
    <w:rsid w:val="00330D63"/>
    <w:rsid w:val="00331455"/>
    <w:rsid w:val="00331B36"/>
    <w:rsid w:val="00334237"/>
    <w:rsid w:val="003346C5"/>
    <w:rsid w:val="00340C09"/>
    <w:rsid w:val="003432E0"/>
    <w:rsid w:val="0035062E"/>
    <w:rsid w:val="0035271C"/>
    <w:rsid w:val="0035335C"/>
    <w:rsid w:val="00360CFA"/>
    <w:rsid w:val="003614B4"/>
    <w:rsid w:val="00367ABD"/>
    <w:rsid w:val="00371BB4"/>
    <w:rsid w:val="00384D62"/>
    <w:rsid w:val="00384F42"/>
    <w:rsid w:val="00385B1F"/>
    <w:rsid w:val="00387CCD"/>
    <w:rsid w:val="003936AD"/>
    <w:rsid w:val="00393C87"/>
    <w:rsid w:val="00395139"/>
    <w:rsid w:val="003961E3"/>
    <w:rsid w:val="003A1192"/>
    <w:rsid w:val="003A1F7C"/>
    <w:rsid w:val="003A2DAE"/>
    <w:rsid w:val="003A380B"/>
    <w:rsid w:val="003A5566"/>
    <w:rsid w:val="003A752D"/>
    <w:rsid w:val="003B0F26"/>
    <w:rsid w:val="003B3AE7"/>
    <w:rsid w:val="003C1845"/>
    <w:rsid w:val="003C305F"/>
    <w:rsid w:val="003C56A6"/>
    <w:rsid w:val="003E4DE7"/>
    <w:rsid w:val="003E5199"/>
    <w:rsid w:val="003E71F5"/>
    <w:rsid w:val="003F64D2"/>
    <w:rsid w:val="00401329"/>
    <w:rsid w:val="00401FF0"/>
    <w:rsid w:val="00402EDF"/>
    <w:rsid w:val="00410F40"/>
    <w:rsid w:val="00412C19"/>
    <w:rsid w:val="004138FA"/>
    <w:rsid w:val="00414AC1"/>
    <w:rsid w:val="00416DF0"/>
    <w:rsid w:val="00422FD3"/>
    <w:rsid w:val="00424E71"/>
    <w:rsid w:val="00425A4D"/>
    <w:rsid w:val="0043040B"/>
    <w:rsid w:val="004355DF"/>
    <w:rsid w:val="00447407"/>
    <w:rsid w:val="00451222"/>
    <w:rsid w:val="0045321A"/>
    <w:rsid w:val="004535F0"/>
    <w:rsid w:val="00454CCF"/>
    <w:rsid w:val="00461C1F"/>
    <w:rsid w:val="00463F48"/>
    <w:rsid w:val="00466A5F"/>
    <w:rsid w:val="0047099B"/>
    <w:rsid w:val="00473362"/>
    <w:rsid w:val="00474740"/>
    <w:rsid w:val="00477F71"/>
    <w:rsid w:val="00480B0E"/>
    <w:rsid w:val="00486F4F"/>
    <w:rsid w:val="00487EE8"/>
    <w:rsid w:val="00490007"/>
    <w:rsid w:val="004A00D6"/>
    <w:rsid w:val="004A2AA2"/>
    <w:rsid w:val="004A55AB"/>
    <w:rsid w:val="004A6AEB"/>
    <w:rsid w:val="004B7E20"/>
    <w:rsid w:val="004C0DCC"/>
    <w:rsid w:val="004C14EF"/>
    <w:rsid w:val="004C2B29"/>
    <w:rsid w:val="004C5386"/>
    <w:rsid w:val="004D0DCD"/>
    <w:rsid w:val="004E33C9"/>
    <w:rsid w:val="004E53B4"/>
    <w:rsid w:val="0052053B"/>
    <w:rsid w:val="00522498"/>
    <w:rsid w:val="005239E0"/>
    <w:rsid w:val="00532159"/>
    <w:rsid w:val="005336F3"/>
    <w:rsid w:val="00534401"/>
    <w:rsid w:val="0053615F"/>
    <w:rsid w:val="00544AAE"/>
    <w:rsid w:val="005458EF"/>
    <w:rsid w:val="00547F87"/>
    <w:rsid w:val="00553BF3"/>
    <w:rsid w:val="00554428"/>
    <w:rsid w:val="00555B87"/>
    <w:rsid w:val="005649F4"/>
    <w:rsid w:val="00566E7E"/>
    <w:rsid w:val="00570ADB"/>
    <w:rsid w:val="00571016"/>
    <w:rsid w:val="0057160D"/>
    <w:rsid w:val="0057258F"/>
    <w:rsid w:val="00574C6E"/>
    <w:rsid w:val="00576E1E"/>
    <w:rsid w:val="0058542F"/>
    <w:rsid w:val="00585B80"/>
    <w:rsid w:val="00587292"/>
    <w:rsid w:val="005874FD"/>
    <w:rsid w:val="00591233"/>
    <w:rsid w:val="005933E0"/>
    <w:rsid w:val="00594AED"/>
    <w:rsid w:val="0059655F"/>
    <w:rsid w:val="005A1BED"/>
    <w:rsid w:val="005A4FB1"/>
    <w:rsid w:val="005A584E"/>
    <w:rsid w:val="005A701D"/>
    <w:rsid w:val="005B10CC"/>
    <w:rsid w:val="005B1D96"/>
    <w:rsid w:val="005B32B8"/>
    <w:rsid w:val="005B4B62"/>
    <w:rsid w:val="005B74FC"/>
    <w:rsid w:val="005B7CAE"/>
    <w:rsid w:val="005C01B9"/>
    <w:rsid w:val="005C1A65"/>
    <w:rsid w:val="005C1FF1"/>
    <w:rsid w:val="005E08B1"/>
    <w:rsid w:val="005E4102"/>
    <w:rsid w:val="005E509E"/>
    <w:rsid w:val="005E526E"/>
    <w:rsid w:val="005F03B9"/>
    <w:rsid w:val="005F4E84"/>
    <w:rsid w:val="005F70BC"/>
    <w:rsid w:val="00600376"/>
    <w:rsid w:val="00603355"/>
    <w:rsid w:val="00605674"/>
    <w:rsid w:val="00606418"/>
    <w:rsid w:val="0060721F"/>
    <w:rsid w:val="0060781C"/>
    <w:rsid w:val="00621D40"/>
    <w:rsid w:val="00621FC8"/>
    <w:rsid w:val="00622E79"/>
    <w:rsid w:val="006242AD"/>
    <w:rsid w:val="00627BBA"/>
    <w:rsid w:val="0063177A"/>
    <w:rsid w:val="0063209D"/>
    <w:rsid w:val="00633C94"/>
    <w:rsid w:val="006348CC"/>
    <w:rsid w:val="00636083"/>
    <w:rsid w:val="0065053B"/>
    <w:rsid w:val="00650E6E"/>
    <w:rsid w:val="006526E3"/>
    <w:rsid w:val="006540FF"/>
    <w:rsid w:val="006571EF"/>
    <w:rsid w:val="00661B1D"/>
    <w:rsid w:val="00664787"/>
    <w:rsid w:val="00664E7A"/>
    <w:rsid w:val="006704D7"/>
    <w:rsid w:val="00670542"/>
    <w:rsid w:val="00671ED3"/>
    <w:rsid w:val="006748A0"/>
    <w:rsid w:val="00679DEB"/>
    <w:rsid w:val="00682EB1"/>
    <w:rsid w:val="0068577E"/>
    <w:rsid w:val="00685D58"/>
    <w:rsid w:val="006965BA"/>
    <w:rsid w:val="00696776"/>
    <w:rsid w:val="006A2121"/>
    <w:rsid w:val="006A4EAE"/>
    <w:rsid w:val="006A611C"/>
    <w:rsid w:val="006B3542"/>
    <w:rsid w:val="006B5CAF"/>
    <w:rsid w:val="006C1602"/>
    <w:rsid w:val="006D0572"/>
    <w:rsid w:val="006E13B9"/>
    <w:rsid w:val="006E1413"/>
    <w:rsid w:val="006E2987"/>
    <w:rsid w:val="006E58FE"/>
    <w:rsid w:val="006F15DE"/>
    <w:rsid w:val="006F271F"/>
    <w:rsid w:val="006F2CB6"/>
    <w:rsid w:val="006F7C5F"/>
    <w:rsid w:val="007020DF"/>
    <w:rsid w:val="00703157"/>
    <w:rsid w:val="00707179"/>
    <w:rsid w:val="00707A69"/>
    <w:rsid w:val="00707CB1"/>
    <w:rsid w:val="00712A7E"/>
    <w:rsid w:val="00713132"/>
    <w:rsid w:val="007146B1"/>
    <w:rsid w:val="00721C97"/>
    <w:rsid w:val="007249AC"/>
    <w:rsid w:val="00725E60"/>
    <w:rsid w:val="00730E7D"/>
    <w:rsid w:val="00732FF4"/>
    <w:rsid w:val="00737412"/>
    <w:rsid w:val="00741552"/>
    <w:rsid w:val="00747576"/>
    <w:rsid w:val="007475EE"/>
    <w:rsid w:val="0075096B"/>
    <w:rsid w:val="00751F43"/>
    <w:rsid w:val="00754340"/>
    <w:rsid w:val="00756A48"/>
    <w:rsid w:val="00756CBF"/>
    <w:rsid w:val="00757B63"/>
    <w:rsid w:val="00774CDD"/>
    <w:rsid w:val="0077540A"/>
    <w:rsid w:val="007827A2"/>
    <w:rsid w:val="007832A2"/>
    <w:rsid w:val="00790C85"/>
    <w:rsid w:val="00792A03"/>
    <w:rsid w:val="00794FD5"/>
    <w:rsid w:val="007971C0"/>
    <w:rsid w:val="007A0A63"/>
    <w:rsid w:val="007A2DB6"/>
    <w:rsid w:val="007A643A"/>
    <w:rsid w:val="007B60F5"/>
    <w:rsid w:val="007B7BC6"/>
    <w:rsid w:val="007C01AB"/>
    <w:rsid w:val="007C0DC2"/>
    <w:rsid w:val="007C31A9"/>
    <w:rsid w:val="007C36D2"/>
    <w:rsid w:val="007C4345"/>
    <w:rsid w:val="007D4084"/>
    <w:rsid w:val="007D6630"/>
    <w:rsid w:val="007D66A9"/>
    <w:rsid w:val="007E18A0"/>
    <w:rsid w:val="007E449C"/>
    <w:rsid w:val="007E5E44"/>
    <w:rsid w:val="007F4BB1"/>
    <w:rsid w:val="008020BE"/>
    <w:rsid w:val="00813368"/>
    <w:rsid w:val="00814D49"/>
    <w:rsid w:val="008319C4"/>
    <w:rsid w:val="00831A2A"/>
    <w:rsid w:val="008326F4"/>
    <w:rsid w:val="00832863"/>
    <w:rsid w:val="00837DA8"/>
    <w:rsid w:val="008459CA"/>
    <w:rsid w:val="00847AED"/>
    <w:rsid w:val="00850A42"/>
    <w:rsid w:val="00851993"/>
    <w:rsid w:val="00852614"/>
    <w:rsid w:val="008616CE"/>
    <w:rsid w:val="00864567"/>
    <w:rsid w:val="00864CE3"/>
    <w:rsid w:val="00865153"/>
    <w:rsid w:val="00865611"/>
    <w:rsid w:val="008662AC"/>
    <w:rsid w:val="00870BD0"/>
    <w:rsid w:val="00871EF5"/>
    <w:rsid w:val="00872C91"/>
    <w:rsid w:val="00873C09"/>
    <w:rsid w:val="008744E9"/>
    <w:rsid w:val="00876AB8"/>
    <w:rsid w:val="00881ABC"/>
    <w:rsid w:val="008826C7"/>
    <w:rsid w:val="00887AE9"/>
    <w:rsid w:val="00892224"/>
    <w:rsid w:val="00895F11"/>
    <w:rsid w:val="008A2EEB"/>
    <w:rsid w:val="008B11A2"/>
    <w:rsid w:val="008B23CD"/>
    <w:rsid w:val="008B7BC6"/>
    <w:rsid w:val="008C518A"/>
    <w:rsid w:val="008C6764"/>
    <w:rsid w:val="008D1E29"/>
    <w:rsid w:val="008D33BE"/>
    <w:rsid w:val="008D33F6"/>
    <w:rsid w:val="008D3F3D"/>
    <w:rsid w:val="008E52D0"/>
    <w:rsid w:val="008E5316"/>
    <w:rsid w:val="008E5952"/>
    <w:rsid w:val="008E5D98"/>
    <w:rsid w:val="008E5EEA"/>
    <w:rsid w:val="008E6BB6"/>
    <w:rsid w:val="008E6FBB"/>
    <w:rsid w:val="008F1066"/>
    <w:rsid w:val="008F16F1"/>
    <w:rsid w:val="008F2550"/>
    <w:rsid w:val="008F5C7F"/>
    <w:rsid w:val="009030D8"/>
    <w:rsid w:val="00905D00"/>
    <w:rsid w:val="009145F6"/>
    <w:rsid w:val="009162E7"/>
    <w:rsid w:val="009168AC"/>
    <w:rsid w:val="009174CE"/>
    <w:rsid w:val="00923E2D"/>
    <w:rsid w:val="00924D2B"/>
    <w:rsid w:val="009256D9"/>
    <w:rsid w:val="00931E4C"/>
    <w:rsid w:val="009343B3"/>
    <w:rsid w:val="009409B7"/>
    <w:rsid w:val="00945336"/>
    <w:rsid w:val="00945DF2"/>
    <w:rsid w:val="00946AE2"/>
    <w:rsid w:val="0096291A"/>
    <w:rsid w:val="009635A1"/>
    <w:rsid w:val="009655FE"/>
    <w:rsid w:val="009660CC"/>
    <w:rsid w:val="00967A14"/>
    <w:rsid w:val="00973040"/>
    <w:rsid w:val="009801CD"/>
    <w:rsid w:val="00980523"/>
    <w:rsid w:val="009847D8"/>
    <w:rsid w:val="00984BFF"/>
    <w:rsid w:val="0098570C"/>
    <w:rsid w:val="00987FD4"/>
    <w:rsid w:val="0099216E"/>
    <w:rsid w:val="0099278B"/>
    <w:rsid w:val="00996551"/>
    <w:rsid w:val="009A5F3E"/>
    <w:rsid w:val="009A6926"/>
    <w:rsid w:val="009B1208"/>
    <w:rsid w:val="009B675F"/>
    <w:rsid w:val="009B7461"/>
    <w:rsid w:val="009C19BA"/>
    <w:rsid w:val="009C2FE5"/>
    <w:rsid w:val="009C4CA6"/>
    <w:rsid w:val="009C742F"/>
    <w:rsid w:val="009D23BB"/>
    <w:rsid w:val="009D3ED7"/>
    <w:rsid w:val="009E614B"/>
    <w:rsid w:val="009F2A8A"/>
    <w:rsid w:val="009F3B3B"/>
    <w:rsid w:val="009F719A"/>
    <w:rsid w:val="00A035B9"/>
    <w:rsid w:val="00A04B71"/>
    <w:rsid w:val="00A06FDF"/>
    <w:rsid w:val="00A13909"/>
    <w:rsid w:val="00A13CB6"/>
    <w:rsid w:val="00A1458F"/>
    <w:rsid w:val="00A14D69"/>
    <w:rsid w:val="00A156E1"/>
    <w:rsid w:val="00A16AE4"/>
    <w:rsid w:val="00A237A1"/>
    <w:rsid w:val="00A23CF0"/>
    <w:rsid w:val="00A248C1"/>
    <w:rsid w:val="00A25781"/>
    <w:rsid w:val="00A26749"/>
    <w:rsid w:val="00A2792E"/>
    <w:rsid w:val="00A27EB0"/>
    <w:rsid w:val="00A3142D"/>
    <w:rsid w:val="00A400B4"/>
    <w:rsid w:val="00A419D4"/>
    <w:rsid w:val="00A45832"/>
    <w:rsid w:val="00A46CEA"/>
    <w:rsid w:val="00A52A1D"/>
    <w:rsid w:val="00A53821"/>
    <w:rsid w:val="00A72EF4"/>
    <w:rsid w:val="00A741B9"/>
    <w:rsid w:val="00A77CAF"/>
    <w:rsid w:val="00A816ED"/>
    <w:rsid w:val="00A839B5"/>
    <w:rsid w:val="00A83BC8"/>
    <w:rsid w:val="00A85F2F"/>
    <w:rsid w:val="00A8704D"/>
    <w:rsid w:val="00A93AAC"/>
    <w:rsid w:val="00A97185"/>
    <w:rsid w:val="00AA7E8F"/>
    <w:rsid w:val="00AB0CFF"/>
    <w:rsid w:val="00AB6FD4"/>
    <w:rsid w:val="00AC0388"/>
    <w:rsid w:val="00AC1879"/>
    <w:rsid w:val="00AC3450"/>
    <w:rsid w:val="00AC4EE3"/>
    <w:rsid w:val="00AD0C04"/>
    <w:rsid w:val="00AD190C"/>
    <w:rsid w:val="00AD36AF"/>
    <w:rsid w:val="00AD39F2"/>
    <w:rsid w:val="00AD56E0"/>
    <w:rsid w:val="00AD62BA"/>
    <w:rsid w:val="00AD79E0"/>
    <w:rsid w:val="00AE0510"/>
    <w:rsid w:val="00AE2FD9"/>
    <w:rsid w:val="00AE432D"/>
    <w:rsid w:val="00AE4AA6"/>
    <w:rsid w:val="00AF0191"/>
    <w:rsid w:val="00AF207F"/>
    <w:rsid w:val="00B0173D"/>
    <w:rsid w:val="00B029B8"/>
    <w:rsid w:val="00B05FD1"/>
    <w:rsid w:val="00B110BF"/>
    <w:rsid w:val="00B11CF8"/>
    <w:rsid w:val="00B129A8"/>
    <w:rsid w:val="00B12BBD"/>
    <w:rsid w:val="00B13508"/>
    <w:rsid w:val="00B17375"/>
    <w:rsid w:val="00B20430"/>
    <w:rsid w:val="00B21B99"/>
    <w:rsid w:val="00B272D2"/>
    <w:rsid w:val="00B3115C"/>
    <w:rsid w:val="00B330D1"/>
    <w:rsid w:val="00B330D3"/>
    <w:rsid w:val="00B35498"/>
    <w:rsid w:val="00B36947"/>
    <w:rsid w:val="00B37A7E"/>
    <w:rsid w:val="00B37DA1"/>
    <w:rsid w:val="00B37EC6"/>
    <w:rsid w:val="00B42D15"/>
    <w:rsid w:val="00B44209"/>
    <w:rsid w:val="00B4620C"/>
    <w:rsid w:val="00B53B71"/>
    <w:rsid w:val="00B57217"/>
    <w:rsid w:val="00B600E5"/>
    <w:rsid w:val="00B657D7"/>
    <w:rsid w:val="00B658E5"/>
    <w:rsid w:val="00B6590C"/>
    <w:rsid w:val="00B66243"/>
    <w:rsid w:val="00B731E3"/>
    <w:rsid w:val="00B755AB"/>
    <w:rsid w:val="00B8356B"/>
    <w:rsid w:val="00B8447A"/>
    <w:rsid w:val="00B87920"/>
    <w:rsid w:val="00B90793"/>
    <w:rsid w:val="00B95DCE"/>
    <w:rsid w:val="00B974D0"/>
    <w:rsid w:val="00B97BA7"/>
    <w:rsid w:val="00BA1525"/>
    <w:rsid w:val="00BA32B0"/>
    <w:rsid w:val="00BB3B66"/>
    <w:rsid w:val="00BB683F"/>
    <w:rsid w:val="00BC4D03"/>
    <w:rsid w:val="00BC67C9"/>
    <w:rsid w:val="00BD0797"/>
    <w:rsid w:val="00BD471E"/>
    <w:rsid w:val="00BD5234"/>
    <w:rsid w:val="00BD72C8"/>
    <w:rsid w:val="00BE2E6C"/>
    <w:rsid w:val="00BE7F40"/>
    <w:rsid w:val="00BF09B3"/>
    <w:rsid w:val="00BF2A82"/>
    <w:rsid w:val="00BF42E7"/>
    <w:rsid w:val="00C06FA1"/>
    <w:rsid w:val="00C07911"/>
    <w:rsid w:val="00C07BA3"/>
    <w:rsid w:val="00C11939"/>
    <w:rsid w:val="00C137D6"/>
    <w:rsid w:val="00C14531"/>
    <w:rsid w:val="00C167AD"/>
    <w:rsid w:val="00C20FA2"/>
    <w:rsid w:val="00C2100D"/>
    <w:rsid w:val="00C211BA"/>
    <w:rsid w:val="00C22755"/>
    <w:rsid w:val="00C330A8"/>
    <w:rsid w:val="00C34530"/>
    <w:rsid w:val="00C4308A"/>
    <w:rsid w:val="00C43407"/>
    <w:rsid w:val="00C461FA"/>
    <w:rsid w:val="00C47E5F"/>
    <w:rsid w:val="00C5075B"/>
    <w:rsid w:val="00C56046"/>
    <w:rsid w:val="00C61275"/>
    <w:rsid w:val="00C614F7"/>
    <w:rsid w:val="00C6169F"/>
    <w:rsid w:val="00C63824"/>
    <w:rsid w:val="00C65B63"/>
    <w:rsid w:val="00C66C89"/>
    <w:rsid w:val="00C71BD6"/>
    <w:rsid w:val="00C814DC"/>
    <w:rsid w:val="00C94E84"/>
    <w:rsid w:val="00C95DA3"/>
    <w:rsid w:val="00CA1B5F"/>
    <w:rsid w:val="00CA4C75"/>
    <w:rsid w:val="00CA6DD5"/>
    <w:rsid w:val="00CA6DE5"/>
    <w:rsid w:val="00CB2AEA"/>
    <w:rsid w:val="00CB34CC"/>
    <w:rsid w:val="00CB48E3"/>
    <w:rsid w:val="00CB64B9"/>
    <w:rsid w:val="00CB7B5A"/>
    <w:rsid w:val="00CC2616"/>
    <w:rsid w:val="00CC364F"/>
    <w:rsid w:val="00CC7E9E"/>
    <w:rsid w:val="00CD59E8"/>
    <w:rsid w:val="00CD7F31"/>
    <w:rsid w:val="00CE382D"/>
    <w:rsid w:val="00CE57DD"/>
    <w:rsid w:val="00CF13EB"/>
    <w:rsid w:val="00CF66A9"/>
    <w:rsid w:val="00CF75F9"/>
    <w:rsid w:val="00CF7F89"/>
    <w:rsid w:val="00D05306"/>
    <w:rsid w:val="00D1530C"/>
    <w:rsid w:val="00D165E7"/>
    <w:rsid w:val="00D17E48"/>
    <w:rsid w:val="00D410AD"/>
    <w:rsid w:val="00D4379A"/>
    <w:rsid w:val="00D43B70"/>
    <w:rsid w:val="00D51378"/>
    <w:rsid w:val="00D56A88"/>
    <w:rsid w:val="00D56EFD"/>
    <w:rsid w:val="00D61CF9"/>
    <w:rsid w:val="00D62B6C"/>
    <w:rsid w:val="00D6671C"/>
    <w:rsid w:val="00D717E5"/>
    <w:rsid w:val="00D71D56"/>
    <w:rsid w:val="00D73E2C"/>
    <w:rsid w:val="00D824B3"/>
    <w:rsid w:val="00D82C56"/>
    <w:rsid w:val="00D85AF6"/>
    <w:rsid w:val="00D872EE"/>
    <w:rsid w:val="00D91E43"/>
    <w:rsid w:val="00D9578A"/>
    <w:rsid w:val="00DA131F"/>
    <w:rsid w:val="00DA1A52"/>
    <w:rsid w:val="00DA4E59"/>
    <w:rsid w:val="00DA61B2"/>
    <w:rsid w:val="00DA639F"/>
    <w:rsid w:val="00DA746C"/>
    <w:rsid w:val="00DB4835"/>
    <w:rsid w:val="00DB73C3"/>
    <w:rsid w:val="00DC71D9"/>
    <w:rsid w:val="00DD274F"/>
    <w:rsid w:val="00DD697C"/>
    <w:rsid w:val="00DD6FE9"/>
    <w:rsid w:val="00DD7125"/>
    <w:rsid w:val="00DD7734"/>
    <w:rsid w:val="00DF0835"/>
    <w:rsid w:val="00DF0E28"/>
    <w:rsid w:val="00DF29E9"/>
    <w:rsid w:val="00DF2C41"/>
    <w:rsid w:val="00DF6394"/>
    <w:rsid w:val="00DF7347"/>
    <w:rsid w:val="00E009E5"/>
    <w:rsid w:val="00E01D2C"/>
    <w:rsid w:val="00E02E18"/>
    <w:rsid w:val="00E14C3C"/>
    <w:rsid w:val="00E226AB"/>
    <w:rsid w:val="00E23A5D"/>
    <w:rsid w:val="00E2667E"/>
    <w:rsid w:val="00E30CE3"/>
    <w:rsid w:val="00E35218"/>
    <w:rsid w:val="00E542A3"/>
    <w:rsid w:val="00E549DB"/>
    <w:rsid w:val="00E56381"/>
    <w:rsid w:val="00E63723"/>
    <w:rsid w:val="00E67A28"/>
    <w:rsid w:val="00E71077"/>
    <w:rsid w:val="00E72403"/>
    <w:rsid w:val="00E743DC"/>
    <w:rsid w:val="00E7578A"/>
    <w:rsid w:val="00E7741B"/>
    <w:rsid w:val="00E841FA"/>
    <w:rsid w:val="00E86CBD"/>
    <w:rsid w:val="00E878C9"/>
    <w:rsid w:val="00E90037"/>
    <w:rsid w:val="00E92B7A"/>
    <w:rsid w:val="00EA0BA5"/>
    <w:rsid w:val="00EA28A3"/>
    <w:rsid w:val="00EA298D"/>
    <w:rsid w:val="00EA59EE"/>
    <w:rsid w:val="00EB4E2D"/>
    <w:rsid w:val="00EB7C9B"/>
    <w:rsid w:val="00EC1031"/>
    <w:rsid w:val="00EC1E02"/>
    <w:rsid w:val="00EC29A8"/>
    <w:rsid w:val="00EC4CE5"/>
    <w:rsid w:val="00EC672A"/>
    <w:rsid w:val="00ED0C60"/>
    <w:rsid w:val="00ED2110"/>
    <w:rsid w:val="00ED3F4B"/>
    <w:rsid w:val="00ED6830"/>
    <w:rsid w:val="00EE01CA"/>
    <w:rsid w:val="00EE0A53"/>
    <w:rsid w:val="00EE2CDD"/>
    <w:rsid w:val="00EE347E"/>
    <w:rsid w:val="00EE50CC"/>
    <w:rsid w:val="00EE7979"/>
    <w:rsid w:val="00EF42C1"/>
    <w:rsid w:val="00EF5BD2"/>
    <w:rsid w:val="00EF638B"/>
    <w:rsid w:val="00F02303"/>
    <w:rsid w:val="00F033E0"/>
    <w:rsid w:val="00F11803"/>
    <w:rsid w:val="00F129A0"/>
    <w:rsid w:val="00F15E9E"/>
    <w:rsid w:val="00F2286B"/>
    <w:rsid w:val="00F261D1"/>
    <w:rsid w:val="00F27ECF"/>
    <w:rsid w:val="00F32628"/>
    <w:rsid w:val="00F41C7B"/>
    <w:rsid w:val="00F469E5"/>
    <w:rsid w:val="00F47603"/>
    <w:rsid w:val="00F512DE"/>
    <w:rsid w:val="00F56F66"/>
    <w:rsid w:val="00F62638"/>
    <w:rsid w:val="00F659C3"/>
    <w:rsid w:val="00F71BB4"/>
    <w:rsid w:val="00F7737B"/>
    <w:rsid w:val="00F97CFA"/>
    <w:rsid w:val="00FA231C"/>
    <w:rsid w:val="00FA6FE9"/>
    <w:rsid w:val="00FB0363"/>
    <w:rsid w:val="00FB6F30"/>
    <w:rsid w:val="00FC1802"/>
    <w:rsid w:val="00FC6955"/>
    <w:rsid w:val="00FE1876"/>
    <w:rsid w:val="00FE4AD6"/>
    <w:rsid w:val="00FE5EE8"/>
    <w:rsid w:val="00FF0751"/>
    <w:rsid w:val="00FF1966"/>
    <w:rsid w:val="00FF4437"/>
    <w:rsid w:val="00FF6FF4"/>
    <w:rsid w:val="05F9597F"/>
    <w:rsid w:val="0BFC21A2"/>
    <w:rsid w:val="11ACCA63"/>
    <w:rsid w:val="1351FBE7"/>
    <w:rsid w:val="1459BAD0"/>
    <w:rsid w:val="16A6A509"/>
    <w:rsid w:val="1F3DFD94"/>
    <w:rsid w:val="25CBB0A7"/>
    <w:rsid w:val="2D61A83F"/>
    <w:rsid w:val="2D8573C4"/>
    <w:rsid w:val="2EFE9BA6"/>
    <w:rsid w:val="2F18AFA9"/>
    <w:rsid w:val="30346C1A"/>
    <w:rsid w:val="320ABDA4"/>
    <w:rsid w:val="3A95733F"/>
    <w:rsid w:val="3BF0DEFA"/>
    <w:rsid w:val="3F148359"/>
    <w:rsid w:val="44BC7235"/>
    <w:rsid w:val="44E9BF85"/>
    <w:rsid w:val="46F23DAD"/>
    <w:rsid w:val="4DD0E84C"/>
    <w:rsid w:val="4EA71239"/>
    <w:rsid w:val="4FCCDFB5"/>
    <w:rsid w:val="56FD2ECB"/>
    <w:rsid w:val="58363824"/>
    <w:rsid w:val="65C07267"/>
    <w:rsid w:val="7035B732"/>
    <w:rsid w:val="706FE4C7"/>
    <w:rsid w:val="785E31AA"/>
    <w:rsid w:val="7888B5A1"/>
    <w:rsid w:val="7F1AB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B757"/>
  <w15:chartTrackingRefBased/>
  <w15:docId w15:val="{0BA8FD6D-3B5F-4924-B98D-3C60B35C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F8E"/>
  </w:style>
  <w:style w:type="paragraph" w:styleId="Heading1">
    <w:name w:val="heading 1"/>
    <w:basedOn w:val="Normal"/>
    <w:next w:val="Normal"/>
    <w:link w:val="Heading1Char"/>
    <w:uiPriority w:val="9"/>
    <w:qFormat/>
    <w:rsid w:val="00212AE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A3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A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A35"/>
    <w:pPr>
      <w:keepNext/>
      <w:keepLines/>
      <w:spacing w:before="80" w:after="0" w:line="264" w:lineRule="auto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A35"/>
    <w:pPr>
      <w:keepNext/>
      <w:keepLines/>
      <w:spacing w:before="80" w:after="0" w:line="264" w:lineRule="auto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A35"/>
    <w:pPr>
      <w:keepNext/>
      <w:keepLines/>
      <w:spacing w:before="80" w:after="0" w:line="264" w:lineRule="auto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A35"/>
    <w:pPr>
      <w:keepNext/>
      <w:keepLines/>
      <w:spacing w:before="80" w:after="0" w:line="264" w:lineRule="auto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A35"/>
    <w:pPr>
      <w:keepNext/>
      <w:keepLines/>
      <w:spacing w:before="80" w:after="0" w:line="264" w:lineRule="auto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A35"/>
    <w:pPr>
      <w:keepNext/>
      <w:keepLines/>
      <w:spacing w:before="80" w:after="0" w:line="264" w:lineRule="auto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7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AD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E4AD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4A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4AD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05F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34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AC1"/>
  </w:style>
  <w:style w:type="paragraph" w:styleId="Footer">
    <w:name w:val="footer"/>
    <w:basedOn w:val="Normal"/>
    <w:link w:val="FooterChar"/>
    <w:uiPriority w:val="99"/>
    <w:unhideWhenUsed/>
    <w:rsid w:val="00534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AC1"/>
  </w:style>
  <w:style w:type="paragraph" w:styleId="Bibliography">
    <w:name w:val="Bibliography"/>
    <w:basedOn w:val="Normal"/>
    <w:next w:val="Normal"/>
    <w:uiPriority w:val="37"/>
    <w:unhideWhenUsed/>
    <w:rsid w:val="009409B7"/>
  </w:style>
  <w:style w:type="paragraph" w:styleId="NoSpacing">
    <w:name w:val="No Spacing"/>
    <w:uiPriority w:val="1"/>
    <w:qFormat/>
    <w:rsid w:val="009E614B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3F3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D079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4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07A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A3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A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A35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A35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A35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A35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A35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7A35"/>
    <w:pPr>
      <w:spacing w:after="120"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7A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07A3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A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07A3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07A35"/>
    <w:rPr>
      <w:b/>
      <w:bCs/>
    </w:rPr>
  </w:style>
  <w:style w:type="character" w:styleId="Emphasis">
    <w:name w:val="Emphasis"/>
    <w:basedOn w:val="DefaultParagraphFont"/>
    <w:uiPriority w:val="20"/>
    <w:qFormat/>
    <w:rsid w:val="00207A3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07A3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07A35"/>
    <w:rPr>
      <w:rFonts w:eastAsiaTheme="minorEastAsia"/>
      <w:i/>
      <w:iCs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A35"/>
    <w:pPr>
      <w:spacing w:before="100" w:beforeAutospacing="1" w:after="240" w:line="264" w:lineRule="auto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A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7A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7A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7A3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07A3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07A35"/>
    <w:rPr>
      <w:b/>
      <w:bCs/>
      <w:smallCaps/>
    </w:rPr>
  </w:style>
  <w:style w:type="paragraph" w:styleId="Revision">
    <w:name w:val="Revision"/>
    <w:hidden/>
    <w:uiPriority w:val="99"/>
    <w:semiHidden/>
    <w:rsid w:val="002247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7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essources-actuarielles.net/EXT/ISFA/fp-isfa.nsf/2b0481298458b3d1c1256f8a0024c478/a7d2d3a2fce9a337c125783d002eef6a/$FILE/InterestRatesModels-LectureNotes2011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easury.gov/resource-center/data-chart-center/interest-rates/Pages/TextView.aspx?data=yieldYear&amp;year=201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US Treasury Yield Curve on 01/12/17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Rate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Sheet1!$A$3:$A$13</c:f>
              <c:numCache>
                <c:formatCode>dd\-mm\-yy</c:formatCode>
                <c:ptCount val="11"/>
                <c:pt idx="0">
                  <c:v>43101</c:v>
                </c:pt>
                <c:pt idx="1">
                  <c:v>43132</c:v>
                </c:pt>
                <c:pt idx="2">
                  <c:v>43221</c:v>
                </c:pt>
                <c:pt idx="3">
                  <c:v>43435</c:v>
                </c:pt>
                <c:pt idx="4">
                  <c:v>43800</c:v>
                </c:pt>
                <c:pt idx="5">
                  <c:v>44166</c:v>
                </c:pt>
                <c:pt idx="6">
                  <c:v>44896</c:v>
                </c:pt>
                <c:pt idx="7">
                  <c:v>45627</c:v>
                </c:pt>
                <c:pt idx="8">
                  <c:v>46722</c:v>
                </c:pt>
                <c:pt idx="9">
                  <c:v>50375</c:v>
                </c:pt>
                <c:pt idx="10">
                  <c:v>54027</c:v>
                </c:pt>
              </c:numCache>
            </c:numRef>
          </c:cat>
          <c:val>
            <c:numRef>
              <c:f>Sheet1!$B$3:$B$13</c:f>
              <c:numCache>
                <c:formatCode>0.00%</c:formatCode>
                <c:ptCount val="11"/>
                <c:pt idx="0">
                  <c:v>1.14E-2</c:v>
                </c:pt>
                <c:pt idx="1">
                  <c:v>1.2699999999999999E-2</c:v>
                </c:pt>
                <c:pt idx="2">
                  <c:v>1.4500000000000001E-2</c:v>
                </c:pt>
                <c:pt idx="3">
                  <c:v>1.6199999999999999E-2</c:v>
                </c:pt>
                <c:pt idx="4">
                  <c:v>1.78E-2</c:v>
                </c:pt>
                <c:pt idx="5">
                  <c:v>1.9E-2</c:v>
                </c:pt>
                <c:pt idx="6">
                  <c:v>2.1299999999999999E-2</c:v>
                </c:pt>
                <c:pt idx="7">
                  <c:v>2.2800000000000001E-2</c:v>
                </c:pt>
                <c:pt idx="8">
                  <c:v>2.3699999999999999E-2</c:v>
                </c:pt>
                <c:pt idx="9">
                  <c:v>2.58E-2</c:v>
                </c:pt>
                <c:pt idx="10">
                  <c:v>2.76E-2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F847-4EC0-BA72-95C13CFF7C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0194832"/>
        <c:axId val="1927843392"/>
      </c:lineChart>
      <c:dateAx>
        <c:axId val="1930194832"/>
        <c:scaling>
          <c:orientation val="minMax"/>
        </c:scaling>
        <c:delete val="0"/>
        <c:axPos val="b"/>
        <c:numFmt formatCode="dd\-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7843392"/>
        <c:crosses val="autoZero"/>
        <c:auto val="1"/>
        <c:lblOffset val="100"/>
        <c:baseTimeUnit val="months"/>
      </c:dateAx>
      <c:valAx>
        <c:axId val="192784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0194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369"/>
    <w:rsid w:val="00C9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3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RGi01</b:Tag>
    <b:SourceType>Book</b:SourceType>
    <b:Guid>{6DE10F77-DE5E-4877-A240-4193FBF2E5EC}</b:Guid>
    <b:Author>
      <b:Author>
        <b:NameList>
          <b:Person>
            <b:Last>R. Gibson</b:Last>
            <b:First>F.-S.</b:First>
            <b:Middle>Lhabitant, D. Talay</b:Middle>
          </b:Person>
        </b:NameList>
      </b:Author>
    </b:Author>
    <b:Title>Modeling the term structure of interest rates: a review of the literature</b:Title>
    <b:Year>2001</b:Year>
    <b:RefOrder>1</b:RefOrder>
  </b:Source>
  <b:Source>
    <b:Tag>Old77</b:Tag>
    <b:SourceType>Book</b:SourceType>
    <b:Guid>{2B03B060-E557-4591-A857-6D69478EBF55}</b:Guid>
    <b:Author>
      <b:Author>
        <b:NameList>
          <b:Person>
            <b:Last>Vasicek</b:Last>
            <b:First>O.</b:First>
          </b:Person>
        </b:NameList>
      </b:Author>
    </b:Author>
    <b:Title>An Equilibrium Characterization of the Term Structure</b:Title>
    <b:Year>1977</b:Year>
    <b:RefOrder>2</b:RefOrder>
  </b:Source>
  <b:Source>
    <b:Tag>Ros08</b:Tag>
    <b:SourceType>Book</b:SourceType>
    <b:Guid>{9E322C76-CD08-44BD-9601-E759EB289F30}</b:Guid>
    <b:Author>
      <b:Author>
        <b:NameList>
          <b:Person>
            <b:Last>Gutiérrez</b:Last>
            <b:First>R.</b:First>
            <b:Middle>M. C.</b:Middle>
          </b:Person>
        </b:NameList>
      </b:Author>
    </b:Author>
    <b:Title>Modelling the Term Structure of Interest Rates: a Literature Review</b:Title>
    <b:Year>2008</b:Year>
    <b:RefOrder>3</b:RefOrder>
  </b:Source>
  <b:Source>
    <b:Tag>JHu90</b:Tag>
    <b:SourceType>Book</b:SourceType>
    <b:Guid>{1092395D-C078-4879-8F0C-E3D00CD3641E}</b:Guid>
    <b:Author>
      <b:Author>
        <b:NameList>
          <b:Person>
            <b:Last>J. Hull</b:Last>
            <b:First>A.</b:First>
            <b:Middle>White</b:Middle>
          </b:Person>
        </b:NameList>
      </b:Author>
    </b:Author>
    <b:Title>Pricing Interest-Rate-Derivative Securities</b:Title>
    <b:Year>1990</b:Year>
    <b:RefOrder>4</b:RefOrder>
  </b:Source>
  <b:Source>
    <b:Tag>JCo</b:Tag>
    <b:SourceType>Book</b:SourceType>
    <b:Guid>{D53854D1-B856-4A0C-A842-0A9759101DE4}</b:Guid>
    <b:Author>
      <b:Author>
        <b:NameList>
          <b:Person>
            <b:Last>J.Cox</b:Last>
            <b:First>J.</b:First>
            <b:Middle>Ingersoll, S. Ross</b:Middle>
          </b:Person>
        </b:NameList>
      </b:Author>
    </b:Author>
    <b:Title>A Theory of the Term Structure of Interest Rates</b:Title>
    <b:Year>1985</b:Year>
    <b:RefOrder>5</b:RefOrder>
  </b:Source>
  <b:Source>
    <b:Tag>HoT86</b:Tag>
    <b:SourceType>Book</b:SourceType>
    <b:Guid>{2A57FA62-227A-4882-9398-D0C11C15AFB3}</b:Guid>
    <b:Author>
      <b:Author>
        <b:NameList>
          <b:Person>
            <b:Last>Ho T. S. Y.</b:Last>
            <b:First>Lee</b:First>
            <b:Middle>S.</b:Middle>
          </b:Person>
        </b:NameList>
      </b:Author>
    </b:Author>
    <b:Title>Term Structure Movements and Pricing Interest Rate Contingent Claims</b:Title>
    <b:Year>1986</b:Year>
    <b:RefOrder>6</b:RefOrder>
  </b:Source>
</b:Sources>
</file>

<file path=customXml/itemProps1.xml><?xml version="1.0" encoding="utf-8"?>
<ds:datastoreItem xmlns:ds="http://schemas.openxmlformats.org/officeDocument/2006/customXml" ds:itemID="{2F331973-7383-4B97-81CD-9E04A48D6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11</Pages>
  <Words>2076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Dimitrov</dc:creator>
  <cp:keywords/>
  <dc:description/>
  <cp:lastModifiedBy>Valentin Dimitrov</cp:lastModifiedBy>
  <cp:revision>296</cp:revision>
  <dcterms:created xsi:type="dcterms:W3CDTF">2017-11-16T12:19:00Z</dcterms:created>
  <dcterms:modified xsi:type="dcterms:W3CDTF">2017-12-14T19:21:00Z</dcterms:modified>
</cp:coreProperties>
</file>