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FA03" w14:textId="185A6532" w:rsidR="00023505" w:rsidRPr="00023505" w:rsidRDefault="00023505" w:rsidP="00023505">
      <w:pPr>
        <w:jc w:val="center"/>
        <w:rPr>
          <w:rFonts w:ascii="Times New Roman" w:eastAsia="Times New Roman" w:hAnsi="Times New Roman" w:cs="Times New Roman"/>
          <w:b/>
          <w:bCs/>
        </w:rPr>
      </w:pPr>
      <w:proofErr w:type="spellStart"/>
      <w:r w:rsidRPr="00023505">
        <w:rPr>
          <w:rFonts w:ascii="Times New Roman" w:eastAsia="Times New Roman" w:hAnsi="Times New Roman" w:cs="Times New Roman"/>
          <w:b/>
          <w:bCs/>
          <w:color w:val="000000"/>
          <w:shd w:val="clear" w:color="auto" w:fill="FFFFFF"/>
        </w:rPr>
        <w:t>Kitāb</w:t>
      </w:r>
      <w:proofErr w:type="spellEnd"/>
      <w:r w:rsidRPr="00023505">
        <w:rPr>
          <w:rFonts w:ascii="Times New Roman" w:eastAsia="Times New Roman" w:hAnsi="Times New Roman" w:cs="Times New Roman"/>
          <w:b/>
          <w:bCs/>
          <w:color w:val="000000"/>
          <w:shd w:val="clear" w:color="auto" w:fill="FFFFFF"/>
        </w:rPr>
        <w:t xml:space="preserve"> A</w:t>
      </w:r>
      <w:r w:rsidRPr="00922982">
        <w:rPr>
          <w:rFonts w:ascii="Times New Roman" w:eastAsia="Times New Roman" w:hAnsi="Times New Roman" w:cs="Times New Roman"/>
          <w:b/>
          <w:bCs/>
          <w:color w:val="000000"/>
          <w:shd w:val="clear" w:color="auto" w:fill="FFFFFF"/>
        </w:rPr>
        <w:t>l</w:t>
      </w:r>
      <w:r w:rsidRPr="00023505">
        <w:rPr>
          <w:rFonts w:ascii="Times New Roman" w:eastAsia="Times New Roman" w:hAnsi="Times New Roman" w:cs="Times New Roman"/>
          <w:b/>
          <w:bCs/>
          <w:color w:val="000000"/>
          <w:shd w:val="clear" w:color="auto" w:fill="FFFFFF"/>
        </w:rPr>
        <w:t>-</w:t>
      </w:r>
      <w:proofErr w:type="spellStart"/>
      <w:r w:rsidRPr="00023505">
        <w:rPr>
          <w:rFonts w:ascii="Times New Roman" w:eastAsia="Times New Roman" w:hAnsi="Times New Roman" w:cs="Times New Roman"/>
          <w:b/>
          <w:bCs/>
          <w:color w:val="000000"/>
          <w:shd w:val="clear" w:color="auto" w:fill="FFFFFF"/>
        </w:rPr>
        <w:t>Anwār</w:t>
      </w:r>
      <w:proofErr w:type="spellEnd"/>
      <w:r w:rsidRPr="00023505">
        <w:rPr>
          <w:rFonts w:ascii="Times New Roman" w:eastAsia="Times New Roman" w:hAnsi="Times New Roman" w:cs="Times New Roman"/>
          <w:b/>
          <w:bCs/>
          <w:color w:val="000000"/>
          <w:shd w:val="clear" w:color="auto" w:fill="FFFFFF"/>
        </w:rPr>
        <w:t xml:space="preserve"> Wal-</w:t>
      </w:r>
      <w:proofErr w:type="spellStart"/>
      <w:r w:rsidRPr="00922982">
        <w:rPr>
          <w:rFonts w:ascii="Times New Roman" w:eastAsia="Times New Roman" w:hAnsi="Times New Roman" w:cs="Times New Roman"/>
          <w:b/>
          <w:bCs/>
          <w:color w:val="000000"/>
          <w:shd w:val="clear" w:color="auto" w:fill="FFFFFF"/>
        </w:rPr>
        <w:t>M</w:t>
      </w:r>
      <w:r w:rsidRPr="00023505">
        <w:rPr>
          <w:rFonts w:ascii="Times New Roman" w:eastAsia="Times New Roman" w:hAnsi="Times New Roman" w:cs="Times New Roman"/>
          <w:b/>
          <w:bCs/>
          <w:color w:val="000000"/>
          <w:shd w:val="clear" w:color="auto" w:fill="FFFFFF"/>
        </w:rPr>
        <w:t>arāqib</w:t>
      </w:r>
      <w:proofErr w:type="spellEnd"/>
      <w:r w:rsidRPr="00922982">
        <w:rPr>
          <w:rFonts w:ascii="Times New Roman" w:eastAsia="Times New Roman" w:hAnsi="Times New Roman" w:cs="Times New Roman"/>
          <w:b/>
          <w:bCs/>
          <w:color w:val="000000"/>
          <w:shd w:val="clear" w:color="auto" w:fill="FFFFFF"/>
        </w:rPr>
        <w:t xml:space="preserve"> / The Book of Lights and Watchtowers</w:t>
      </w:r>
    </w:p>
    <w:p w14:paraId="31F028AB" w14:textId="29BFFA35" w:rsidR="00023505" w:rsidRDefault="00023505" w:rsidP="00023505">
      <w:pPr>
        <w:jc w:val="center"/>
      </w:pPr>
    </w:p>
    <w:p w14:paraId="44EE9826" w14:textId="01069F3C" w:rsidR="00023505" w:rsidRPr="00023505" w:rsidRDefault="00023505" w:rsidP="00023505">
      <w:pPr>
        <w:rPr>
          <w:rFonts w:ascii="Times New Roman" w:eastAsia="Times New Roman" w:hAnsi="Times New Roman" w:cs="Times New Roman"/>
          <w:color w:val="000000"/>
          <w:shd w:val="clear" w:color="auto" w:fill="FFFFFF"/>
        </w:rPr>
      </w:pPr>
      <w:r w:rsidRPr="00023505">
        <w:rPr>
          <w:b/>
          <w:bCs/>
        </w:rPr>
        <w:t>Introduction</w:t>
      </w:r>
      <w:r>
        <w:t xml:space="preserve">: </w:t>
      </w:r>
      <w:proofErr w:type="spellStart"/>
      <w:r w:rsidRPr="00023505">
        <w:rPr>
          <w:rFonts w:ascii="Times New Roman" w:eastAsia="Times New Roman" w:hAnsi="Times New Roman" w:cs="Times New Roman"/>
          <w:i/>
          <w:iCs/>
          <w:color w:val="000000"/>
          <w:shd w:val="clear" w:color="auto" w:fill="FFFFFF"/>
        </w:rPr>
        <w:t>Kitāb</w:t>
      </w:r>
      <w:proofErr w:type="spellEnd"/>
      <w:r w:rsidRPr="00023505">
        <w:rPr>
          <w:rFonts w:ascii="Times New Roman" w:eastAsia="Times New Roman" w:hAnsi="Times New Roman" w:cs="Times New Roman"/>
          <w:i/>
          <w:iCs/>
          <w:color w:val="000000"/>
          <w:shd w:val="clear" w:color="auto" w:fill="FFFFFF"/>
        </w:rPr>
        <w:t xml:space="preserve"> </w:t>
      </w:r>
      <w:r w:rsidRPr="00023505">
        <w:rPr>
          <w:rFonts w:ascii="Times New Roman" w:eastAsia="Times New Roman" w:hAnsi="Times New Roman" w:cs="Times New Roman"/>
          <w:i/>
          <w:iCs/>
          <w:color w:val="000000"/>
          <w:shd w:val="clear" w:color="auto" w:fill="FFFFFF"/>
        </w:rPr>
        <w:t>a</w:t>
      </w:r>
      <w:r w:rsidRPr="00023505">
        <w:rPr>
          <w:rFonts w:ascii="Times New Roman" w:eastAsia="Times New Roman" w:hAnsi="Times New Roman" w:cs="Times New Roman"/>
          <w:i/>
          <w:iCs/>
          <w:color w:val="000000"/>
          <w:shd w:val="clear" w:color="auto" w:fill="FFFFFF"/>
        </w:rPr>
        <w:t>l-</w:t>
      </w:r>
      <w:proofErr w:type="spellStart"/>
      <w:r w:rsidRPr="00023505">
        <w:rPr>
          <w:rFonts w:ascii="Times New Roman" w:eastAsia="Times New Roman" w:hAnsi="Times New Roman" w:cs="Times New Roman"/>
          <w:i/>
          <w:iCs/>
          <w:color w:val="000000"/>
          <w:shd w:val="clear" w:color="auto" w:fill="FFFFFF"/>
        </w:rPr>
        <w:t>Anwār</w:t>
      </w:r>
      <w:proofErr w:type="spellEnd"/>
      <w:r w:rsidRPr="00023505">
        <w:rPr>
          <w:rFonts w:ascii="Times New Roman" w:eastAsia="Times New Roman" w:hAnsi="Times New Roman" w:cs="Times New Roman"/>
          <w:i/>
          <w:iCs/>
          <w:color w:val="000000"/>
          <w:shd w:val="clear" w:color="auto" w:fill="FFFFFF"/>
        </w:rPr>
        <w:t xml:space="preserve"> Wal-</w:t>
      </w:r>
      <w:proofErr w:type="spellStart"/>
      <w:r w:rsidRPr="00023505">
        <w:rPr>
          <w:rFonts w:ascii="Times New Roman" w:eastAsia="Times New Roman" w:hAnsi="Times New Roman" w:cs="Times New Roman"/>
          <w:i/>
          <w:iCs/>
          <w:color w:val="000000"/>
          <w:shd w:val="clear" w:color="auto" w:fill="FFFFFF"/>
        </w:rPr>
        <w:t>Marāqib</w:t>
      </w:r>
      <w:proofErr w:type="spellEnd"/>
      <w:r w:rsidRPr="00023505">
        <w:rPr>
          <w:rFonts w:ascii="Times New Roman" w:eastAsia="Times New Roman" w:hAnsi="Times New Roman" w:cs="Times New Roman"/>
          <w:i/>
          <w:iCs/>
          <w:color w:val="000000"/>
          <w:shd w:val="clear" w:color="auto" w:fill="FFFFFF"/>
        </w:rPr>
        <w:t xml:space="preserve"> </w:t>
      </w:r>
      <w:r>
        <w:rPr>
          <w:rFonts w:ascii="Times New Roman" w:eastAsia="Times New Roman" w:hAnsi="Times New Roman" w:cs="Times New Roman"/>
          <w:color w:val="000000"/>
          <w:shd w:val="clear" w:color="auto" w:fill="FFFFFF"/>
        </w:rPr>
        <w:t xml:space="preserve">(or </w:t>
      </w:r>
      <w:r w:rsidRPr="00023505">
        <w:rPr>
          <w:rFonts w:ascii="Times New Roman" w:eastAsia="Times New Roman" w:hAnsi="Times New Roman" w:cs="Times New Roman"/>
          <w:i/>
          <w:iCs/>
          <w:color w:val="000000"/>
          <w:shd w:val="clear" w:color="auto" w:fill="FFFFFF"/>
        </w:rPr>
        <w:t>Kit</w:t>
      </w:r>
      <w:r w:rsidRPr="00023505">
        <w:rPr>
          <w:rFonts w:ascii="Times New Roman" w:eastAsia="Times New Roman" w:hAnsi="Times New Roman" w:cs="Times New Roman"/>
          <w:i/>
          <w:iCs/>
          <w:color w:val="000000"/>
          <w:shd w:val="clear" w:color="auto" w:fill="FFFFFF"/>
        </w:rPr>
        <w:t>a</w:t>
      </w:r>
      <w:r w:rsidRPr="00023505">
        <w:rPr>
          <w:rFonts w:ascii="Times New Roman" w:eastAsia="Times New Roman" w:hAnsi="Times New Roman" w:cs="Times New Roman"/>
          <w:i/>
          <w:iCs/>
          <w:color w:val="000000"/>
          <w:shd w:val="clear" w:color="auto" w:fill="FFFFFF"/>
        </w:rPr>
        <w:t xml:space="preserve">b </w:t>
      </w:r>
      <w:r w:rsidRPr="00023505">
        <w:rPr>
          <w:rFonts w:ascii="Times New Roman" w:eastAsia="Times New Roman" w:hAnsi="Times New Roman" w:cs="Times New Roman"/>
          <w:i/>
          <w:iCs/>
          <w:color w:val="000000"/>
          <w:shd w:val="clear" w:color="auto" w:fill="FFFFFF"/>
        </w:rPr>
        <w:t>a</w:t>
      </w:r>
      <w:r w:rsidRPr="00023505">
        <w:rPr>
          <w:rFonts w:ascii="Times New Roman" w:eastAsia="Times New Roman" w:hAnsi="Times New Roman" w:cs="Times New Roman"/>
          <w:i/>
          <w:iCs/>
          <w:color w:val="000000"/>
          <w:shd w:val="clear" w:color="auto" w:fill="FFFFFF"/>
        </w:rPr>
        <w:t>l-Anw</w:t>
      </w:r>
      <w:r w:rsidRPr="00023505">
        <w:rPr>
          <w:rFonts w:ascii="Times New Roman" w:eastAsia="Times New Roman" w:hAnsi="Times New Roman" w:cs="Times New Roman"/>
          <w:i/>
          <w:iCs/>
          <w:color w:val="000000"/>
          <w:shd w:val="clear" w:color="auto" w:fill="FFFFFF"/>
        </w:rPr>
        <w:t>ar</w:t>
      </w:r>
      <w:r w:rsidRPr="00023505">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for short) is one of two literary achievements by the tenth century Karaite Sage Jacob </w:t>
      </w:r>
      <w:proofErr w:type="spellStart"/>
      <w:r>
        <w:rPr>
          <w:rFonts w:ascii="Times New Roman" w:eastAsia="Times New Roman" w:hAnsi="Times New Roman" w:cs="Times New Roman"/>
          <w:color w:val="000000"/>
          <w:shd w:val="clear" w:color="auto" w:fill="FFFFFF"/>
        </w:rPr>
        <w:t>Kirkisani</w:t>
      </w:r>
      <w:proofErr w:type="spellEnd"/>
      <w:r>
        <w:rPr>
          <w:rFonts w:ascii="Times New Roman" w:eastAsia="Times New Roman" w:hAnsi="Times New Roman" w:cs="Times New Roman"/>
          <w:color w:val="000000"/>
          <w:shd w:val="clear" w:color="auto" w:fill="FFFFFF"/>
        </w:rPr>
        <w:t xml:space="preserve">. </w:t>
      </w:r>
      <w:r w:rsidRPr="00023505">
        <w:rPr>
          <w:rFonts w:ascii="Times New Roman" w:eastAsia="Times New Roman" w:hAnsi="Times New Roman" w:cs="Times New Roman"/>
          <w:i/>
          <w:iCs/>
          <w:color w:val="000000"/>
          <w:shd w:val="clear" w:color="auto" w:fill="FFFFFF"/>
        </w:rPr>
        <w:t>Kitab al-Anwar</w:t>
      </w:r>
      <w:r>
        <w:rPr>
          <w:rFonts w:ascii="Times New Roman" w:eastAsia="Times New Roman" w:hAnsi="Times New Roman" w:cs="Times New Roman"/>
          <w:color w:val="000000"/>
          <w:shd w:val="clear" w:color="auto" w:fill="FFFFFF"/>
        </w:rPr>
        <w:t xml:space="preserve"> opens with a review of Jewish movements and Christianity, as well as with an explanation of </w:t>
      </w:r>
      <w:proofErr w:type="spellStart"/>
      <w:r>
        <w:rPr>
          <w:rFonts w:ascii="Times New Roman" w:eastAsia="Times New Roman" w:hAnsi="Times New Roman" w:cs="Times New Roman"/>
          <w:color w:val="000000"/>
          <w:shd w:val="clear" w:color="auto" w:fill="FFFFFF"/>
        </w:rPr>
        <w:t>Kirkisani’s</w:t>
      </w:r>
      <w:proofErr w:type="spellEnd"/>
      <w:r>
        <w:rPr>
          <w:rFonts w:ascii="Times New Roman" w:eastAsia="Times New Roman" w:hAnsi="Times New Roman" w:cs="Times New Roman"/>
          <w:color w:val="000000"/>
          <w:shd w:val="clear" w:color="auto" w:fill="FFFFFF"/>
        </w:rPr>
        <w:t xml:space="preserve"> exegetical approach, and philosophical beliefs. Extensive work has been done translating these on these opening sections of </w:t>
      </w:r>
      <w:r w:rsidRPr="00023505">
        <w:rPr>
          <w:rFonts w:ascii="Times New Roman" w:eastAsia="Times New Roman" w:hAnsi="Times New Roman" w:cs="Times New Roman"/>
          <w:i/>
          <w:iCs/>
          <w:color w:val="000000"/>
          <w:shd w:val="clear" w:color="auto" w:fill="FFFFFF"/>
        </w:rPr>
        <w:t>Kitab al-Anwar</w:t>
      </w:r>
      <w:r>
        <w:rPr>
          <w:rFonts w:ascii="Times New Roman" w:eastAsia="Times New Roman" w:hAnsi="Times New Roman" w:cs="Times New Roman"/>
          <w:color w:val="000000"/>
          <w:shd w:val="clear" w:color="auto" w:fill="FFFFFF"/>
        </w:rPr>
        <w:t xml:space="preserve"> to Hebrew and English.</w:t>
      </w:r>
    </w:p>
    <w:p w14:paraId="703A9358" w14:textId="77777777" w:rsidR="00023505" w:rsidRDefault="00023505" w:rsidP="00023505">
      <w:pPr>
        <w:rPr>
          <w:rFonts w:ascii="Times New Roman" w:eastAsia="Times New Roman" w:hAnsi="Times New Roman" w:cs="Times New Roman"/>
          <w:color w:val="000000"/>
          <w:shd w:val="clear" w:color="auto" w:fill="FFFFFF"/>
        </w:rPr>
      </w:pPr>
    </w:p>
    <w:p w14:paraId="2BDD1455" w14:textId="16917749" w:rsidR="00023505" w:rsidRDefault="00023505" w:rsidP="00023505">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Our translation starts with </w:t>
      </w:r>
      <w:proofErr w:type="spellStart"/>
      <w:r>
        <w:rPr>
          <w:rFonts w:ascii="Times New Roman" w:eastAsia="Times New Roman" w:hAnsi="Times New Roman" w:cs="Times New Roman"/>
          <w:color w:val="000000"/>
          <w:shd w:val="clear" w:color="auto" w:fill="FFFFFF"/>
        </w:rPr>
        <w:t>Maqala</w:t>
      </w:r>
      <w:proofErr w:type="spellEnd"/>
      <w:r>
        <w:rPr>
          <w:rFonts w:ascii="Times New Roman" w:eastAsia="Times New Roman" w:hAnsi="Times New Roman" w:cs="Times New Roman"/>
          <w:color w:val="000000"/>
          <w:shd w:val="clear" w:color="auto" w:fill="FFFFFF"/>
        </w:rPr>
        <w:t xml:space="preserve"> / </w:t>
      </w:r>
      <w:r w:rsidR="00D02F25">
        <w:rPr>
          <w:rFonts w:ascii="Times New Roman" w:eastAsia="Times New Roman" w:hAnsi="Times New Roman" w:cs="Times New Roman"/>
          <w:color w:val="000000"/>
          <w:shd w:val="clear" w:color="auto" w:fill="FFFFFF"/>
        </w:rPr>
        <w:t>Discourse</w:t>
      </w:r>
      <w:r>
        <w:rPr>
          <w:rFonts w:ascii="Times New Roman" w:eastAsia="Times New Roman" w:hAnsi="Times New Roman" w:cs="Times New Roman"/>
          <w:color w:val="000000"/>
          <w:shd w:val="clear" w:color="auto" w:fill="FFFFFF"/>
        </w:rPr>
        <w:t xml:space="preserve"> 5. Much less work has been performed on these sections.</w:t>
      </w:r>
    </w:p>
    <w:p w14:paraId="183B8DCA" w14:textId="3FBB2A4B" w:rsidR="00023505" w:rsidRDefault="00023505" w:rsidP="00023505">
      <w:pPr>
        <w:rPr>
          <w:rFonts w:ascii="Times New Roman" w:eastAsia="Times New Roman" w:hAnsi="Times New Roman" w:cs="Times New Roman"/>
          <w:color w:val="000000"/>
          <w:shd w:val="clear" w:color="auto" w:fill="FFFFFF"/>
        </w:rPr>
      </w:pPr>
    </w:p>
    <w:p w14:paraId="534F1EE5" w14:textId="18E767BF" w:rsidR="00023505" w:rsidRDefault="00023505" w:rsidP="00023505">
      <w:pPr>
        <w:rPr>
          <w:rFonts w:ascii="Times New Roman" w:eastAsia="Times New Roman" w:hAnsi="Times New Roman" w:cs="Times New Roman"/>
          <w:color w:val="000000"/>
          <w:shd w:val="clear" w:color="auto" w:fill="FFFFFF"/>
        </w:rPr>
      </w:pPr>
      <w:r>
        <w:rPr>
          <w:rFonts w:ascii="Times New Roman" w:eastAsia="Times New Roman" w:hAnsi="Times New Roman" w:cs="Times New Roman"/>
          <w:b/>
          <w:bCs/>
          <w:color w:val="000000"/>
          <w:shd w:val="clear" w:color="auto" w:fill="FFFFFF"/>
        </w:rPr>
        <w:t>About Our Translation</w:t>
      </w:r>
      <w:r>
        <w:rPr>
          <w:rFonts w:ascii="Times New Roman" w:eastAsia="Times New Roman" w:hAnsi="Times New Roman" w:cs="Times New Roman"/>
          <w:color w:val="000000"/>
          <w:shd w:val="clear" w:color="auto" w:fill="FFFFFF"/>
        </w:rPr>
        <w:t xml:space="preserve">: </w:t>
      </w:r>
      <w:r w:rsidR="00922982">
        <w:rPr>
          <w:rFonts w:ascii="Times New Roman" w:eastAsia="Times New Roman" w:hAnsi="Times New Roman" w:cs="Times New Roman"/>
          <w:color w:val="000000"/>
          <w:shd w:val="clear" w:color="auto" w:fill="FFFFFF"/>
        </w:rPr>
        <w:t xml:space="preserve">We have based our translation </w:t>
      </w:r>
      <w:r w:rsidR="00D02F25">
        <w:rPr>
          <w:rFonts w:ascii="Times New Roman" w:eastAsia="Times New Roman" w:hAnsi="Times New Roman" w:cs="Times New Roman"/>
          <w:color w:val="000000"/>
          <w:shd w:val="clear" w:color="auto" w:fill="FFFFFF"/>
        </w:rPr>
        <w:t>off</w:t>
      </w:r>
      <w:r w:rsidR="00922982">
        <w:rPr>
          <w:rFonts w:ascii="Times New Roman" w:eastAsia="Times New Roman" w:hAnsi="Times New Roman" w:cs="Times New Roman"/>
          <w:color w:val="000000"/>
          <w:shd w:val="clear" w:color="auto" w:fill="FFFFFF"/>
        </w:rPr>
        <w:t xml:space="preserve"> the edition prepared by Leon </w:t>
      </w:r>
      <w:proofErr w:type="spellStart"/>
      <w:r w:rsidR="00922982">
        <w:rPr>
          <w:rFonts w:ascii="Times New Roman" w:eastAsia="Times New Roman" w:hAnsi="Times New Roman" w:cs="Times New Roman"/>
          <w:color w:val="000000"/>
          <w:shd w:val="clear" w:color="auto" w:fill="FFFFFF"/>
        </w:rPr>
        <w:t>Nemoy</w:t>
      </w:r>
      <w:proofErr w:type="spellEnd"/>
      <w:r w:rsidR="00922982">
        <w:rPr>
          <w:rFonts w:ascii="Times New Roman" w:eastAsia="Times New Roman" w:hAnsi="Times New Roman" w:cs="Times New Roman"/>
          <w:color w:val="000000"/>
          <w:shd w:val="clear" w:color="auto" w:fill="FFFFFF"/>
        </w:rPr>
        <w:t xml:space="preserve">, and we have started with what corresponds to Volume III of his edition. </w:t>
      </w:r>
      <w:r>
        <w:rPr>
          <w:rFonts w:ascii="Times New Roman" w:eastAsia="Times New Roman" w:hAnsi="Times New Roman" w:cs="Times New Roman"/>
          <w:color w:val="000000"/>
          <w:shd w:val="clear" w:color="auto" w:fill="FFFFFF"/>
        </w:rPr>
        <w:t xml:space="preserve">Two separate translators helped us bringing this translation to light: one translated </w:t>
      </w:r>
      <w:r w:rsidRPr="00023505">
        <w:rPr>
          <w:rFonts w:ascii="Times New Roman" w:eastAsia="Times New Roman" w:hAnsi="Times New Roman" w:cs="Times New Roman"/>
          <w:i/>
          <w:iCs/>
          <w:color w:val="000000"/>
          <w:shd w:val="clear" w:color="auto" w:fill="FFFFFF"/>
        </w:rPr>
        <w:t>Kitab al-Anwar</w:t>
      </w:r>
      <w:r>
        <w:rPr>
          <w:rFonts w:ascii="Times New Roman" w:eastAsia="Times New Roman" w:hAnsi="Times New Roman" w:cs="Times New Roman"/>
          <w:color w:val="000000"/>
          <w:shd w:val="clear" w:color="auto" w:fill="FFFFFF"/>
        </w:rPr>
        <w:t xml:space="preserve"> from Arabic into Hebrew; the other translated it from Arabic into English. We made the strategic decision not to let perfect be the enemy of </w:t>
      </w:r>
      <w:r w:rsidR="00D02F25">
        <w:rPr>
          <w:rFonts w:ascii="Times New Roman" w:eastAsia="Times New Roman" w:hAnsi="Times New Roman" w:cs="Times New Roman"/>
          <w:color w:val="000000"/>
          <w:shd w:val="clear" w:color="auto" w:fill="FFFFFF"/>
        </w:rPr>
        <w:t>very</w:t>
      </w:r>
      <w:r>
        <w:rPr>
          <w:rFonts w:ascii="Times New Roman" w:eastAsia="Times New Roman" w:hAnsi="Times New Roman" w:cs="Times New Roman"/>
          <w:color w:val="000000"/>
          <w:shd w:val="clear" w:color="auto" w:fill="FFFFFF"/>
        </w:rPr>
        <w:t xml:space="preserve"> good, and we made the tactical decision not to force the translators to have one hundred percent consistency between the documents. </w:t>
      </w:r>
      <w:r>
        <w:rPr>
          <w:rFonts w:ascii="Times New Roman" w:eastAsia="Times New Roman" w:hAnsi="Times New Roman" w:cs="Times New Roman"/>
          <w:i/>
          <w:iCs/>
          <w:color w:val="000000"/>
          <w:shd w:val="clear" w:color="auto" w:fill="FFFFFF"/>
        </w:rPr>
        <w:t xml:space="preserve">As such, each translation should be understood as capturing the essence and general details of </w:t>
      </w:r>
      <w:proofErr w:type="spellStart"/>
      <w:r>
        <w:rPr>
          <w:rFonts w:ascii="Times New Roman" w:eastAsia="Times New Roman" w:hAnsi="Times New Roman" w:cs="Times New Roman"/>
          <w:i/>
          <w:iCs/>
          <w:color w:val="000000"/>
          <w:shd w:val="clear" w:color="auto" w:fill="FFFFFF"/>
        </w:rPr>
        <w:t>Kirkisani’s</w:t>
      </w:r>
      <w:proofErr w:type="spellEnd"/>
      <w:r>
        <w:rPr>
          <w:rFonts w:ascii="Times New Roman" w:eastAsia="Times New Roman" w:hAnsi="Times New Roman" w:cs="Times New Roman"/>
          <w:i/>
          <w:iCs/>
          <w:color w:val="000000"/>
          <w:shd w:val="clear" w:color="auto" w:fill="FFFFFF"/>
        </w:rPr>
        <w:t xml:space="preserve"> work, even if one might quibble about the details</w:t>
      </w:r>
      <w:r>
        <w:rPr>
          <w:rFonts w:ascii="Times New Roman" w:eastAsia="Times New Roman" w:hAnsi="Times New Roman" w:cs="Times New Roman"/>
          <w:color w:val="000000"/>
          <w:shd w:val="clear" w:color="auto" w:fill="FFFFFF"/>
        </w:rPr>
        <w:t xml:space="preserve">. </w:t>
      </w:r>
    </w:p>
    <w:p w14:paraId="587AA44E" w14:textId="73FE3B78" w:rsidR="00023505" w:rsidRDefault="00023505" w:rsidP="00023505">
      <w:pPr>
        <w:rPr>
          <w:rFonts w:ascii="Times New Roman" w:eastAsia="Times New Roman" w:hAnsi="Times New Roman" w:cs="Times New Roman"/>
          <w:color w:val="000000"/>
          <w:shd w:val="clear" w:color="auto" w:fill="FFFFFF"/>
        </w:rPr>
      </w:pPr>
    </w:p>
    <w:p w14:paraId="7B3C6373" w14:textId="16BE38D5" w:rsidR="00023505" w:rsidRPr="00023505" w:rsidRDefault="00023505" w:rsidP="00023505">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example, in Chapter 16 in the English it says that breastfeeding a child on Yom Kippur is permissible so that the child is not “harmed” (by lack of food). In the Hebrew it says that breastfeeding is permissible so that the child does not “die.” One can imagine that there are some circumstances where the distinction between “harm” and “die” is important. Here, the important point is that it is permissible to feed a child on Yom Kippur. We hope to bring more </w:t>
      </w:r>
      <w:proofErr w:type="spellStart"/>
      <w:r>
        <w:rPr>
          <w:rFonts w:ascii="Times New Roman" w:eastAsia="Times New Roman" w:hAnsi="Times New Roman" w:cs="Times New Roman"/>
          <w:color w:val="000000"/>
          <w:shd w:val="clear" w:color="auto" w:fill="FFFFFF"/>
        </w:rPr>
        <w:t>an</w:t>
      </w:r>
      <w:proofErr w:type="spellEnd"/>
      <w:r>
        <w:rPr>
          <w:rFonts w:ascii="Times New Roman" w:eastAsia="Times New Roman" w:hAnsi="Times New Roman" w:cs="Times New Roman"/>
          <w:color w:val="000000"/>
          <w:shd w:val="clear" w:color="auto" w:fill="FFFFFF"/>
        </w:rPr>
        <w:t xml:space="preserve"> more consistency to these documents over time.</w:t>
      </w:r>
    </w:p>
    <w:sectPr w:rsidR="00023505" w:rsidRPr="0002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05"/>
    <w:rsid w:val="00023505"/>
    <w:rsid w:val="00922982"/>
    <w:rsid w:val="00D0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83ECC"/>
  <w15:chartTrackingRefBased/>
  <w15:docId w15:val="{97FD25B4-B005-2B4B-848A-06723A00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2022-01-31T20:48:00Z</dcterms:created>
  <dcterms:modified xsi:type="dcterms:W3CDTF">2022-01-31T20:51:00Z</dcterms:modified>
</cp:coreProperties>
</file>