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4E0" w:rsidRDefault="00B704E0" w:rsidP="00B704E0">
      <w:pPr>
        <w:pStyle w:val="titleEpages"/>
      </w:pPr>
      <w:r>
        <w:t xml:space="preserve">Introductory Notes from </w:t>
      </w:r>
      <w:proofErr w:type="gramStart"/>
      <w:r>
        <w:t>The</w:t>
      </w:r>
      <w:proofErr w:type="gramEnd"/>
      <w:r>
        <w:t xml:space="preserve"> </w:t>
      </w:r>
      <w:proofErr w:type="spellStart"/>
      <w:r>
        <w:t>Karaite</w:t>
      </w:r>
      <w:proofErr w:type="spellEnd"/>
      <w:r>
        <w:t xml:space="preserve"> Press</w:t>
      </w:r>
    </w:p>
    <w:p w:rsidR="00B704E0" w:rsidRDefault="00B704E0" w:rsidP="00B704E0">
      <w:pPr>
        <w:pStyle w:val="bodyfirstspb4"/>
        <w:spacing w:before="620"/>
      </w:pPr>
      <w:r>
        <w:rPr>
          <w:rStyle w:val="bd"/>
        </w:rPr>
        <w:t>About the Translator:</w:t>
      </w:r>
      <w:r>
        <w:t xml:space="preserve"> Esther </w:t>
      </w:r>
      <w:proofErr w:type="spellStart"/>
      <w:r>
        <w:t>Mangoubi</w:t>
      </w:r>
      <w:proofErr w:type="spellEnd"/>
      <w:r>
        <w:t xml:space="preserve"> has been an i</w:t>
      </w:r>
      <w:r>
        <w:t>n</w:t>
      </w:r>
      <w:r>
        <w:t>structor teaching German and at times French at several Boston area universities. Most of her previous transl</w:t>
      </w:r>
      <w:r>
        <w:t>a</w:t>
      </w:r>
      <w:r>
        <w:t>tion projects involved translating works from English into French or German. She has also translated various letters of Solomon Schechter.</w:t>
      </w:r>
    </w:p>
    <w:p w:rsidR="00B704E0" w:rsidRDefault="00B704E0" w:rsidP="00B704E0">
      <w:pPr>
        <w:pStyle w:val="bodyfirstspb4"/>
      </w:pPr>
      <w:r>
        <w:rPr>
          <w:rStyle w:val="bd"/>
        </w:rPr>
        <w:t>About the Vocalizer and Annotator</w:t>
      </w:r>
      <w:r>
        <w:t>: Dr. Gabriel Wasse</w:t>
      </w:r>
      <w:r>
        <w:t>r</w:t>
      </w:r>
      <w:r>
        <w:t>man (PhD Yeshiva University, 2016) is a scholar of Je</w:t>
      </w:r>
      <w:r>
        <w:t>w</w:t>
      </w:r>
      <w:r>
        <w:t xml:space="preserve">ish texts, with a specialty in </w:t>
      </w:r>
      <w:proofErr w:type="spellStart"/>
      <w:r>
        <w:rPr>
          <w:rStyle w:val="ittext"/>
        </w:rPr>
        <w:t>piyyuṭim</w:t>
      </w:r>
      <w:proofErr w:type="spellEnd"/>
      <w:r>
        <w:t xml:space="preserve">, Hebrew liturgical poetry. Wasserman previously served as the translator and annotator of </w:t>
      </w:r>
      <w:r>
        <w:rPr>
          <w:rStyle w:val="ittext"/>
        </w:rPr>
        <w:t xml:space="preserve">Royal Attire: On </w:t>
      </w:r>
      <w:proofErr w:type="spellStart"/>
      <w:r>
        <w:rPr>
          <w:rStyle w:val="ittext"/>
        </w:rPr>
        <w:t>Karaite</w:t>
      </w:r>
      <w:proofErr w:type="spellEnd"/>
      <w:r>
        <w:rPr>
          <w:rStyle w:val="ittext"/>
        </w:rPr>
        <w:t xml:space="preserve"> and </w:t>
      </w:r>
      <w:proofErr w:type="spellStart"/>
      <w:r>
        <w:rPr>
          <w:rStyle w:val="ittext"/>
        </w:rPr>
        <w:t>Rabbanite</w:t>
      </w:r>
      <w:proofErr w:type="spellEnd"/>
      <w:r>
        <w:rPr>
          <w:rStyle w:val="ittext"/>
        </w:rPr>
        <w:t xml:space="preserve"> Beliefs</w:t>
      </w:r>
      <w:r>
        <w:t xml:space="preserve"> (Daly City: The </w:t>
      </w:r>
      <w:proofErr w:type="spellStart"/>
      <w:r>
        <w:t>Karaite</w:t>
      </w:r>
      <w:proofErr w:type="spellEnd"/>
      <w:r>
        <w:t xml:space="preserve"> Press, 2016). In addition to his work with The </w:t>
      </w:r>
      <w:proofErr w:type="spellStart"/>
      <w:r>
        <w:t>Karaite</w:t>
      </w:r>
      <w:proofErr w:type="spellEnd"/>
      <w:r>
        <w:t xml:space="preserve"> Press, Wasserman has translated both Hebrew academic prose and primary sources, as can be seen, for example, in his English translation of the editors’ introduction published in J</w:t>
      </w:r>
      <w:r>
        <w:t>o</w:t>
      </w:r>
      <w:r>
        <w:t xml:space="preserve">seph </w:t>
      </w:r>
      <w:proofErr w:type="spellStart"/>
      <w:r>
        <w:t>Yahalom</w:t>
      </w:r>
      <w:proofErr w:type="spellEnd"/>
      <w:r>
        <w:t xml:space="preserve"> and </w:t>
      </w:r>
      <w:proofErr w:type="spellStart"/>
      <w:r>
        <w:t>Naoya</w:t>
      </w:r>
      <w:proofErr w:type="spellEnd"/>
      <w:r>
        <w:t xml:space="preserve"> Katsumata, eds., </w:t>
      </w:r>
      <w:proofErr w:type="spellStart"/>
      <w:r>
        <w:rPr>
          <w:rStyle w:val="ittext"/>
        </w:rPr>
        <w:t>Tahkemoni</w:t>
      </w:r>
      <w:proofErr w:type="spellEnd"/>
      <w:r>
        <w:rPr>
          <w:rStyle w:val="ittext"/>
        </w:rPr>
        <w:t xml:space="preserve">, or The Tales of </w:t>
      </w:r>
      <w:proofErr w:type="spellStart"/>
      <w:r>
        <w:rPr>
          <w:rStyle w:val="ittext"/>
        </w:rPr>
        <w:t>Heman</w:t>
      </w:r>
      <w:proofErr w:type="spellEnd"/>
      <w:r>
        <w:rPr>
          <w:rStyle w:val="ittext"/>
        </w:rPr>
        <w:t xml:space="preserve"> the </w:t>
      </w:r>
      <w:proofErr w:type="spellStart"/>
      <w:r>
        <w:rPr>
          <w:rStyle w:val="ittext"/>
        </w:rPr>
        <w:t>Ezrahite</w:t>
      </w:r>
      <w:proofErr w:type="spellEnd"/>
      <w:r>
        <w:rPr>
          <w:rStyle w:val="ittext"/>
        </w:rPr>
        <w:t xml:space="preserve">, by Judah </w:t>
      </w:r>
      <w:proofErr w:type="spellStart"/>
      <w:r>
        <w:rPr>
          <w:rStyle w:val="ittext"/>
        </w:rPr>
        <w:t>Alharizi</w:t>
      </w:r>
      <w:proofErr w:type="spellEnd"/>
      <w:r>
        <w:t xml:space="preserve"> (Jerusalem: Ben-­</w:t>
      </w:r>
      <w:proofErr w:type="spellStart"/>
      <w:r>
        <w:t>Zvi</w:t>
      </w:r>
      <w:proofErr w:type="spellEnd"/>
      <w:r>
        <w:t xml:space="preserve"> Institute, 2010). His PhD dissert</w:t>
      </w:r>
      <w:r>
        <w:t>a</w:t>
      </w:r>
      <w:r>
        <w:t xml:space="preserve">tion is on </w:t>
      </w:r>
      <w:proofErr w:type="spellStart"/>
      <w:r>
        <w:rPr>
          <w:rStyle w:val="ittext"/>
        </w:rPr>
        <w:t>piyyuṭim</w:t>
      </w:r>
      <w:proofErr w:type="spellEnd"/>
      <w:r>
        <w:rPr>
          <w:rStyle w:val="ittext"/>
        </w:rPr>
        <w:t xml:space="preserve"> </w:t>
      </w:r>
      <w:r>
        <w:t xml:space="preserve">for </w:t>
      </w:r>
      <w:proofErr w:type="spellStart"/>
      <w:r>
        <w:t>Ḥanukka</w:t>
      </w:r>
      <w:proofErr w:type="spellEnd"/>
      <w:r>
        <w:t xml:space="preserve"> in mediaeval European Jewish communities. Wasserman is also the author of a </w:t>
      </w:r>
      <w:proofErr w:type="spellStart"/>
      <w:r>
        <w:t>Rabbanite</w:t>
      </w:r>
      <w:proofErr w:type="spellEnd"/>
      <w:r>
        <w:t xml:space="preserve"> Passover </w:t>
      </w:r>
      <w:proofErr w:type="spellStart"/>
      <w:r>
        <w:t>Haggada</w:t>
      </w:r>
      <w:proofErr w:type="spellEnd"/>
      <w:r>
        <w:t xml:space="preserve">, </w:t>
      </w:r>
      <w:proofErr w:type="spellStart"/>
      <w:r>
        <w:rPr>
          <w:rStyle w:val="ittext"/>
        </w:rPr>
        <w:t>Ashira</w:t>
      </w:r>
      <w:proofErr w:type="spellEnd"/>
      <w:r>
        <w:rPr>
          <w:rStyle w:val="ittext"/>
        </w:rPr>
        <w:t xml:space="preserve"> </w:t>
      </w:r>
      <w:proofErr w:type="spellStart"/>
      <w:r>
        <w:rPr>
          <w:rStyle w:val="ittext"/>
        </w:rPr>
        <w:t>Va’ashannena</w:t>
      </w:r>
      <w:proofErr w:type="spellEnd"/>
      <w:r>
        <w:rPr>
          <w:rStyle w:val="ittext"/>
        </w:rPr>
        <w:t xml:space="preserve"> </w:t>
      </w:r>
      <w:proofErr w:type="spellStart"/>
      <w:r>
        <w:rPr>
          <w:rStyle w:val="ittext"/>
        </w:rPr>
        <w:t>Baḥashiqoth</w:t>
      </w:r>
      <w:proofErr w:type="spellEnd"/>
      <w:r>
        <w:t xml:space="preserve"> (New York, 2015), which includes both his scholarship and his original poetic compositions.</w:t>
      </w:r>
    </w:p>
    <w:p w:rsidR="00B704E0" w:rsidRDefault="00B704E0" w:rsidP="00B704E0">
      <w:pPr>
        <w:pStyle w:val="body"/>
      </w:pPr>
      <w:r>
        <w:t xml:space="preserve">As always, The </w:t>
      </w:r>
      <w:proofErr w:type="spellStart"/>
      <w:r>
        <w:t>Karaite</w:t>
      </w:r>
      <w:proofErr w:type="spellEnd"/>
      <w:r>
        <w:t xml:space="preserve"> Press is thankful for the work of </w:t>
      </w:r>
      <w:proofErr w:type="spellStart"/>
      <w:r>
        <w:t>Tomer</w:t>
      </w:r>
      <w:proofErr w:type="spellEnd"/>
      <w:r>
        <w:t xml:space="preserve"> </w:t>
      </w:r>
      <w:proofErr w:type="spellStart"/>
      <w:r>
        <w:t>Mangoubi</w:t>
      </w:r>
      <w:proofErr w:type="spellEnd"/>
      <w:r>
        <w:t>, who contributed his insights to this project throughout.</w:t>
      </w:r>
    </w:p>
    <w:p w:rsidR="00B704E0" w:rsidRDefault="00B704E0" w:rsidP="00B704E0">
      <w:pPr>
        <w:pStyle w:val="bodyfirstspb4"/>
        <w:pageBreakBefore/>
      </w:pPr>
      <w:r>
        <w:rPr>
          <w:rStyle w:val="bd"/>
        </w:rPr>
        <w:lastRenderedPageBreak/>
        <w:t>About the Author:</w:t>
      </w:r>
      <w:r w:rsidRPr="00B704E0">
        <w:rPr>
          <w:rFonts w:ascii="FbShefa Pro" w:hAnsi="FbShefa Pro" w:cs="FbShefa Pro"/>
          <w:color w:val="auto"/>
          <w:vertAlign w:val="superscript"/>
        </w:rPr>
        <w:footnoteReference w:id="1"/>
      </w:r>
      <w:r>
        <w:rPr>
          <w:rStyle w:val="bd"/>
        </w:rPr>
        <w:t xml:space="preserve"> </w:t>
      </w:r>
      <w:proofErr w:type="spellStart"/>
      <w:r>
        <w:t>Ḥakham</w:t>
      </w:r>
      <w:proofErr w:type="spellEnd"/>
      <w:r>
        <w:t xml:space="preserve"> Solomon ben Aaron has been referred to (at least in one manuscript) as </w:t>
      </w:r>
      <w:r>
        <w:rPr>
          <w:rStyle w:val="ittext"/>
        </w:rPr>
        <w:t>He-­</w:t>
      </w:r>
      <w:proofErr w:type="spellStart"/>
      <w:r>
        <w:rPr>
          <w:rStyle w:val="ittext"/>
        </w:rPr>
        <w:t>ḥakham</w:t>
      </w:r>
      <w:proofErr w:type="spellEnd"/>
      <w:r>
        <w:rPr>
          <w:rStyle w:val="ittext"/>
        </w:rPr>
        <w:t xml:space="preserve"> Ha-­</w:t>
      </w:r>
      <w:proofErr w:type="spellStart"/>
      <w:r>
        <w:rPr>
          <w:rStyle w:val="ittext"/>
        </w:rPr>
        <w:t>kolel</w:t>
      </w:r>
      <w:proofErr w:type="spellEnd"/>
      <w:r>
        <w:t>, a title that generally refers to someone who possesses great knowledge in the fields of liberal arts, humanities, philosophy and or medicine – in addition to knowledge of religious matters.</w:t>
      </w:r>
      <w:r w:rsidRPr="00B704E0">
        <w:rPr>
          <w:rFonts w:ascii="FbShefa Pro" w:hAnsi="FbShefa Pro" w:cs="FbShefa Pro"/>
          <w:color w:val="auto"/>
          <w:vertAlign w:val="superscript"/>
        </w:rPr>
        <w:footnoteReference w:id="2"/>
      </w:r>
      <w:r>
        <w:t xml:space="preserve"> As this a</w:t>
      </w:r>
      <w:r>
        <w:t>t</w:t>
      </w:r>
      <w:r>
        <w:t xml:space="preserve">tribution suggests, he was among the most prominent </w:t>
      </w:r>
      <w:proofErr w:type="spellStart"/>
      <w:r>
        <w:t>Karaite</w:t>
      </w:r>
      <w:proofErr w:type="spellEnd"/>
      <w:r>
        <w:t xml:space="preserve"> sages of his time.</w:t>
      </w:r>
    </w:p>
    <w:p w:rsidR="00B704E0" w:rsidRDefault="00B704E0" w:rsidP="00B704E0">
      <w:pPr>
        <w:pStyle w:val="body"/>
      </w:pPr>
      <w:proofErr w:type="spellStart"/>
      <w:r>
        <w:t>Ḥakham</w:t>
      </w:r>
      <w:proofErr w:type="spellEnd"/>
      <w:r>
        <w:t xml:space="preserve"> Solomon ben Aaron was born in 1650 in the city of </w:t>
      </w:r>
      <w:proofErr w:type="spellStart"/>
      <w:r>
        <w:t>Paswoł</w:t>
      </w:r>
      <w:proofErr w:type="spellEnd"/>
      <w:r>
        <w:t xml:space="preserve"> in the Lithuanian district of </w:t>
      </w:r>
      <w:proofErr w:type="spellStart"/>
      <w:r>
        <w:t>Panėvežys</w:t>
      </w:r>
      <w:proofErr w:type="spellEnd"/>
      <w:r>
        <w:t xml:space="preserve">. In the early 1700s, he and his family moved to the city of </w:t>
      </w:r>
      <w:proofErr w:type="spellStart"/>
      <w:r>
        <w:t>Troki</w:t>
      </w:r>
      <w:proofErr w:type="spellEnd"/>
      <w:r>
        <w:t xml:space="preserve">, which was subsequently devastated by a plague in 1710. The plague took the lives of </w:t>
      </w:r>
      <w:proofErr w:type="spellStart"/>
      <w:r>
        <w:t>Ḥakham</w:t>
      </w:r>
      <w:proofErr w:type="spellEnd"/>
      <w:r>
        <w:t xml:space="preserve"> Solomon ben Aaron’s wife and their two sons: Mordecai and </w:t>
      </w:r>
      <w:proofErr w:type="spellStart"/>
      <w:r>
        <w:t>Simḥa</w:t>
      </w:r>
      <w:proofErr w:type="spellEnd"/>
      <w:r>
        <w:t>. A prolific poet, he wrote elegies lamenting the destruction caused by the plague. One such poem, “</w:t>
      </w:r>
      <w:proofErr w:type="spellStart"/>
      <w:proofErr w:type="gramStart"/>
      <w:r>
        <w:t>A‘orer</w:t>
      </w:r>
      <w:proofErr w:type="spellEnd"/>
      <w:proofErr w:type="gramEnd"/>
      <w:r>
        <w:t xml:space="preserve"> </w:t>
      </w:r>
      <w:proofErr w:type="spellStart"/>
      <w:r>
        <w:t>Levavi</w:t>
      </w:r>
      <w:proofErr w:type="spellEnd"/>
      <w:r>
        <w:t xml:space="preserve"> </w:t>
      </w:r>
      <w:proofErr w:type="spellStart"/>
      <w:r>
        <w:t>Leqonen</w:t>
      </w:r>
      <w:proofErr w:type="spellEnd"/>
      <w:r>
        <w:t xml:space="preserve">” (“I stir up my heart to lament”), commemorates the victims of the plague, and appears in the Vilna edition of the </w:t>
      </w:r>
      <w:proofErr w:type="spellStart"/>
      <w:r>
        <w:t>Karaite</w:t>
      </w:r>
      <w:proofErr w:type="spellEnd"/>
      <w:r>
        <w:t xml:space="preserve"> prayer book.</w:t>
      </w:r>
      <w:r w:rsidRPr="00B704E0">
        <w:rPr>
          <w:rFonts w:ascii="FbShefa Pro" w:hAnsi="FbShefa Pro" w:cs="FbShefa Pro"/>
          <w:color w:val="auto"/>
          <w:vertAlign w:val="superscript"/>
        </w:rPr>
        <w:footnoteReference w:id="3"/>
      </w:r>
      <w:r>
        <w:t xml:space="preserve"> This prayer book also contains a song for the Sabbath, wri</w:t>
      </w:r>
      <w:r>
        <w:t>t</w:t>
      </w:r>
      <w:r>
        <w:t xml:space="preserve">ten by </w:t>
      </w:r>
      <w:proofErr w:type="spellStart"/>
      <w:r>
        <w:t>Ḥakham</w:t>
      </w:r>
      <w:proofErr w:type="spellEnd"/>
      <w:r>
        <w:t xml:space="preserve"> Solomon ben Aaron in memory of his son, Mordecai.</w:t>
      </w:r>
      <w:r w:rsidRPr="00B704E0">
        <w:rPr>
          <w:rFonts w:ascii="FbShefa Pro" w:hAnsi="FbShefa Pro" w:cs="FbShefa Pro"/>
          <w:color w:val="auto"/>
          <w:vertAlign w:val="superscript"/>
        </w:rPr>
        <w:footnoteReference w:id="4"/>
      </w:r>
      <w:r>
        <w:t xml:space="preserve"> After the plague, </w:t>
      </w:r>
      <w:proofErr w:type="spellStart"/>
      <w:r>
        <w:t>Ḥakham</w:t>
      </w:r>
      <w:proofErr w:type="spellEnd"/>
      <w:r>
        <w:t xml:space="preserve"> Solomon ben Aaron moved for a short time to the city of Vilna, where he served as the head of the Beth Din. In 1719, he r</w:t>
      </w:r>
      <w:r>
        <w:t>e</w:t>
      </w:r>
      <w:r>
        <w:t xml:space="preserve">turned to </w:t>
      </w:r>
      <w:proofErr w:type="spellStart"/>
      <w:r>
        <w:t>Troki</w:t>
      </w:r>
      <w:proofErr w:type="spellEnd"/>
      <w:r>
        <w:t>.</w:t>
      </w:r>
    </w:p>
    <w:p w:rsidR="00B704E0" w:rsidRDefault="00B704E0" w:rsidP="00B704E0">
      <w:pPr>
        <w:pStyle w:val="body"/>
      </w:pPr>
      <w:r>
        <w:t xml:space="preserve">Like his contemporary </w:t>
      </w:r>
      <w:proofErr w:type="spellStart"/>
      <w:r>
        <w:t>Ḥakham</w:t>
      </w:r>
      <w:proofErr w:type="spellEnd"/>
      <w:r>
        <w:t xml:space="preserve"> Mordecai ben Nisan, </w:t>
      </w:r>
      <w:proofErr w:type="spellStart"/>
      <w:r>
        <w:t>Ḥakham</w:t>
      </w:r>
      <w:proofErr w:type="spellEnd"/>
      <w:r>
        <w:t xml:space="preserve"> Solomon ben Aaron received significant atte</w:t>
      </w:r>
      <w:r>
        <w:t>n</w:t>
      </w:r>
      <w:r>
        <w:t>tion from Christian Hebraists.</w:t>
      </w:r>
      <w:r w:rsidRPr="00B704E0">
        <w:rPr>
          <w:rFonts w:ascii="FbShefa Pro" w:hAnsi="FbShefa Pro" w:cs="FbShefa Pro"/>
          <w:color w:val="auto"/>
          <w:vertAlign w:val="superscript"/>
        </w:rPr>
        <w:footnoteReference w:id="5"/>
      </w:r>
      <w:r>
        <w:t xml:space="preserve"> </w:t>
      </w:r>
      <w:proofErr w:type="spellStart"/>
      <w:r>
        <w:rPr>
          <w:rStyle w:val="ittext"/>
        </w:rPr>
        <w:t>Appiryon</w:t>
      </w:r>
      <w:proofErr w:type="spellEnd"/>
      <w:r>
        <w:rPr>
          <w:rStyle w:val="ittext"/>
        </w:rPr>
        <w:t xml:space="preserve"> ‘</w:t>
      </w:r>
      <w:proofErr w:type="spellStart"/>
      <w:r>
        <w:rPr>
          <w:rStyle w:val="ittext"/>
        </w:rPr>
        <w:t>Asa</w:t>
      </w:r>
      <w:proofErr w:type="spellEnd"/>
      <w:r>
        <w:rPr>
          <w:rStyle w:val="ittext"/>
        </w:rPr>
        <w:t xml:space="preserve"> Lo</w:t>
      </w:r>
      <w:r>
        <w:t xml:space="preserve"> itself was written in response to questions posed by Johann </w:t>
      </w:r>
      <w:proofErr w:type="spellStart"/>
      <w:r>
        <w:t>Uppendorff</w:t>
      </w:r>
      <w:proofErr w:type="spellEnd"/>
      <w:r>
        <w:t>, a Swedish professor at the University of R</w:t>
      </w:r>
      <w:r>
        <w:t>i</w:t>
      </w:r>
      <w:r>
        <w:t xml:space="preserve">ga. In addition to </w:t>
      </w:r>
      <w:proofErr w:type="spellStart"/>
      <w:r>
        <w:rPr>
          <w:rStyle w:val="ittext"/>
        </w:rPr>
        <w:t>Appiryon</w:t>
      </w:r>
      <w:proofErr w:type="spellEnd"/>
      <w:r>
        <w:rPr>
          <w:rStyle w:val="ittext"/>
        </w:rPr>
        <w:t xml:space="preserve"> ‘</w:t>
      </w:r>
      <w:proofErr w:type="spellStart"/>
      <w:r>
        <w:rPr>
          <w:rStyle w:val="ittext"/>
        </w:rPr>
        <w:t>Asa</w:t>
      </w:r>
      <w:proofErr w:type="spellEnd"/>
      <w:r>
        <w:rPr>
          <w:rStyle w:val="ittext"/>
        </w:rPr>
        <w:t xml:space="preserve"> Lo</w:t>
      </w:r>
      <w:r>
        <w:t xml:space="preserve">, </w:t>
      </w:r>
      <w:proofErr w:type="spellStart"/>
      <w:r>
        <w:t>Ḥakham</w:t>
      </w:r>
      <w:proofErr w:type="spellEnd"/>
      <w:r>
        <w:t xml:space="preserve"> Solomon ben Aaron wrote at least two other polemical works: one on the relations between </w:t>
      </w:r>
      <w:proofErr w:type="spellStart"/>
      <w:r>
        <w:t>Karaites</w:t>
      </w:r>
      <w:proofErr w:type="spellEnd"/>
      <w:r>
        <w:t xml:space="preserve"> and </w:t>
      </w:r>
      <w:proofErr w:type="spellStart"/>
      <w:r>
        <w:t>Rabbanites</w:t>
      </w:r>
      <w:proofErr w:type="spellEnd"/>
      <w:r>
        <w:t>; and the other, a refutation of Christianity.</w:t>
      </w:r>
    </w:p>
    <w:p w:rsidR="00B704E0" w:rsidRDefault="00B704E0" w:rsidP="00B704E0">
      <w:pPr>
        <w:pStyle w:val="body"/>
      </w:pPr>
      <w:r>
        <w:t xml:space="preserve">It should be noted that </w:t>
      </w:r>
      <w:proofErr w:type="spellStart"/>
      <w:r>
        <w:t>Ḥakham</w:t>
      </w:r>
      <w:proofErr w:type="spellEnd"/>
      <w:r>
        <w:t xml:space="preserve"> Solomon ben Aaron wrote two distinct versions of </w:t>
      </w:r>
      <w:proofErr w:type="spellStart"/>
      <w:r>
        <w:rPr>
          <w:rStyle w:val="ittext"/>
        </w:rPr>
        <w:t>Appiryon</w:t>
      </w:r>
      <w:proofErr w:type="spellEnd"/>
      <w:r>
        <w:rPr>
          <w:rStyle w:val="ittext"/>
        </w:rPr>
        <w:t xml:space="preserve"> ‘</w:t>
      </w:r>
      <w:proofErr w:type="spellStart"/>
      <w:r>
        <w:rPr>
          <w:rStyle w:val="ittext"/>
        </w:rPr>
        <w:t>Asa</w:t>
      </w:r>
      <w:proofErr w:type="spellEnd"/>
      <w:r>
        <w:rPr>
          <w:rStyle w:val="ittext"/>
        </w:rPr>
        <w:t xml:space="preserve"> Lo. </w:t>
      </w:r>
      <w:r>
        <w:t>It a</w:t>
      </w:r>
      <w:r>
        <w:t>p</w:t>
      </w:r>
      <w:r>
        <w:t xml:space="preserve">pears that the shorter one, upon which this publication is based, was written for a Christian Hebraist audience; while the more extensive one was likely written later and intended for </w:t>
      </w:r>
      <w:proofErr w:type="spellStart"/>
      <w:r>
        <w:t>Karaite</w:t>
      </w:r>
      <w:proofErr w:type="spellEnd"/>
      <w:r>
        <w:t xml:space="preserve"> consumption.</w:t>
      </w:r>
    </w:p>
    <w:p w:rsidR="00B704E0" w:rsidRDefault="00B704E0" w:rsidP="00B704E0">
      <w:pPr>
        <w:pStyle w:val="bodyfirstspb4"/>
        <w:rPr>
          <w:rStyle w:val="FootnoteReference"/>
        </w:rPr>
      </w:pPr>
      <w:r>
        <w:rPr>
          <w:rStyle w:val="bd"/>
        </w:rPr>
        <w:lastRenderedPageBreak/>
        <w:t xml:space="preserve">About this Edition: </w:t>
      </w:r>
      <w:r>
        <w:t>This edition is the only known En</w:t>
      </w:r>
      <w:r>
        <w:t>g</w:t>
      </w:r>
      <w:r>
        <w:t xml:space="preserve">lish-­language translation of either version of </w:t>
      </w:r>
      <w:proofErr w:type="spellStart"/>
      <w:r>
        <w:t>Ḥakham</w:t>
      </w:r>
      <w:proofErr w:type="spellEnd"/>
      <w:r>
        <w:t xml:space="preserve"> Solomon ben Aaron’s </w:t>
      </w:r>
      <w:proofErr w:type="spellStart"/>
      <w:r>
        <w:rPr>
          <w:rStyle w:val="ittext"/>
        </w:rPr>
        <w:t>Appiryon</w:t>
      </w:r>
      <w:proofErr w:type="spellEnd"/>
      <w:r>
        <w:rPr>
          <w:rStyle w:val="ittext"/>
        </w:rPr>
        <w:t xml:space="preserve"> ‘</w:t>
      </w:r>
      <w:proofErr w:type="spellStart"/>
      <w:r>
        <w:rPr>
          <w:rStyle w:val="ittext"/>
        </w:rPr>
        <w:t>Asa</w:t>
      </w:r>
      <w:proofErr w:type="spellEnd"/>
      <w:r>
        <w:rPr>
          <w:rStyle w:val="ittext"/>
        </w:rPr>
        <w:t xml:space="preserve"> Lo</w:t>
      </w:r>
      <w:r>
        <w:t>.</w:t>
      </w:r>
      <w:r w:rsidRPr="00B704E0">
        <w:rPr>
          <w:rFonts w:ascii="FbShefa Pro" w:hAnsi="FbShefa Pro" w:cs="FbShefa Pro"/>
          <w:color w:val="auto"/>
          <w:vertAlign w:val="superscript"/>
        </w:rPr>
        <w:footnoteReference w:id="6"/>
      </w:r>
      <w:r>
        <w:t xml:space="preserve"> This work, like </w:t>
      </w:r>
      <w:proofErr w:type="spellStart"/>
      <w:r>
        <w:t>Ḥakham</w:t>
      </w:r>
      <w:proofErr w:type="spellEnd"/>
      <w:r>
        <w:t xml:space="preserve"> Mordecai ben Nisan’s </w:t>
      </w:r>
      <w:proofErr w:type="spellStart"/>
      <w:r>
        <w:rPr>
          <w:rStyle w:val="ittext"/>
        </w:rPr>
        <w:t>Levush</w:t>
      </w:r>
      <w:proofErr w:type="spellEnd"/>
      <w:r>
        <w:rPr>
          <w:rStyle w:val="ittext"/>
        </w:rPr>
        <w:t xml:space="preserve"> </w:t>
      </w:r>
      <w:proofErr w:type="spellStart"/>
      <w:r>
        <w:rPr>
          <w:rStyle w:val="ittext"/>
        </w:rPr>
        <w:t>Malkhuth</w:t>
      </w:r>
      <w:proofErr w:type="spellEnd"/>
      <w:r>
        <w:t>,</w:t>
      </w:r>
      <w:r w:rsidRPr="00B704E0">
        <w:rPr>
          <w:rFonts w:ascii="FbShefa Pro" w:hAnsi="FbShefa Pro" w:cs="FbShefa Pro"/>
          <w:color w:val="auto"/>
          <w:vertAlign w:val="superscript"/>
        </w:rPr>
        <w:footnoteReference w:id="7"/>
      </w:r>
      <w:r>
        <w:t xml:space="preserve"> first came to light in academic circles in 1866, when Adolf </w:t>
      </w:r>
      <w:proofErr w:type="spellStart"/>
      <w:r>
        <w:t>Neubauer</w:t>
      </w:r>
      <w:proofErr w:type="spellEnd"/>
      <w:r>
        <w:t xml:space="preserve"> published an </w:t>
      </w:r>
      <w:proofErr w:type="spellStart"/>
      <w:r>
        <w:t>unvocalized</w:t>
      </w:r>
      <w:proofErr w:type="spellEnd"/>
      <w:r>
        <w:t xml:space="preserve"> text of the shorter version, after his examination of previously unpublished </w:t>
      </w:r>
      <w:proofErr w:type="spellStart"/>
      <w:r>
        <w:t>Karaite</w:t>
      </w:r>
      <w:proofErr w:type="spellEnd"/>
      <w:r>
        <w:t xml:space="preserve"> manuscripts in the Russian National Library in Saint Petersburg.</w:t>
      </w:r>
      <w:r w:rsidRPr="00B704E0">
        <w:rPr>
          <w:rFonts w:ascii="FbShefa Pro" w:hAnsi="FbShefa Pro" w:cs="FbShefa Pro"/>
          <w:color w:val="auto"/>
          <w:vertAlign w:val="superscript"/>
        </w:rPr>
        <w:footnoteReference w:id="8"/>
      </w:r>
      <w:r>
        <w:t xml:space="preserve"> In 1956, the nascent </w:t>
      </w:r>
      <w:proofErr w:type="spellStart"/>
      <w:r>
        <w:t>Karaite</w:t>
      </w:r>
      <w:proofErr w:type="spellEnd"/>
      <w:r>
        <w:t xml:space="preserve"> co</w:t>
      </w:r>
      <w:r>
        <w:t>m</w:t>
      </w:r>
      <w:r>
        <w:t xml:space="preserve">munity in Israel published an </w:t>
      </w:r>
      <w:proofErr w:type="spellStart"/>
      <w:r>
        <w:t>unvocalized</w:t>
      </w:r>
      <w:proofErr w:type="spellEnd"/>
      <w:r>
        <w:t xml:space="preserve"> Hebrew ve</w:t>
      </w:r>
      <w:r>
        <w:t>r</w:t>
      </w:r>
      <w:r>
        <w:t xml:space="preserve">sion of </w:t>
      </w:r>
      <w:proofErr w:type="spellStart"/>
      <w:r>
        <w:rPr>
          <w:rStyle w:val="ittext"/>
        </w:rPr>
        <w:t>Levush</w:t>
      </w:r>
      <w:proofErr w:type="spellEnd"/>
      <w:r>
        <w:rPr>
          <w:rStyle w:val="ittext"/>
        </w:rPr>
        <w:t xml:space="preserve"> </w:t>
      </w:r>
      <w:proofErr w:type="spellStart"/>
      <w:r>
        <w:rPr>
          <w:rStyle w:val="ittext"/>
        </w:rPr>
        <w:t>Malkhuth</w:t>
      </w:r>
      <w:proofErr w:type="spellEnd"/>
      <w:r>
        <w:t xml:space="preserve"> together with the short version of </w:t>
      </w:r>
      <w:proofErr w:type="spellStart"/>
      <w:r>
        <w:rPr>
          <w:rStyle w:val="ittext"/>
        </w:rPr>
        <w:t>Appiryon</w:t>
      </w:r>
      <w:proofErr w:type="spellEnd"/>
      <w:r>
        <w:rPr>
          <w:rStyle w:val="ittext"/>
        </w:rPr>
        <w:t xml:space="preserve"> ‘</w:t>
      </w:r>
      <w:proofErr w:type="spellStart"/>
      <w:r>
        <w:rPr>
          <w:rStyle w:val="ittext"/>
        </w:rPr>
        <w:t>Asa</w:t>
      </w:r>
      <w:proofErr w:type="spellEnd"/>
      <w:r>
        <w:rPr>
          <w:rStyle w:val="ittext"/>
        </w:rPr>
        <w:t xml:space="preserve"> Lo</w:t>
      </w:r>
      <w:r>
        <w:t xml:space="preserve">. It appears that the only substantive differences that the </w:t>
      </w:r>
      <w:proofErr w:type="spellStart"/>
      <w:r>
        <w:t>Karaite</w:t>
      </w:r>
      <w:proofErr w:type="spellEnd"/>
      <w:r>
        <w:t xml:space="preserve"> community introduced in </w:t>
      </w:r>
      <w:proofErr w:type="spellStart"/>
      <w:r>
        <w:rPr>
          <w:rStyle w:val="ittext"/>
        </w:rPr>
        <w:t>Appiryon</w:t>
      </w:r>
      <w:proofErr w:type="spellEnd"/>
      <w:r>
        <w:rPr>
          <w:rStyle w:val="ittext"/>
        </w:rPr>
        <w:t xml:space="preserve"> ‘</w:t>
      </w:r>
      <w:proofErr w:type="spellStart"/>
      <w:r>
        <w:rPr>
          <w:rStyle w:val="ittext"/>
        </w:rPr>
        <w:t>Asa</w:t>
      </w:r>
      <w:proofErr w:type="spellEnd"/>
      <w:r>
        <w:rPr>
          <w:rStyle w:val="ittext"/>
        </w:rPr>
        <w:t xml:space="preserve"> Lo</w:t>
      </w:r>
      <w:r>
        <w:t xml:space="preserve"> are that they consistently changed any references to </w:t>
      </w:r>
      <w:proofErr w:type="spellStart"/>
      <w:r>
        <w:t>Rabbanites</w:t>
      </w:r>
      <w:proofErr w:type="spellEnd"/>
      <w:r>
        <w:t xml:space="preserve"> to say “our brothers the </w:t>
      </w:r>
      <w:proofErr w:type="spellStart"/>
      <w:r>
        <w:t>Ra</w:t>
      </w:r>
      <w:r>
        <w:t>b</w:t>
      </w:r>
      <w:r>
        <w:t>banites</w:t>
      </w:r>
      <w:proofErr w:type="spellEnd"/>
      <w:r>
        <w:t>,” and often changed references to “</w:t>
      </w:r>
      <w:proofErr w:type="spellStart"/>
      <w:r>
        <w:t>Karaite</w:t>
      </w:r>
      <w:proofErr w:type="spellEnd"/>
      <w:r>
        <w:t xml:space="preserve"> sa</w:t>
      </w:r>
      <w:r>
        <w:t>g</w:t>
      </w:r>
      <w:r>
        <w:t>es” to say “our sages.”</w:t>
      </w:r>
      <w:r w:rsidRPr="00B704E0">
        <w:rPr>
          <w:rFonts w:ascii="FbShefa Pro" w:hAnsi="FbShefa Pro" w:cs="FbShefa Pro"/>
          <w:color w:val="auto"/>
          <w:vertAlign w:val="superscript"/>
        </w:rPr>
        <w:footnoteReference w:id="9"/>
      </w:r>
    </w:p>
    <w:p w:rsidR="00B704E0" w:rsidRDefault="00B704E0" w:rsidP="00B704E0">
      <w:pPr>
        <w:pStyle w:val="bodyfirstspb4"/>
      </w:pPr>
      <w:r>
        <w:rPr>
          <w:rStyle w:val="bd"/>
        </w:rPr>
        <w:t xml:space="preserve">About the Hebrew Text: </w:t>
      </w:r>
      <w:r>
        <w:t xml:space="preserve">This edition of </w:t>
      </w:r>
      <w:proofErr w:type="spellStart"/>
      <w:r>
        <w:t>Ḥakham</w:t>
      </w:r>
      <w:proofErr w:type="spellEnd"/>
      <w:r>
        <w:t xml:space="preserve"> Solomon ben Aaron’s </w:t>
      </w:r>
      <w:proofErr w:type="spellStart"/>
      <w:r>
        <w:rPr>
          <w:rStyle w:val="ittext"/>
        </w:rPr>
        <w:t>Appiryon</w:t>
      </w:r>
      <w:proofErr w:type="spellEnd"/>
      <w:r>
        <w:rPr>
          <w:rStyle w:val="ittext"/>
        </w:rPr>
        <w:t xml:space="preserve"> ‘</w:t>
      </w:r>
      <w:proofErr w:type="spellStart"/>
      <w:r>
        <w:rPr>
          <w:rStyle w:val="ittext"/>
        </w:rPr>
        <w:t>Asa</w:t>
      </w:r>
      <w:proofErr w:type="spellEnd"/>
      <w:r>
        <w:rPr>
          <w:rStyle w:val="ittext"/>
        </w:rPr>
        <w:t xml:space="preserve"> Lo</w:t>
      </w:r>
      <w:r>
        <w:t xml:space="preserve"> is based on </w:t>
      </w:r>
      <w:proofErr w:type="spellStart"/>
      <w:r>
        <w:t>Neubauer’s</w:t>
      </w:r>
      <w:proofErr w:type="spellEnd"/>
      <w:r>
        <w:t xml:space="preserve"> 1866 publication. We have normalized the Hebrew spelling to fit the standard in vocalized Hebrew texts. In addition, we have made the following changes from </w:t>
      </w:r>
      <w:proofErr w:type="spellStart"/>
      <w:r>
        <w:t>Neubauer’s</w:t>
      </w:r>
      <w:proofErr w:type="spellEnd"/>
      <w:r>
        <w:t xml:space="preserve"> text: (</w:t>
      </w:r>
      <w:proofErr w:type="spellStart"/>
      <w:r>
        <w:t>i</w:t>
      </w:r>
      <w:proofErr w:type="spellEnd"/>
      <w:r>
        <w:t>) addition of paragraph breaks in a number of places, to make the changes in topic easier for the reader to follow; (ii) correction of clear typograp</w:t>
      </w:r>
      <w:r>
        <w:t>h</w:t>
      </w:r>
      <w:r>
        <w:t>ical errors; and (iii) in two places, changing a Biblical quotation to fit our text of Scripture. We have included an appendix of these three types of changes for those interested in reviewing them. Finally, the table of co</w:t>
      </w:r>
      <w:r>
        <w:t>n</w:t>
      </w:r>
      <w:r>
        <w:t xml:space="preserve">tents in ed. </w:t>
      </w:r>
      <w:proofErr w:type="spellStart"/>
      <w:r>
        <w:t>Neubauer</w:t>
      </w:r>
      <w:proofErr w:type="spellEnd"/>
      <w:r>
        <w:t xml:space="preserve"> reverses the order of chapters 23 and 24 from how they appear in the actual text; in our edition, we have changed the table of contents to fit the text.</w:t>
      </w:r>
    </w:p>
    <w:p w:rsidR="00B16FF9" w:rsidRDefault="00B704E0" w:rsidP="006B3890">
      <w:pPr>
        <w:pStyle w:val="body"/>
      </w:pPr>
      <w:r>
        <w:t xml:space="preserve">As with our publication of </w:t>
      </w:r>
      <w:proofErr w:type="spellStart"/>
      <w:r>
        <w:rPr>
          <w:rStyle w:val="ittext"/>
        </w:rPr>
        <w:t>Levush</w:t>
      </w:r>
      <w:proofErr w:type="spellEnd"/>
      <w:r>
        <w:rPr>
          <w:rStyle w:val="ittext"/>
        </w:rPr>
        <w:t xml:space="preserve"> </w:t>
      </w:r>
      <w:proofErr w:type="spellStart"/>
      <w:r>
        <w:rPr>
          <w:rStyle w:val="ittext"/>
        </w:rPr>
        <w:t>Malkhuth</w:t>
      </w:r>
      <w:proofErr w:type="spellEnd"/>
      <w:r>
        <w:rPr>
          <w:rStyle w:val="ittext"/>
        </w:rPr>
        <w:t>/Royal Attire</w:t>
      </w:r>
      <w:r>
        <w:t>, the reader should be assured that these adapt</w:t>
      </w:r>
      <w:r>
        <w:t>a</w:t>
      </w:r>
      <w:r>
        <w:t xml:space="preserve">tions do not impact the substance of </w:t>
      </w:r>
      <w:proofErr w:type="spellStart"/>
      <w:r>
        <w:rPr>
          <w:rStyle w:val="ittext"/>
        </w:rPr>
        <w:t>Appiryon</w:t>
      </w:r>
      <w:proofErr w:type="spellEnd"/>
      <w:r>
        <w:rPr>
          <w:rStyle w:val="ittext"/>
        </w:rPr>
        <w:t xml:space="preserve"> ‘</w:t>
      </w:r>
      <w:proofErr w:type="spellStart"/>
      <w:r>
        <w:rPr>
          <w:rStyle w:val="ittext"/>
        </w:rPr>
        <w:t>Asa</w:t>
      </w:r>
      <w:proofErr w:type="spellEnd"/>
      <w:r>
        <w:rPr>
          <w:rStyle w:val="ittext"/>
        </w:rPr>
        <w:t xml:space="preserve"> Lo</w:t>
      </w:r>
      <w:r>
        <w:t xml:space="preserve">. Academics will take comfort in the fact that </w:t>
      </w:r>
      <w:proofErr w:type="spellStart"/>
      <w:r>
        <w:t>Neubauer’s</w:t>
      </w:r>
      <w:proofErr w:type="spellEnd"/>
      <w:r>
        <w:t xml:space="preserve"> publication of </w:t>
      </w:r>
      <w:proofErr w:type="spellStart"/>
      <w:r>
        <w:rPr>
          <w:rStyle w:val="ittext"/>
        </w:rPr>
        <w:t>Appiryon</w:t>
      </w:r>
      <w:proofErr w:type="spellEnd"/>
      <w:r>
        <w:rPr>
          <w:rStyle w:val="ittext"/>
        </w:rPr>
        <w:t xml:space="preserve"> ‘</w:t>
      </w:r>
      <w:proofErr w:type="spellStart"/>
      <w:r>
        <w:rPr>
          <w:rStyle w:val="ittext"/>
        </w:rPr>
        <w:t>Asa</w:t>
      </w:r>
      <w:proofErr w:type="spellEnd"/>
      <w:r>
        <w:rPr>
          <w:rStyle w:val="ittext"/>
        </w:rPr>
        <w:t xml:space="preserve"> Lo </w:t>
      </w:r>
      <w:r>
        <w:t xml:space="preserve">is available online </w:t>
      </w:r>
      <w:r>
        <w:lastRenderedPageBreak/>
        <w:t>at Archive.org.</w:t>
      </w:r>
      <w:r w:rsidRPr="00B704E0">
        <w:rPr>
          <w:rFonts w:ascii="FbShefa Pro" w:hAnsi="FbShefa Pro" w:cs="FbShefa Pro"/>
          <w:color w:val="auto"/>
          <w:vertAlign w:val="superscript"/>
        </w:rPr>
        <w:footnoteReference w:id="10"/>
      </w:r>
      <w:r>
        <w:t xml:space="preserve"> Scholars can compare any variations in this edition from </w:t>
      </w:r>
      <w:proofErr w:type="spellStart"/>
      <w:r>
        <w:t>Neubauer’s</w:t>
      </w:r>
      <w:proofErr w:type="spellEnd"/>
      <w:r>
        <w:t xml:space="preserve"> publication. In order to assist this type of comparison, this edition contains brac</w:t>
      </w:r>
      <w:r>
        <w:t>k</w:t>
      </w:r>
      <w:r>
        <w:t xml:space="preserve">eted, superscripted page numbers corresponding to the page number in </w:t>
      </w:r>
      <w:proofErr w:type="spellStart"/>
      <w:r>
        <w:t>Neubauer’s</w:t>
      </w:r>
      <w:proofErr w:type="spellEnd"/>
      <w:r>
        <w:t xml:space="preserve"> publication, like so: </w:t>
      </w:r>
      <w:r>
        <w:rPr>
          <w:rStyle w:val="xrefE"/>
        </w:rPr>
        <w:t>{2}</w:t>
      </w:r>
      <w:r>
        <w:t xml:space="preserve"> or </w:t>
      </w:r>
      <w:r>
        <w:rPr>
          <w:rStyle w:val="xrefH"/>
          <w:position w:val="6"/>
        </w:rPr>
        <w:t>{</w:t>
      </w:r>
      <w:r w:rsidR="006B3890">
        <w:rPr>
          <w:rStyle w:val="xrefH"/>
          <w:rFonts w:hint="cs"/>
          <w:position w:val="6"/>
          <w:rtl/>
        </w:rPr>
        <w:t>ב</w:t>
      </w:r>
      <w:r>
        <w:rPr>
          <w:rStyle w:val="xrefH"/>
          <w:position w:val="6"/>
        </w:rPr>
        <w:t>}</w:t>
      </w:r>
      <w:r>
        <w:t>.</w:t>
      </w:r>
    </w:p>
    <w:p w:rsidR="00B704E0" w:rsidRDefault="00B704E0"/>
    <w:p w:rsidR="006F6578" w:rsidRPr="005F2D39" w:rsidRDefault="00A727BD">
      <w:pPr>
        <w:rPr>
          <w:b/>
          <w:bCs/>
          <w:sz w:val="28"/>
          <w:szCs w:val="28"/>
        </w:rPr>
      </w:pPr>
      <w:r w:rsidRPr="005F2D39">
        <w:rPr>
          <w:b/>
          <w:bCs/>
          <w:sz w:val="28"/>
          <w:szCs w:val="28"/>
        </w:rPr>
        <w:t>Appendix</w:t>
      </w:r>
    </w:p>
    <w:p w:rsidR="00A727BD" w:rsidRDefault="00A727BD" w:rsidP="00A727BD">
      <w:r>
        <w:t>As noted in the introduction, we have made several changes to</w:t>
      </w:r>
      <w:r>
        <w:t xml:space="preserve"> </w:t>
      </w:r>
      <w:proofErr w:type="spellStart"/>
      <w:r>
        <w:t>Neubauer’s</w:t>
      </w:r>
      <w:proofErr w:type="spellEnd"/>
      <w:r>
        <w:t xml:space="preserve"> edition of </w:t>
      </w:r>
      <w:proofErr w:type="spellStart"/>
      <w:r>
        <w:t>Appiryon</w:t>
      </w:r>
      <w:proofErr w:type="spellEnd"/>
      <w:r>
        <w:t xml:space="preserve"> ‘</w:t>
      </w:r>
      <w:proofErr w:type="spellStart"/>
      <w:r>
        <w:t>Asa</w:t>
      </w:r>
      <w:proofErr w:type="spellEnd"/>
      <w:r>
        <w:t xml:space="preserve"> Lo. We have catalogued those</w:t>
      </w:r>
      <w:r>
        <w:t xml:space="preserve"> </w:t>
      </w:r>
      <w:r>
        <w:t>changes here</w:t>
      </w:r>
      <w:r w:rsidR="00CD4CAF">
        <w:t xml:space="preserve"> (referring to pagination of the typeset edition)</w:t>
      </w:r>
      <w:r>
        <w:t>:</w:t>
      </w:r>
    </w:p>
    <w:p w:rsidR="00A727BD" w:rsidRDefault="00A727BD" w:rsidP="00A727BD">
      <w:pPr>
        <w:pStyle w:val="ListParagraph"/>
        <w:numPr>
          <w:ilvl w:val="0"/>
          <w:numId w:val="2"/>
        </w:numPr>
      </w:pPr>
      <w:r>
        <w:t>Addition of Paragraph Breaks:</w:t>
      </w:r>
    </w:p>
    <w:p w:rsidR="00A727BD" w:rsidRDefault="00850ABC" w:rsidP="00A727BD">
      <w:r>
        <w:t xml:space="preserve">P. 18 </w:t>
      </w:r>
      <w:r>
        <w:rPr>
          <w:rFonts w:hint="cs"/>
          <w:rtl/>
        </w:rPr>
        <w:t>ולהבין שנות דור ודור</w:t>
      </w:r>
    </w:p>
    <w:p w:rsidR="00850ABC" w:rsidRDefault="00850ABC" w:rsidP="00A727BD">
      <w:r>
        <w:t xml:space="preserve">P. 36 </w:t>
      </w:r>
      <w:r>
        <w:rPr>
          <w:rFonts w:hint="cs"/>
          <w:rtl/>
        </w:rPr>
        <w:t>פצע ולא מילה</w:t>
      </w:r>
    </w:p>
    <w:p w:rsidR="00850ABC" w:rsidRDefault="00850ABC" w:rsidP="00850ABC">
      <w:pPr>
        <w:rPr>
          <w:rFonts w:cs="Arial"/>
        </w:rPr>
      </w:pPr>
      <w:r>
        <w:t xml:space="preserve">P. 40 </w:t>
      </w:r>
      <w:r w:rsidRPr="00850ABC">
        <w:rPr>
          <w:rFonts w:cs="Arial"/>
          <w:rtl/>
        </w:rPr>
        <w:t>ובעבור אלו הב׳ פעלות נאמר שנית</w:t>
      </w:r>
    </w:p>
    <w:p w:rsidR="00850ABC" w:rsidRDefault="00850ABC" w:rsidP="00850ABC">
      <w:pPr>
        <w:rPr>
          <w:rFonts w:cs="Arial" w:hint="cs"/>
          <w:rtl/>
        </w:rPr>
      </w:pPr>
      <w:r>
        <w:rPr>
          <w:rFonts w:cs="Arial"/>
        </w:rPr>
        <w:t xml:space="preserve">P. 40 </w:t>
      </w:r>
      <w:r>
        <w:rPr>
          <w:rFonts w:cs="Arial" w:hint="cs"/>
          <w:rtl/>
        </w:rPr>
        <w:t>א</w:t>
      </w:r>
      <w:r w:rsidRPr="00850ABC">
        <w:rPr>
          <w:rFonts w:cs="Arial"/>
          <w:rtl/>
        </w:rPr>
        <w:t>בות מלאכות כאשר הם ידועים בספרי החכמים</w:t>
      </w:r>
    </w:p>
    <w:p w:rsidR="00850ABC" w:rsidRDefault="00850ABC" w:rsidP="00850ABC">
      <w:pPr>
        <w:rPr>
          <w:rFonts w:cs="Arial"/>
        </w:rPr>
      </w:pPr>
      <w:r>
        <w:rPr>
          <w:rFonts w:cs="Arial"/>
        </w:rPr>
        <w:t xml:space="preserve">P. 44 </w:t>
      </w:r>
      <w:r>
        <w:rPr>
          <w:rFonts w:cs="Arial" w:hint="cs"/>
          <w:rtl/>
        </w:rPr>
        <w:t>הכבוי בשבת מלאכה</w:t>
      </w:r>
    </w:p>
    <w:p w:rsidR="00850ABC" w:rsidRDefault="00850ABC" w:rsidP="00850ABC">
      <w:pPr>
        <w:rPr>
          <w:rFonts w:cs="Arial"/>
        </w:rPr>
      </w:pPr>
      <w:r>
        <w:rPr>
          <w:rFonts w:cs="Arial"/>
        </w:rPr>
        <w:t xml:space="preserve">P. 52 </w:t>
      </w:r>
      <w:r>
        <w:rPr>
          <w:rFonts w:cs="Arial" w:hint="cs"/>
          <w:rtl/>
        </w:rPr>
        <w:t>בספרי הקראים ימצא</w:t>
      </w:r>
    </w:p>
    <w:p w:rsidR="00850ABC" w:rsidRDefault="00850ABC" w:rsidP="00850ABC">
      <w:pPr>
        <w:rPr>
          <w:rFonts w:cs="Arial" w:hint="cs"/>
          <w:rtl/>
        </w:rPr>
      </w:pPr>
      <w:r>
        <w:rPr>
          <w:rFonts w:cs="Arial"/>
        </w:rPr>
        <w:t xml:space="preserve">P. 56 </w:t>
      </w:r>
      <w:r>
        <w:rPr>
          <w:rFonts w:cs="Arial"/>
          <w:rtl/>
        </w:rPr>
        <w:t xml:space="preserve">החקים האלה </w:t>
      </w:r>
      <w:r>
        <w:rPr>
          <w:rFonts w:cs="Arial" w:hint="cs"/>
          <w:rtl/>
        </w:rPr>
        <w:t>(</w:t>
      </w:r>
      <w:r w:rsidRPr="00850ABC">
        <w:rPr>
          <w:rFonts w:cs="Arial"/>
          <w:rtl/>
        </w:rPr>
        <w:t>דברים טז</w:t>
      </w:r>
      <w:proofErr w:type="gramStart"/>
      <w:r w:rsidRPr="00850ABC">
        <w:rPr>
          <w:rFonts w:cs="Arial"/>
          <w:rtl/>
        </w:rPr>
        <w:t>:יב</w:t>
      </w:r>
      <w:proofErr w:type="gramEnd"/>
      <w:r>
        <w:rPr>
          <w:rFonts w:cs="Arial" w:hint="cs"/>
          <w:rtl/>
        </w:rPr>
        <w:t>)</w:t>
      </w:r>
    </w:p>
    <w:p w:rsidR="00850ABC" w:rsidRDefault="00850ABC" w:rsidP="00850ABC">
      <w:pPr>
        <w:rPr>
          <w:rFonts w:cs="Arial"/>
        </w:rPr>
      </w:pPr>
      <w:r>
        <w:rPr>
          <w:rFonts w:cs="Arial"/>
        </w:rPr>
        <w:t xml:space="preserve">P. 58 </w:t>
      </w:r>
      <w:r>
        <w:rPr>
          <w:rFonts w:cs="Arial" w:hint="cs"/>
          <w:rtl/>
        </w:rPr>
        <w:t>מתרים בפסח</w:t>
      </w:r>
    </w:p>
    <w:p w:rsidR="00850ABC" w:rsidRDefault="00850ABC" w:rsidP="00850ABC">
      <w:pPr>
        <w:rPr>
          <w:rFonts w:cs="Arial"/>
        </w:rPr>
      </w:pPr>
      <w:r>
        <w:rPr>
          <w:rFonts w:cs="Arial"/>
        </w:rPr>
        <w:t xml:space="preserve">P. 76 </w:t>
      </w:r>
      <w:r w:rsidRPr="00850ABC">
        <w:rPr>
          <w:rFonts w:cs="Arial"/>
          <w:rtl/>
        </w:rPr>
        <w:t>ועניני התפלות ידוע בסדור</w:t>
      </w:r>
    </w:p>
    <w:p w:rsidR="00850ABC" w:rsidRDefault="00850ABC" w:rsidP="00850ABC">
      <w:pPr>
        <w:rPr>
          <w:rFonts w:cs="Arial"/>
        </w:rPr>
      </w:pPr>
      <w:r>
        <w:rPr>
          <w:rFonts w:cs="Arial"/>
        </w:rPr>
        <w:t xml:space="preserve">P. 90 </w:t>
      </w:r>
      <w:r w:rsidRPr="00850ABC">
        <w:rPr>
          <w:rFonts w:cs="Arial"/>
          <w:rtl/>
        </w:rPr>
        <w:t>מרובות מהפרשיות וע״כ נהגו זה המנהג</w:t>
      </w:r>
    </w:p>
    <w:p w:rsidR="00850ABC" w:rsidRDefault="00F20DED" w:rsidP="00850ABC">
      <w:r>
        <w:t xml:space="preserve">P. 98 </w:t>
      </w:r>
      <w:r>
        <w:rPr>
          <w:rFonts w:hint="cs"/>
          <w:rtl/>
        </w:rPr>
        <w:t>ונשלמה פרים שפתינו</w:t>
      </w:r>
    </w:p>
    <w:p w:rsidR="00F20DED" w:rsidRDefault="00F20DED" w:rsidP="00850ABC">
      <w:r>
        <w:t xml:space="preserve">P. 98 </w:t>
      </w:r>
      <w:r>
        <w:rPr>
          <w:rFonts w:hint="cs"/>
          <w:rtl/>
        </w:rPr>
        <w:t>דבקותו לש"ית</w:t>
      </w:r>
    </w:p>
    <w:p w:rsidR="00F20DED" w:rsidRDefault="00F20DED" w:rsidP="00850ABC">
      <w:r w:rsidRPr="00F20DED">
        <w:t>P. 102: before each of the principles of faith in chapter 16</w:t>
      </w:r>
    </w:p>
    <w:p w:rsidR="00F20DED" w:rsidRDefault="004C4CF3" w:rsidP="00850ABC">
      <w:pPr>
        <w:rPr>
          <w:rFonts w:cs="Arial"/>
        </w:rPr>
      </w:pPr>
      <w:r>
        <w:t xml:space="preserve">P. 116 </w:t>
      </w:r>
      <w:r w:rsidRPr="004C4CF3">
        <w:rPr>
          <w:rFonts w:cs="Arial"/>
          <w:rtl/>
        </w:rPr>
        <w:t>פתיל תכלת ולא הודו להם חכמינו</w:t>
      </w:r>
    </w:p>
    <w:p w:rsidR="004C4CF3" w:rsidRDefault="004C4CF3" w:rsidP="00850ABC">
      <w:pPr>
        <w:rPr>
          <w:rFonts w:cs="Arial"/>
        </w:rPr>
      </w:pPr>
      <w:r>
        <w:rPr>
          <w:rFonts w:cs="Arial"/>
        </w:rPr>
        <w:t xml:space="preserve">P. 118 </w:t>
      </w:r>
      <w:r w:rsidRPr="004C4CF3">
        <w:rPr>
          <w:rFonts w:cs="Arial"/>
          <w:rtl/>
        </w:rPr>
        <w:t>יישר ארחותיך</w:t>
      </w:r>
    </w:p>
    <w:p w:rsidR="004C4CF3" w:rsidRDefault="004C4CF3" w:rsidP="00850ABC">
      <w:pPr>
        <w:rPr>
          <w:rFonts w:cs="Arial"/>
        </w:rPr>
      </w:pPr>
      <w:r>
        <w:rPr>
          <w:rFonts w:cs="Arial"/>
        </w:rPr>
        <w:t xml:space="preserve">P. 120 </w:t>
      </w:r>
      <w:r w:rsidRPr="004C4CF3">
        <w:rPr>
          <w:rFonts w:cs="Arial"/>
          <w:rtl/>
        </w:rPr>
        <w:t>וטומאת יום לבד</w:t>
      </w:r>
    </w:p>
    <w:p w:rsidR="004C4CF3" w:rsidRDefault="004C4CF3" w:rsidP="00850ABC">
      <w:pPr>
        <w:rPr>
          <w:rFonts w:cs="Arial"/>
        </w:rPr>
      </w:pPr>
      <w:r>
        <w:rPr>
          <w:rFonts w:cs="Arial"/>
        </w:rPr>
        <w:t xml:space="preserve">P. 124 </w:t>
      </w:r>
      <w:r w:rsidRPr="004C4CF3">
        <w:rPr>
          <w:rFonts w:cs="Arial"/>
          <w:rtl/>
        </w:rPr>
        <w:t>כפל שמונים יום</w:t>
      </w:r>
    </w:p>
    <w:p w:rsidR="004C4CF3" w:rsidRDefault="004C4CF3" w:rsidP="00850ABC">
      <w:pPr>
        <w:rPr>
          <w:rFonts w:cs="Arial"/>
        </w:rPr>
      </w:pPr>
      <w:r>
        <w:rPr>
          <w:rFonts w:cs="Arial"/>
        </w:rPr>
        <w:lastRenderedPageBreak/>
        <w:t xml:space="preserve">P. 126 </w:t>
      </w:r>
      <w:r w:rsidRPr="004C4CF3">
        <w:rPr>
          <w:rFonts w:cs="Arial"/>
          <w:rtl/>
        </w:rPr>
        <w:t>ממאמר במים יובא</w:t>
      </w:r>
    </w:p>
    <w:p w:rsidR="004C4CF3" w:rsidRDefault="004C4CF3" w:rsidP="00850ABC">
      <w:pPr>
        <w:rPr>
          <w:rFonts w:cs="Arial"/>
        </w:rPr>
      </w:pPr>
      <w:r>
        <w:rPr>
          <w:rFonts w:cs="Arial"/>
        </w:rPr>
        <w:t xml:space="preserve">P. 132 </w:t>
      </w:r>
      <w:r w:rsidRPr="004C4CF3">
        <w:rPr>
          <w:rFonts w:cs="Arial"/>
          <w:rtl/>
        </w:rPr>
        <w:t>הדם אשר בכל הגוף</w:t>
      </w:r>
    </w:p>
    <w:p w:rsidR="004C4CF3" w:rsidRDefault="004C4CF3" w:rsidP="00850ABC">
      <w:pPr>
        <w:rPr>
          <w:rFonts w:cs="Arial"/>
        </w:rPr>
      </w:pPr>
      <w:r>
        <w:rPr>
          <w:rFonts w:cs="Arial"/>
        </w:rPr>
        <w:t xml:space="preserve">P. 136 </w:t>
      </w:r>
      <w:r w:rsidRPr="004C4CF3">
        <w:rPr>
          <w:rFonts w:cs="Arial"/>
          <w:rtl/>
        </w:rPr>
        <w:t>ובספרי השחיטות של חכמינו</w:t>
      </w:r>
    </w:p>
    <w:p w:rsidR="004C4CF3" w:rsidRDefault="004C4CF3" w:rsidP="00850ABC">
      <w:pPr>
        <w:rPr>
          <w:rFonts w:cs="Arial"/>
        </w:rPr>
      </w:pPr>
      <w:r>
        <w:rPr>
          <w:rFonts w:cs="Arial"/>
        </w:rPr>
        <w:t xml:space="preserve">P. 140 </w:t>
      </w:r>
      <w:r w:rsidRPr="004C4CF3">
        <w:rPr>
          <w:rFonts w:cs="Arial"/>
          <w:rtl/>
        </w:rPr>
        <w:t>והם סנפיר וקשקשת</w:t>
      </w:r>
    </w:p>
    <w:p w:rsidR="004C4CF3" w:rsidRDefault="004C4CF3" w:rsidP="00850ABC">
      <w:pPr>
        <w:rPr>
          <w:rFonts w:cs="Arial"/>
        </w:rPr>
      </w:pPr>
      <w:r>
        <w:rPr>
          <w:rFonts w:cs="Arial"/>
        </w:rPr>
        <w:t xml:space="preserve">P. 142 </w:t>
      </w:r>
      <w:r w:rsidRPr="004C4CF3">
        <w:rPr>
          <w:rFonts w:cs="Arial"/>
          <w:rtl/>
        </w:rPr>
        <w:t>הקצף והלכלוך</w:t>
      </w:r>
    </w:p>
    <w:p w:rsidR="004C4CF3" w:rsidRDefault="004C4CF3" w:rsidP="00850ABC">
      <w:pPr>
        <w:rPr>
          <w:rFonts w:cs="Arial"/>
        </w:rPr>
      </w:pPr>
      <w:r>
        <w:rPr>
          <w:rFonts w:cs="Arial"/>
        </w:rPr>
        <w:t xml:space="preserve">P. 144 </w:t>
      </w:r>
      <w:r w:rsidRPr="004C4CF3">
        <w:rPr>
          <w:rFonts w:cs="Arial"/>
          <w:rtl/>
        </w:rPr>
        <w:t>מקילים כאשר נתבאר למעלה</w:t>
      </w:r>
    </w:p>
    <w:p w:rsidR="004C4CF3" w:rsidRDefault="004C4CF3" w:rsidP="004C4CF3">
      <w:r>
        <w:t>P. 156: before each of the six types of forbidden sexual relationships</w:t>
      </w:r>
      <w:r>
        <w:t xml:space="preserve"> </w:t>
      </w:r>
      <w:r>
        <w:t>listed in chapter 22</w:t>
      </w:r>
    </w:p>
    <w:p w:rsidR="008B4EAE" w:rsidRDefault="004C4CF3" w:rsidP="008B4EAE">
      <w:pPr>
        <w:rPr>
          <w:rFonts w:cs="Arial"/>
        </w:rPr>
      </w:pPr>
      <w:r>
        <w:t xml:space="preserve">P. 164 </w:t>
      </w:r>
      <w:r w:rsidRPr="004C4CF3">
        <w:rPr>
          <w:rFonts w:cs="Arial"/>
          <w:rtl/>
        </w:rPr>
        <w:t>תעבור הבכורה</w:t>
      </w:r>
    </w:p>
    <w:p w:rsidR="008B4EAE" w:rsidRDefault="008B4EAE" w:rsidP="004C4CF3">
      <w:pPr>
        <w:rPr>
          <w:rFonts w:cs="Arial"/>
        </w:rPr>
      </w:pPr>
      <w:r>
        <w:rPr>
          <w:rFonts w:cs="Arial"/>
        </w:rPr>
        <w:t xml:space="preserve">P. 164 </w:t>
      </w:r>
      <w:r w:rsidRPr="008B4EAE">
        <w:rPr>
          <w:rFonts w:cs="Arial"/>
          <w:rtl/>
        </w:rPr>
        <w:t>ומוהרה המאוחר מנכסיו</w:t>
      </w:r>
    </w:p>
    <w:p w:rsidR="008B4EAE" w:rsidRDefault="008B4EAE" w:rsidP="004C4CF3">
      <w:pPr>
        <w:rPr>
          <w:rFonts w:cs="Arial"/>
        </w:rPr>
      </w:pPr>
    </w:p>
    <w:p w:rsidR="008B4EAE" w:rsidRDefault="008B4EAE" w:rsidP="008B4EAE">
      <w:pPr>
        <w:pStyle w:val="ListParagraph"/>
        <w:numPr>
          <w:ilvl w:val="0"/>
          <w:numId w:val="2"/>
        </w:numPr>
      </w:pPr>
      <w:r w:rsidRPr="008B4EAE">
        <w:t>Correction of Clear Typographical Errors:</w:t>
      </w:r>
    </w:p>
    <w:p w:rsidR="008B4EAE" w:rsidRDefault="008B4EAE" w:rsidP="008B4EAE">
      <w:pPr>
        <w:rPr>
          <w:rFonts w:cs="Arial"/>
        </w:rPr>
      </w:pPr>
      <w:r>
        <w:t xml:space="preserve">P. 2 </w:t>
      </w:r>
      <w:r w:rsidRPr="008B4EAE">
        <w:rPr>
          <w:rFonts w:cs="Arial"/>
          <w:rtl/>
        </w:rPr>
        <w:t>המתששלת</w:t>
      </w:r>
      <w:r>
        <w:rPr>
          <w:rFonts w:cs="Arial"/>
        </w:rPr>
        <w:t xml:space="preserve">, which we have fixed to </w:t>
      </w:r>
      <w:r w:rsidRPr="008B4EAE">
        <w:rPr>
          <w:rFonts w:cs="Arial"/>
          <w:rtl/>
        </w:rPr>
        <w:t>המשתלשלת</w:t>
      </w:r>
    </w:p>
    <w:p w:rsidR="008B4EAE" w:rsidRDefault="008B4EAE" w:rsidP="008B4EAE">
      <w:pPr>
        <w:rPr>
          <w:rFonts w:ascii="Brill-Roman" w:hAnsi="Brill-Roman" w:cs="Brill-Roman"/>
          <w:sz w:val="24"/>
          <w:szCs w:val="24"/>
        </w:rPr>
      </w:pPr>
      <w:r>
        <w:rPr>
          <w:rFonts w:cs="Arial"/>
        </w:rPr>
        <w:t xml:space="preserve">P. 10 </w:t>
      </w:r>
      <w:r w:rsidRPr="008B4EAE">
        <w:rPr>
          <w:rFonts w:cs="Arial"/>
          <w:rtl/>
        </w:rPr>
        <w:t>והחלקין</w:t>
      </w:r>
      <w:r>
        <w:rPr>
          <w:rFonts w:cs="Arial"/>
        </w:rPr>
        <w:t xml:space="preserve">, which we have fixed to </w:t>
      </w:r>
      <w:r w:rsidRPr="008B4EAE">
        <w:rPr>
          <w:rFonts w:cs="Arial"/>
          <w:rtl/>
        </w:rPr>
        <w:t>והחלוקין</w:t>
      </w:r>
      <w:r>
        <w:rPr>
          <w:rFonts w:cs="Arial"/>
        </w:rPr>
        <w:t xml:space="preserve">, as it appears </w:t>
      </w:r>
      <w:r>
        <w:rPr>
          <w:rFonts w:ascii="Brill-Roman" w:hAnsi="Brill-Roman" w:cs="Brill-Roman"/>
          <w:sz w:val="24"/>
          <w:szCs w:val="24"/>
        </w:rPr>
        <w:t>correctly in the title at the head of that chapter</w:t>
      </w:r>
    </w:p>
    <w:p w:rsidR="008B4EAE" w:rsidRDefault="008B4EAE" w:rsidP="008B4EAE">
      <w:pPr>
        <w:rPr>
          <w:rFonts w:cs="Times New Roman"/>
          <w:sz w:val="24"/>
          <w:szCs w:val="24"/>
        </w:rPr>
      </w:pPr>
      <w:r>
        <w:rPr>
          <w:rFonts w:ascii="Brill-Roman" w:hAnsi="Brill-Roman" w:cs="Brill-Roman"/>
          <w:sz w:val="24"/>
          <w:szCs w:val="24"/>
        </w:rPr>
        <w:t xml:space="preserve">P. 24 </w:t>
      </w:r>
      <w:r w:rsidRPr="008B4EAE">
        <w:rPr>
          <w:rFonts w:ascii="Brill-Roman" w:hAnsi="Brill-Roman" w:cs="Times New Roman"/>
          <w:sz w:val="24"/>
          <w:szCs w:val="24"/>
          <w:rtl/>
        </w:rPr>
        <w:t>כמוכן</w:t>
      </w:r>
      <w:r>
        <w:rPr>
          <w:rFonts w:ascii="Brill-Roman" w:hAnsi="Brill-Roman" w:cs="Times New Roman"/>
          <w:sz w:val="24"/>
          <w:szCs w:val="24"/>
        </w:rPr>
        <w:t xml:space="preserve"> in a single word, which we have fixed to </w:t>
      </w:r>
      <w:r>
        <w:rPr>
          <w:rFonts w:ascii="Brill-Roman" w:hAnsi="Brill-Roman" w:cs="Times New Roman" w:hint="cs"/>
          <w:sz w:val="24"/>
          <w:szCs w:val="24"/>
          <w:rtl/>
        </w:rPr>
        <w:t>כמו כן</w:t>
      </w:r>
    </w:p>
    <w:p w:rsidR="008B4EAE" w:rsidRDefault="008B4EAE" w:rsidP="008B4EA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P. 30 </w:t>
      </w:r>
      <w:r w:rsidRPr="008B4EAE">
        <w:rPr>
          <w:rFonts w:cs="Times New Roman"/>
          <w:sz w:val="24"/>
          <w:szCs w:val="24"/>
          <w:rtl/>
        </w:rPr>
        <w:t>סבב הירושה</w:t>
      </w:r>
      <w:r>
        <w:rPr>
          <w:rFonts w:cs="Times New Roman"/>
          <w:sz w:val="24"/>
          <w:szCs w:val="24"/>
        </w:rPr>
        <w:t xml:space="preserve">, which we have fixed to </w:t>
      </w:r>
      <w:r>
        <w:rPr>
          <w:rFonts w:cs="Times New Roman" w:hint="cs"/>
          <w:sz w:val="24"/>
          <w:szCs w:val="24"/>
          <w:rtl/>
        </w:rPr>
        <w:t>סבל</w:t>
      </w:r>
    </w:p>
    <w:p w:rsidR="008B4EAE" w:rsidRDefault="00AB5AF3" w:rsidP="008B4EA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P. 50 </w:t>
      </w:r>
      <w:r w:rsidRPr="00AB5AF3">
        <w:rPr>
          <w:rFonts w:cs="Times New Roman"/>
          <w:sz w:val="24"/>
          <w:szCs w:val="24"/>
          <w:rtl/>
        </w:rPr>
        <w:t>האצטגניניס</w:t>
      </w:r>
      <w:r>
        <w:rPr>
          <w:rFonts w:cs="Times New Roman"/>
          <w:sz w:val="24"/>
          <w:szCs w:val="24"/>
        </w:rPr>
        <w:t xml:space="preserve">, which we have fixed to </w:t>
      </w:r>
      <w:r w:rsidRPr="00AB5AF3">
        <w:rPr>
          <w:rFonts w:cs="Times New Roman"/>
          <w:sz w:val="24"/>
          <w:szCs w:val="24"/>
          <w:rtl/>
        </w:rPr>
        <w:t>האצטגנינים</w:t>
      </w:r>
    </w:p>
    <w:p w:rsidR="00F20DED" w:rsidRDefault="00CD4CAF" w:rsidP="00CD4CAF">
      <w:pPr>
        <w:rPr>
          <w:rFonts w:cs="Arial"/>
        </w:rPr>
      </w:pPr>
      <w:r>
        <w:t xml:space="preserve">P. 52 </w:t>
      </w:r>
      <w:r w:rsidRPr="00CD4CAF">
        <w:rPr>
          <w:rFonts w:cs="Arial"/>
          <w:rtl/>
        </w:rPr>
        <w:t>קצת הראייה</w:t>
      </w:r>
      <w:r>
        <w:rPr>
          <w:rFonts w:cs="Arial"/>
        </w:rPr>
        <w:t xml:space="preserve">, which we have fixed to </w:t>
      </w:r>
      <w:r w:rsidRPr="00CD4CAF">
        <w:rPr>
          <w:rFonts w:cs="Arial"/>
          <w:rtl/>
        </w:rPr>
        <w:t>קשת הראייה</w:t>
      </w:r>
      <w:r>
        <w:rPr>
          <w:rFonts w:cs="Arial"/>
        </w:rPr>
        <w:t xml:space="preserve"> (see our explanation in footnote 24)</w:t>
      </w:r>
    </w:p>
    <w:p w:rsidR="00CD4CAF" w:rsidRDefault="00CD4CAF" w:rsidP="00CD4CAF">
      <w:pPr>
        <w:rPr>
          <w:rFonts w:cs="Arial"/>
        </w:rPr>
      </w:pPr>
      <w:r>
        <w:rPr>
          <w:rFonts w:cs="Arial"/>
        </w:rPr>
        <w:t xml:space="preserve">P. 74 </w:t>
      </w:r>
      <w:r>
        <w:rPr>
          <w:rFonts w:cs="Arial" w:hint="cs"/>
          <w:rtl/>
        </w:rPr>
        <w:t>ישרל</w:t>
      </w:r>
      <w:r>
        <w:rPr>
          <w:rFonts w:cs="Arial"/>
        </w:rPr>
        <w:t xml:space="preserve">, which we have fixed to </w:t>
      </w:r>
      <w:r>
        <w:rPr>
          <w:rFonts w:cs="Arial" w:hint="cs"/>
          <w:rtl/>
        </w:rPr>
        <w:t>ישראל</w:t>
      </w:r>
    </w:p>
    <w:p w:rsidR="00CD4CAF" w:rsidRDefault="00CD4CAF" w:rsidP="008108B0">
      <w:pPr>
        <w:rPr>
          <w:rFonts w:cs="Arial"/>
        </w:rPr>
      </w:pPr>
      <w:r>
        <w:rPr>
          <w:rFonts w:cs="Arial"/>
        </w:rPr>
        <w:t xml:space="preserve">P. 74 </w:t>
      </w:r>
      <w:r>
        <w:rPr>
          <w:rFonts w:cs="Arial" w:hint="cs"/>
          <w:rtl/>
        </w:rPr>
        <w:t>כ"ט</w:t>
      </w:r>
      <w:r>
        <w:rPr>
          <w:rFonts w:cs="Arial"/>
        </w:rPr>
        <w:t xml:space="preserve">, which we have fixed to </w:t>
      </w:r>
      <w:r>
        <w:rPr>
          <w:rFonts w:cs="Arial" w:hint="cs"/>
          <w:rtl/>
        </w:rPr>
        <w:t>בט'</w:t>
      </w:r>
      <w:r>
        <w:rPr>
          <w:rFonts w:cs="Arial"/>
        </w:rPr>
        <w:t xml:space="preserve"> (</w:t>
      </w:r>
      <w:r w:rsidRPr="00CD4CAF">
        <w:rPr>
          <w:rFonts w:cs="Arial"/>
        </w:rPr>
        <w:t>for 9 Tammuz is the date</w:t>
      </w:r>
      <w:r>
        <w:rPr>
          <w:rFonts w:cs="Arial"/>
        </w:rPr>
        <w:t xml:space="preserve"> </w:t>
      </w:r>
      <w:r w:rsidRPr="00CD4CAF">
        <w:rPr>
          <w:rFonts w:cs="Arial"/>
        </w:rPr>
        <w:t>given by Scripture (Jeremiah 39:2) for the breaching of</w:t>
      </w:r>
      <w:r w:rsidR="008108B0" w:rsidRPr="008108B0">
        <w:t xml:space="preserve"> </w:t>
      </w:r>
      <w:r w:rsidR="008108B0" w:rsidRPr="008108B0">
        <w:rPr>
          <w:rFonts w:cs="Arial"/>
        </w:rPr>
        <w:t xml:space="preserve">the city walls, and the traditional </w:t>
      </w:r>
      <w:proofErr w:type="spellStart"/>
      <w:r w:rsidR="008108B0" w:rsidRPr="008108B0">
        <w:rPr>
          <w:rFonts w:cs="Arial"/>
        </w:rPr>
        <w:t>Karaite</w:t>
      </w:r>
      <w:proofErr w:type="spellEnd"/>
      <w:r w:rsidR="008108B0" w:rsidRPr="008108B0">
        <w:rPr>
          <w:rFonts w:cs="Arial"/>
        </w:rPr>
        <w:t xml:space="preserve"> date for the Fast</w:t>
      </w:r>
      <w:r w:rsidR="008108B0">
        <w:rPr>
          <w:rFonts w:cs="Arial"/>
        </w:rPr>
        <w:t xml:space="preserve"> </w:t>
      </w:r>
      <w:r w:rsidR="008108B0" w:rsidRPr="008108B0">
        <w:rPr>
          <w:rFonts w:cs="Arial"/>
        </w:rPr>
        <w:t>of Tammuz, and, moreover, even our author says below</w:t>
      </w:r>
      <w:r w:rsidR="008108B0" w:rsidRPr="008108B0">
        <w:t xml:space="preserve"> </w:t>
      </w:r>
      <w:r w:rsidR="008108B0" w:rsidRPr="008108B0">
        <w:rPr>
          <w:rFonts w:cs="Arial"/>
        </w:rPr>
        <w:t>that the summer mourning period begins on 9 Tammuz)</w:t>
      </w:r>
    </w:p>
    <w:p w:rsidR="008108B0" w:rsidRDefault="00A56365" w:rsidP="008108B0">
      <w:pPr>
        <w:rPr>
          <w:rFonts w:cs="Arial"/>
        </w:rPr>
      </w:pPr>
      <w:r>
        <w:rPr>
          <w:rFonts w:cs="Arial"/>
        </w:rPr>
        <w:t xml:space="preserve">P. 84 </w:t>
      </w:r>
      <w:r>
        <w:rPr>
          <w:rFonts w:cs="Arial" w:hint="cs"/>
          <w:rtl/>
        </w:rPr>
        <w:t>התנאים</w:t>
      </w:r>
      <w:r>
        <w:rPr>
          <w:rFonts w:cs="Arial"/>
        </w:rPr>
        <w:t xml:space="preserve">, which we have fixed to </w:t>
      </w:r>
      <w:r w:rsidRPr="00A56365">
        <w:rPr>
          <w:rFonts w:cs="Arial"/>
          <w:rtl/>
        </w:rPr>
        <w:t>התאנים</w:t>
      </w:r>
    </w:p>
    <w:p w:rsidR="00A56365" w:rsidRDefault="00A56365" w:rsidP="008108B0">
      <w:pPr>
        <w:rPr>
          <w:rFonts w:cs="Arial"/>
        </w:rPr>
      </w:pPr>
      <w:r>
        <w:rPr>
          <w:rFonts w:cs="Arial"/>
        </w:rPr>
        <w:t xml:space="preserve">P. 122 </w:t>
      </w:r>
      <w:r w:rsidRPr="00A56365">
        <w:rPr>
          <w:rFonts w:cs="Arial"/>
          <w:rtl/>
        </w:rPr>
        <w:t>וצריכה</w:t>
      </w:r>
      <w:r>
        <w:rPr>
          <w:rFonts w:cs="Arial"/>
        </w:rPr>
        <w:t xml:space="preserve">, which we have fixed to </w:t>
      </w:r>
      <w:r w:rsidRPr="00A56365">
        <w:rPr>
          <w:rFonts w:cs="Arial"/>
          <w:rtl/>
        </w:rPr>
        <w:t>צריכה</w:t>
      </w:r>
    </w:p>
    <w:p w:rsidR="0029660C" w:rsidRDefault="00A56365" w:rsidP="008108B0">
      <w:pPr>
        <w:rPr>
          <w:rFonts w:cs="Arial"/>
        </w:rPr>
      </w:pPr>
      <w:r>
        <w:rPr>
          <w:rFonts w:cs="Arial"/>
        </w:rPr>
        <w:t>P. 124</w:t>
      </w:r>
      <w:r w:rsidR="0029660C">
        <w:rPr>
          <w:rFonts w:cs="Arial"/>
        </w:rPr>
        <w:t xml:space="preserve"> </w:t>
      </w:r>
      <w:r w:rsidR="0029660C" w:rsidRPr="0029660C">
        <w:rPr>
          <w:rFonts w:cs="Arial"/>
          <w:rtl/>
        </w:rPr>
        <w:t>החפירות</w:t>
      </w:r>
      <w:r w:rsidR="0029660C">
        <w:rPr>
          <w:rFonts w:cs="Arial"/>
        </w:rPr>
        <w:t xml:space="preserve">, which we have fixed to </w:t>
      </w:r>
      <w:r w:rsidR="0029660C" w:rsidRPr="0029660C">
        <w:rPr>
          <w:rFonts w:cs="Arial"/>
          <w:rtl/>
        </w:rPr>
        <w:t>החפורות</w:t>
      </w:r>
    </w:p>
    <w:p w:rsidR="00A56365" w:rsidRDefault="0029660C" w:rsidP="008108B0">
      <w:pPr>
        <w:rPr>
          <w:rFonts w:cs="Arial"/>
        </w:rPr>
      </w:pPr>
      <w:r>
        <w:rPr>
          <w:rFonts w:cs="Arial"/>
        </w:rPr>
        <w:t>P. 130</w:t>
      </w:r>
      <w:r w:rsidR="00A56365">
        <w:rPr>
          <w:rFonts w:cs="Arial"/>
        </w:rPr>
        <w:t xml:space="preserve"> </w:t>
      </w:r>
      <w:r w:rsidR="00A56365" w:rsidRPr="00A56365">
        <w:rPr>
          <w:rFonts w:cs="Arial"/>
          <w:rtl/>
        </w:rPr>
        <w:t xml:space="preserve">יוהוא ענין </w:t>
      </w:r>
      <w:proofErr w:type="gramStart"/>
      <w:r w:rsidR="00A56365" w:rsidRPr="00A56365">
        <w:rPr>
          <w:rFonts w:cs="Arial"/>
          <w:rtl/>
        </w:rPr>
        <w:t>השחיטה</w:t>
      </w:r>
      <w:r w:rsidR="00A56365">
        <w:rPr>
          <w:rFonts w:cs="Arial"/>
        </w:rPr>
        <w:t>,</w:t>
      </w:r>
      <w:proofErr w:type="gramEnd"/>
      <w:r w:rsidR="00A56365">
        <w:rPr>
          <w:rFonts w:cs="Arial"/>
        </w:rPr>
        <w:t xml:space="preserve"> and we have fixed the first word to </w:t>
      </w:r>
      <w:r w:rsidR="00A56365">
        <w:rPr>
          <w:rFonts w:cs="Arial" w:hint="cs"/>
          <w:rtl/>
        </w:rPr>
        <w:t>והוא</w:t>
      </w:r>
    </w:p>
    <w:p w:rsidR="0029660C" w:rsidRDefault="0029660C" w:rsidP="0029660C">
      <w:pPr>
        <w:rPr>
          <w:rFonts w:cs="Arial"/>
        </w:rPr>
      </w:pPr>
      <w:r>
        <w:rPr>
          <w:rFonts w:cs="Arial"/>
        </w:rPr>
        <w:lastRenderedPageBreak/>
        <w:t xml:space="preserve">P. 148 </w:t>
      </w:r>
      <w:r w:rsidRPr="0029660C">
        <w:rPr>
          <w:rFonts w:cs="Arial"/>
          <w:rtl/>
        </w:rPr>
        <w:t>שיר המעלות של קנ״ו</w:t>
      </w:r>
      <w:r>
        <w:rPr>
          <w:rFonts w:cs="Arial"/>
        </w:rPr>
        <w:t xml:space="preserve">, which we have fixed to </w:t>
      </w:r>
      <w:r>
        <w:rPr>
          <w:rFonts w:cs="Arial" w:hint="cs"/>
          <w:rtl/>
        </w:rPr>
        <w:t>קכ"ו</w:t>
      </w:r>
      <w:r>
        <w:rPr>
          <w:rFonts w:cs="Arial"/>
        </w:rPr>
        <w:t xml:space="preserve"> (for </w:t>
      </w:r>
      <w:r w:rsidRPr="0029660C">
        <w:rPr>
          <w:rFonts w:cs="Arial"/>
        </w:rPr>
        <w:t>our Bible contains only 150 Psalms</w:t>
      </w:r>
      <w:r>
        <w:rPr>
          <w:rFonts w:cs="Arial"/>
        </w:rPr>
        <w:t xml:space="preserve">; </w:t>
      </w:r>
      <w:r w:rsidRPr="0029660C">
        <w:rPr>
          <w:rFonts w:cs="Arial"/>
        </w:rPr>
        <w:t>t is clear from MS</w:t>
      </w:r>
      <w:r>
        <w:rPr>
          <w:rFonts w:cs="Arial"/>
        </w:rPr>
        <w:t xml:space="preserve"> </w:t>
      </w:r>
      <w:r w:rsidRPr="0029660C">
        <w:rPr>
          <w:rFonts w:cs="Arial"/>
        </w:rPr>
        <w:t xml:space="preserve">New York JTS 3325, of the long version of </w:t>
      </w:r>
      <w:proofErr w:type="spellStart"/>
      <w:r w:rsidRPr="0029660C">
        <w:rPr>
          <w:rFonts w:cs="Arial"/>
        </w:rPr>
        <w:t>Appiryon</w:t>
      </w:r>
      <w:proofErr w:type="spellEnd"/>
      <w:r w:rsidRPr="0029660C">
        <w:rPr>
          <w:rFonts w:cs="Arial"/>
        </w:rPr>
        <w:t xml:space="preserve"> ‘</w:t>
      </w:r>
      <w:proofErr w:type="spellStart"/>
      <w:r w:rsidRPr="0029660C">
        <w:rPr>
          <w:rFonts w:cs="Arial"/>
        </w:rPr>
        <w:t>Asa</w:t>
      </w:r>
      <w:proofErr w:type="spellEnd"/>
      <w:r>
        <w:rPr>
          <w:rFonts w:cs="Arial"/>
        </w:rPr>
        <w:t xml:space="preserve"> Lo, </w:t>
      </w:r>
      <w:r w:rsidRPr="0029660C">
        <w:rPr>
          <w:rFonts w:cs="Arial"/>
        </w:rPr>
        <w:t>that the correct reading is</w:t>
      </w:r>
      <w:r>
        <w:rPr>
          <w:rFonts w:cs="Arial"/>
        </w:rPr>
        <w:t xml:space="preserve"> </w:t>
      </w:r>
      <w:r>
        <w:rPr>
          <w:rFonts w:cs="Arial" w:hint="cs"/>
          <w:rtl/>
        </w:rPr>
        <w:t>קכ"ו</w:t>
      </w:r>
      <w:r>
        <w:rPr>
          <w:rFonts w:cs="Arial"/>
        </w:rPr>
        <w:t>)</w:t>
      </w:r>
    </w:p>
    <w:p w:rsidR="0029660C" w:rsidRDefault="0029660C" w:rsidP="0029660C">
      <w:pPr>
        <w:rPr>
          <w:rFonts w:cs="Arial"/>
        </w:rPr>
      </w:pPr>
      <w:r>
        <w:rPr>
          <w:rFonts w:cs="Arial"/>
        </w:rPr>
        <w:t xml:space="preserve">P. 162 </w:t>
      </w:r>
      <w:r>
        <w:rPr>
          <w:rFonts w:cs="Arial" w:hint="cs"/>
          <w:rtl/>
        </w:rPr>
        <w:t xml:space="preserve">אין לן </w:t>
      </w:r>
      <w:proofErr w:type="gramStart"/>
      <w:r>
        <w:rPr>
          <w:rFonts w:cs="Arial" w:hint="cs"/>
          <w:rtl/>
        </w:rPr>
        <w:t>אב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and we have fixed the middle word to </w:t>
      </w:r>
      <w:r>
        <w:rPr>
          <w:rFonts w:cs="Arial" w:hint="cs"/>
          <w:rtl/>
        </w:rPr>
        <w:t>לו</w:t>
      </w:r>
    </w:p>
    <w:p w:rsidR="00A56365" w:rsidRDefault="00A56365" w:rsidP="008108B0"/>
    <w:p w:rsidR="0029660C" w:rsidRDefault="0029660C" w:rsidP="0029660C">
      <w:pPr>
        <w:pStyle w:val="ListParagraph"/>
        <w:numPr>
          <w:ilvl w:val="0"/>
          <w:numId w:val="2"/>
        </w:numPr>
      </w:pPr>
      <w:r>
        <w:t>Correcting of Biblical Quotations</w:t>
      </w:r>
    </w:p>
    <w:p w:rsidR="0029660C" w:rsidRDefault="000F7CE6" w:rsidP="000F7CE6">
      <w:r>
        <w:t xml:space="preserve">P. 32 Ed. </w:t>
      </w:r>
      <w:proofErr w:type="spellStart"/>
      <w:r>
        <w:t>Neubauer</w:t>
      </w:r>
      <w:proofErr w:type="spellEnd"/>
      <w:r>
        <w:t xml:space="preserve"> prints </w:t>
      </w:r>
      <w:r>
        <w:rPr>
          <w:rFonts w:hint="cs"/>
          <w:rtl/>
        </w:rPr>
        <w:t>בשור וחמור</w:t>
      </w:r>
      <w:r>
        <w:t xml:space="preserve">, whereas the Biblical text has </w:t>
      </w:r>
      <w:r>
        <w:rPr>
          <w:rFonts w:hint="cs"/>
          <w:rtl/>
        </w:rPr>
        <w:t>בשור ובחמר</w:t>
      </w:r>
      <w:r>
        <w:t xml:space="preserve">. </w:t>
      </w:r>
      <w:r>
        <w:t>We have fixed this quotation to fit the</w:t>
      </w:r>
      <w:r>
        <w:t xml:space="preserve"> </w:t>
      </w:r>
      <w:r>
        <w:t xml:space="preserve">Biblical text, though we have kept the version of ed. </w:t>
      </w:r>
      <w:proofErr w:type="spellStart"/>
      <w:r>
        <w:t>Neubauer</w:t>
      </w:r>
      <w:proofErr w:type="spellEnd"/>
      <w:r>
        <w:t xml:space="preserve"> </w:t>
      </w:r>
      <w:r>
        <w:t>later in the sentence, where the verse is discussed.</w:t>
      </w:r>
    </w:p>
    <w:p w:rsidR="000F7CE6" w:rsidRDefault="00812299" w:rsidP="000F7CE6">
      <w:r>
        <w:t xml:space="preserve">P. 104 Ed. </w:t>
      </w:r>
      <w:proofErr w:type="spellStart"/>
      <w:r>
        <w:t>Neubauer</w:t>
      </w:r>
      <w:proofErr w:type="spellEnd"/>
      <w:r>
        <w:t xml:space="preserve"> prints </w:t>
      </w:r>
      <w:r>
        <w:rPr>
          <w:rFonts w:hint="cs"/>
          <w:rtl/>
        </w:rPr>
        <w:t>לבני ישראל</w:t>
      </w:r>
      <w:r>
        <w:t xml:space="preserve">; we have fixed this to </w:t>
      </w:r>
      <w:r>
        <w:rPr>
          <w:rFonts w:hint="cs"/>
          <w:rtl/>
        </w:rPr>
        <w:t>לפני בני ישראל</w:t>
      </w:r>
      <w:r>
        <w:t>, in accordance with the Biblical text.</w:t>
      </w:r>
    </w:p>
    <w:sectPr w:rsidR="000F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375" w:rsidRDefault="00203375" w:rsidP="00B704E0">
      <w:pPr>
        <w:spacing w:after="0" w:line="240" w:lineRule="auto"/>
      </w:pPr>
      <w:r>
        <w:separator/>
      </w:r>
    </w:p>
  </w:endnote>
  <w:endnote w:type="continuationSeparator" w:id="0">
    <w:p w:rsidR="00203375" w:rsidRDefault="00203375" w:rsidP="00B70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ll">
    <w:altName w:val="Cambria Math"/>
    <w:panose1 w:val="00000000000000000000"/>
    <w:charset w:val="00"/>
    <w:family w:val="swiss"/>
    <w:notTrueType/>
    <w:pitch w:val="variable"/>
    <w:sig w:usb0="00000001" w:usb1="4200E4FB" w:usb2="02000000" w:usb3="00000000" w:csb0="0000019F" w:csb1="00000000"/>
  </w:font>
  <w:font w:name="LegacySerifITCStd-Book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oren Tanakh">
    <w:altName w:val="Rubik"/>
    <w:charset w:val="B1"/>
    <w:family w:val="roman"/>
    <w:pitch w:val="variable"/>
    <w:sig w:usb0="00000000" w:usb1="5000004A" w:usb2="00000020" w:usb3="00000000" w:csb0="00000021" w:csb1="00000000"/>
  </w:font>
  <w:font w:name="Cronos Pro Light Caption">
    <w:altName w:val="Lucida Sans Unicode"/>
    <w:panose1 w:val="00000000000000000000"/>
    <w:charset w:val="4D"/>
    <w:family w:val="swiss"/>
    <w:notTrueType/>
    <w:pitch w:val="variable"/>
    <w:sig w:usb0="00000001" w:usb1="00000001" w:usb2="00000000" w:usb3="00000000" w:csb0="00000093" w:csb1="00000000"/>
  </w:font>
  <w:font w:name="FbShefa Pro">
    <w:altName w:val="Times New Roman"/>
    <w:charset w:val="B1"/>
    <w:family w:val="roman"/>
    <w:pitch w:val="variable"/>
    <w:sig w:usb0="00000000" w:usb1="50000000" w:usb2="00000000" w:usb3="00000000" w:csb0="00000021" w:csb1="00000000"/>
  </w:font>
  <w:font w:name="Brill-Roman">
    <w:altName w:val="Times New Roman"/>
    <w:panose1 w:val="00000000000000000000"/>
    <w:charset w:val="A3"/>
    <w:family w:val="roman"/>
    <w:notTrueType/>
    <w:pitch w:val="default"/>
    <w:sig w:usb0="20000001" w:usb1="00000000" w:usb2="00000000" w:usb3="00000000" w:csb0="000001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375" w:rsidRDefault="00203375" w:rsidP="00B704E0">
      <w:pPr>
        <w:spacing w:after="0" w:line="240" w:lineRule="auto"/>
      </w:pPr>
      <w:r>
        <w:separator/>
      </w:r>
    </w:p>
  </w:footnote>
  <w:footnote w:type="continuationSeparator" w:id="0">
    <w:p w:rsidR="00203375" w:rsidRDefault="00203375" w:rsidP="00B704E0">
      <w:pPr>
        <w:spacing w:after="0" w:line="240" w:lineRule="auto"/>
      </w:pPr>
      <w:r>
        <w:continuationSeparator/>
      </w:r>
    </w:p>
  </w:footnote>
  <w:footnote w:id="1">
    <w:p w:rsidR="00B704E0" w:rsidRDefault="00B704E0" w:rsidP="00B704E0">
      <w:pPr>
        <w:pStyle w:val="FootnoteText"/>
      </w:pPr>
      <w:r>
        <w:footnoteRef/>
      </w:r>
      <w:r>
        <w:t> </w:t>
      </w:r>
      <w:r>
        <w:t xml:space="preserve">The </w:t>
      </w:r>
      <w:proofErr w:type="spellStart"/>
      <w:r>
        <w:t>Karaite</w:t>
      </w:r>
      <w:proofErr w:type="spellEnd"/>
      <w:r>
        <w:t xml:space="preserve"> Press extends its gratitude to Dr. </w:t>
      </w:r>
      <w:proofErr w:type="spellStart"/>
      <w:r>
        <w:t>Riikka</w:t>
      </w:r>
      <w:proofErr w:type="spellEnd"/>
      <w:r>
        <w:t xml:space="preserve"> </w:t>
      </w:r>
      <w:proofErr w:type="spellStart"/>
      <w:r>
        <w:t>Tuori</w:t>
      </w:r>
      <w:proofErr w:type="spellEnd"/>
      <w:r>
        <w:t xml:space="preserve"> for providing extensive biographical information, from which we cult</w:t>
      </w:r>
      <w:r>
        <w:t>i</w:t>
      </w:r>
      <w:r>
        <w:t>vated this section.</w:t>
      </w:r>
    </w:p>
    <w:p w:rsidR="00B704E0" w:rsidRDefault="00B704E0" w:rsidP="00B704E0">
      <w:pPr>
        <w:pStyle w:val="FootnoteText"/>
      </w:pPr>
    </w:p>
  </w:footnote>
  <w:footnote w:id="2">
    <w:p w:rsidR="00B704E0" w:rsidRDefault="00B704E0" w:rsidP="00B704E0">
      <w:pPr>
        <w:pStyle w:val="FootnoteText"/>
      </w:pPr>
      <w:r>
        <w:footnoteRef/>
      </w:r>
      <w:r>
        <w:t> </w:t>
      </w:r>
      <w:proofErr w:type="spellStart"/>
      <w:r>
        <w:t>Riikka</w:t>
      </w:r>
      <w:proofErr w:type="spellEnd"/>
      <w:r>
        <w:t xml:space="preserve"> </w:t>
      </w:r>
      <w:proofErr w:type="spellStart"/>
      <w:r>
        <w:t>Tuori</w:t>
      </w:r>
      <w:proofErr w:type="spellEnd"/>
      <w:r>
        <w:t xml:space="preserve">, p. 62, </w:t>
      </w:r>
      <w:proofErr w:type="gramStart"/>
      <w:r>
        <w:t>note</w:t>
      </w:r>
      <w:proofErr w:type="gramEnd"/>
      <w:r>
        <w:t xml:space="preserve"> 111; the cited manuscript is St. Peter</w:t>
      </w:r>
      <w:r>
        <w:t>s</w:t>
      </w:r>
      <w:r>
        <w:t>burg, Institute of Oriental Studies of the Russian Academy Ms. A065, folio 6a.</w:t>
      </w:r>
    </w:p>
    <w:p w:rsidR="00B704E0" w:rsidRDefault="00B704E0" w:rsidP="00B704E0">
      <w:pPr>
        <w:pStyle w:val="FootnoteText"/>
      </w:pPr>
    </w:p>
  </w:footnote>
  <w:footnote w:id="3">
    <w:p w:rsidR="00B704E0" w:rsidRDefault="00B704E0" w:rsidP="00B704E0">
      <w:pPr>
        <w:pStyle w:val="FootnoteText"/>
      </w:pPr>
      <w:r>
        <w:footnoteRef/>
      </w:r>
      <w:r>
        <w:t> </w:t>
      </w:r>
      <w:proofErr w:type="gramStart"/>
      <w:r>
        <w:rPr>
          <w:rStyle w:val="ittextinft"/>
        </w:rPr>
        <w:t>Siddur Ha-</w:t>
      </w:r>
      <w:proofErr w:type="spellStart"/>
      <w:r>
        <w:rPr>
          <w:rStyle w:val="ittextinft"/>
        </w:rPr>
        <w:t>tefilloth</w:t>
      </w:r>
      <w:proofErr w:type="spellEnd"/>
      <w:r>
        <w:rPr>
          <w:rStyle w:val="ittextinft"/>
        </w:rPr>
        <w:t xml:space="preserve"> </w:t>
      </w:r>
      <w:proofErr w:type="spellStart"/>
      <w:r>
        <w:rPr>
          <w:rStyle w:val="ittextinft"/>
        </w:rPr>
        <w:t>Ke-minhag</w:t>
      </w:r>
      <w:proofErr w:type="spellEnd"/>
      <w:r>
        <w:rPr>
          <w:rStyle w:val="ittextinft"/>
        </w:rPr>
        <w:t xml:space="preserve"> Ha-</w:t>
      </w:r>
      <w:proofErr w:type="spellStart"/>
      <w:r>
        <w:rPr>
          <w:rStyle w:val="ittextinft"/>
        </w:rPr>
        <w:t>qara’im</w:t>
      </w:r>
      <w:proofErr w:type="spellEnd"/>
      <w:r>
        <w:t xml:space="preserve"> (Volumes 1–4, Vilna, 1890–1892), vol. 4, pp. 260 f.</w:t>
      </w:r>
      <w:proofErr w:type="gramEnd"/>
      <w:r>
        <w:t xml:space="preserve"> The prayer book introduces the poem with a rather somber note: “[At one time,] in the lands of Poland and Lithuania, there were more than thirty [</w:t>
      </w:r>
      <w:proofErr w:type="spellStart"/>
      <w:r>
        <w:t>Karaite</w:t>
      </w:r>
      <w:proofErr w:type="spellEnd"/>
      <w:r>
        <w:t xml:space="preserve">] communities, and their remnants [at the time of printing] are just three, and they are </w:t>
      </w:r>
      <w:proofErr w:type="spellStart"/>
      <w:r>
        <w:t>Troki</w:t>
      </w:r>
      <w:proofErr w:type="spellEnd"/>
      <w:r>
        <w:t xml:space="preserve">, </w:t>
      </w:r>
      <w:proofErr w:type="spellStart"/>
      <w:proofErr w:type="gramStart"/>
      <w:r>
        <w:t>Łutsk</w:t>
      </w:r>
      <w:proofErr w:type="spellEnd"/>
      <w:proofErr w:type="gramEnd"/>
      <w:r>
        <w:t xml:space="preserve">, and </w:t>
      </w:r>
      <w:proofErr w:type="spellStart"/>
      <w:r>
        <w:t>Ponevez</w:t>
      </w:r>
      <w:proofErr w:type="spellEnd"/>
      <w:r>
        <w:t>.” See page 260.</w:t>
      </w:r>
    </w:p>
    <w:p w:rsidR="00B704E0" w:rsidRDefault="00B704E0" w:rsidP="00B704E0">
      <w:pPr>
        <w:pStyle w:val="FootnoteText"/>
      </w:pPr>
    </w:p>
  </w:footnote>
  <w:footnote w:id="4">
    <w:p w:rsidR="00B704E0" w:rsidRDefault="00B704E0" w:rsidP="00B704E0">
      <w:pPr>
        <w:pStyle w:val="FootnoteText"/>
      </w:pPr>
      <w:r>
        <w:footnoteRef/>
      </w:r>
      <w:r>
        <w:t> </w:t>
      </w:r>
      <w:r>
        <w:t>Volume 4, p. 108.</w:t>
      </w:r>
    </w:p>
    <w:p w:rsidR="00B704E0" w:rsidRDefault="00B704E0" w:rsidP="00B704E0">
      <w:pPr>
        <w:pStyle w:val="FootnoteText"/>
      </w:pPr>
    </w:p>
  </w:footnote>
  <w:footnote w:id="5">
    <w:p w:rsidR="00B704E0" w:rsidRDefault="00B704E0" w:rsidP="00B704E0">
      <w:pPr>
        <w:pStyle w:val="FootnoteText"/>
      </w:pPr>
      <w:r>
        <w:footnoteRef/>
      </w:r>
      <w:r>
        <w:t> </w:t>
      </w:r>
      <w:r>
        <w:t xml:space="preserve">The </w:t>
      </w:r>
      <w:proofErr w:type="spellStart"/>
      <w:r>
        <w:t>Karaite</w:t>
      </w:r>
      <w:proofErr w:type="spellEnd"/>
      <w:r>
        <w:t xml:space="preserve"> Press has previously published </w:t>
      </w:r>
      <w:proofErr w:type="spellStart"/>
      <w:r>
        <w:t>Ḥakham</w:t>
      </w:r>
      <w:proofErr w:type="spellEnd"/>
      <w:r>
        <w:t xml:space="preserve"> Mordecai ben Nisan’s letter to the King of Sweden discussing the major di</w:t>
      </w:r>
      <w:r>
        <w:t>f</w:t>
      </w:r>
      <w:r>
        <w:t xml:space="preserve">ferences between </w:t>
      </w:r>
      <w:proofErr w:type="spellStart"/>
      <w:r>
        <w:t>Karaites</w:t>
      </w:r>
      <w:proofErr w:type="spellEnd"/>
      <w:r>
        <w:t xml:space="preserve"> and </w:t>
      </w:r>
      <w:proofErr w:type="spellStart"/>
      <w:r>
        <w:t>Rabbanites</w:t>
      </w:r>
      <w:proofErr w:type="spellEnd"/>
      <w:r>
        <w:t xml:space="preserve">: Mordecai ben Nisan, </w:t>
      </w:r>
      <w:r>
        <w:rPr>
          <w:rStyle w:val="ittextinft"/>
        </w:rPr>
        <w:t xml:space="preserve">Royal Attire: On </w:t>
      </w:r>
      <w:proofErr w:type="spellStart"/>
      <w:r>
        <w:rPr>
          <w:rStyle w:val="ittextinft"/>
        </w:rPr>
        <w:t>Karaite</w:t>
      </w:r>
      <w:proofErr w:type="spellEnd"/>
      <w:r>
        <w:rPr>
          <w:rStyle w:val="ittextinft"/>
        </w:rPr>
        <w:t xml:space="preserve"> and </w:t>
      </w:r>
      <w:proofErr w:type="spellStart"/>
      <w:r>
        <w:rPr>
          <w:rStyle w:val="ittextinft"/>
        </w:rPr>
        <w:t>Rabbanite</w:t>
      </w:r>
      <w:proofErr w:type="spellEnd"/>
      <w:r>
        <w:rPr>
          <w:rStyle w:val="ittextinft"/>
        </w:rPr>
        <w:t xml:space="preserve"> Beliefs</w:t>
      </w:r>
      <w:r>
        <w:t>, translated and a</w:t>
      </w:r>
      <w:r>
        <w:t>n</w:t>
      </w:r>
      <w:r>
        <w:t>notated by Gabriel Wasserman (Daly City, 2016).</w:t>
      </w:r>
    </w:p>
    <w:p w:rsidR="00B704E0" w:rsidRDefault="00B704E0" w:rsidP="00B704E0">
      <w:pPr>
        <w:pStyle w:val="FootnoteText"/>
      </w:pPr>
    </w:p>
  </w:footnote>
  <w:footnote w:id="6">
    <w:p w:rsidR="00B704E0" w:rsidRDefault="00B704E0" w:rsidP="00B704E0">
      <w:pPr>
        <w:pStyle w:val="FootnoteText"/>
      </w:pPr>
      <w:r>
        <w:footnoteRef/>
      </w:r>
      <w:r>
        <w:t> </w:t>
      </w:r>
      <w:r>
        <w:t xml:space="preserve">As indicated in </w:t>
      </w:r>
      <w:proofErr w:type="spellStart"/>
      <w:r>
        <w:t>Ḥakham</w:t>
      </w:r>
      <w:proofErr w:type="spellEnd"/>
      <w:r>
        <w:t xml:space="preserve"> Solomon ben Aaron’s work, he chose the title </w:t>
      </w:r>
      <w:proofErr w:type="spellStart"/>
      <w:r>
        <w:rPr>
          <w:rStyle w:val="ittextinft"/>
        </w:rPr>
        <w:t>Appiryon</w:t>
      </w:r>
      <w:proofErr w:type="spellEnd"/>
      <w:r>
        <w:rPr>
          <w:rStyle w:val="ittextinft"/>
        </w:rPr>
        <w:t xml:space="preserve"> ‘</w:t>
      </w:r>
      <w:proofErr w:type="spellStart"/>
      <w:r>
        <w:rPr>
          <w:rStyle w:val="ittextinft"/>
        </w:rPr>
        <w:t>Asa</w:t>
      </w:r>
      <w:proofErr w:type="spellEnd"/>
      <w:r>
        <w:rPr>
          <w:rStyle w:val="ittextinft"/>
        </w:rPr>
        <w:t xml:space="preserve"> Lo </w:t>
      </w:r>
      <w:r>
        <w:t xml:space="preserve">because those three words are equivalent in </w:t>
      </w:r>
      <w:proofErr w:type="spellStart"/>
      <w:r>
        <w:rPr>
          <w:rStyle w:val="ittextinft"/>
        </w:rPr>
        <w:t>gemaṭriyya</w:t>
      </w:r>
      <w:proofErr w:type="spellEnd"/>
      <w:r>
        <w:rPr>
          <w:rStyle w:val="ittextinft"/>
        </w:rPr>
        <w:t xml:space="preserve"> </w:t>
      </w:r>
      <w:r>
        <w:t xml:space="preserve">to </w:t>
      </w:r>
      <w:proofErr w:type="spellStart"/>
      <w:r>
        <w:rPr>
          <w:rStyle w:val="ittextinft"/>
        </w:rPr>
        <w:t>Sefer</w:t>
      </w:r>
      <w:proofErr w:type="spellEnd"/>
      <w:r>
        <w:rPr>
          <w:rStyle w:val="ittextinft"/>
        </w:rPr>
        <w:t xml:space="preserve"> </w:t>
      </w:r>
      <w:proofErr w:type="spellStart"/>
      <w:r>
        <w:rPr>
          <w:rStyle w:val="ittextinft"/>
        </w:rPr>
        <w:t>Minhagé</w:t>
      </w:r>
      <w:proofErr w:type="spellEnd"/>
      <w:r>
        <w:rPr>
          <w:rStyle w:val="ittextinft"/>
        </w:rPr>
        <w:t xml:space="preserve"> </w:t>
      </w:r>
      <w:proofErr w:type="spellStart"/>
      <w:r>
        <w:rPr>
          <w:rStyle w:val="ittextinft"/>
        </w:rPr>
        <w:t>Qara’é</w:t>
      </w:r>
      <w:proofErr w:type="spellEnd"/>
      <w:r>
        <w:rPr>
          <w:rStyle w:val="ittextinft"/>
        </w:rPr>
        <w:t xml:space="preserve"> </w:t>
      </w:r>
      <w:r>
        <w:t>(</w:t>
      </w:r>
      <w:r>
        <w:rPr>
          <w:rStyle w:val="ittextinft"/>
        </w:rPr>
        <w:t xml:space="preserve">The Book of Customs of the </w:t>
      </w:r>
      <w:proofErr w:type="spellStart"/>
      <w:r>
        <w:rPr>
          <w:rStyle w:val="ittextinft"/>
        </w:rPr>
        <w:t>Karaites</w:t>
      </w:r>
      <w:proofErr w:type="spellEnd"/>
      <w:r>
        <w:t xml:space="preserve">). The title </w:t>
      </w:r>
      <w:proofErr w:type="spellStart"/>
      <w:r>
        <w:rPr>
          <w:rStyle w:val="ittextinft"/>
        </w:rPr>
        <w:t>Appiryon</w:t>
      </w:r>
      <w:proofErr w:type="spellEnd"/>
      <w:r>
        <w:rPr>
          <w:rStyle w:val="ittextinft"/>
        </w:rPr>
        <w:t xml:space="preserve"> ‘</w:t>
      </w:r>
      <w:proofErr w:type="spellStart"/>
      <w:r>
        <w:rPr>
          <w:rStyle w:val="ittextinft"/>
        </w:rPr>
        <w:t>Asa</w:t>
      </w:r>
      <w:proofErr w:type="spellEnd"/>
      <w:r>
        <w:rPr>
          <w:rStyle w:val="ittextinft"/>
        </w:rPr>
        <w:t xml:space="preserve"> Lo</w:t>
      </w:r>
      <w:r>
        <w:t xml:space="preserve"> translates to “[he] made for himself a palanquin.” This title serves as an allusion to the name of our author, </w:t>
      </w:r>
      <w:proofErr w:type="spellStart"/>
      <w:r>
        <w:t>Shelomo</w:t>
      </w:r>
      <w:proofErr w:type="spellEnd"/>
      <w:r>
        <w:t xml:space="preserve">/Solomon, for the words of the title appear in Song of Songs 3:9: </w:t>
      </w:r>
      <w:r>
        <w:rPr>
          <w:rStyle w:val="ittextinft"/>
        </w:rPr>
        <w:t xml:space="preserve">King Solomon made </w:t>
      </w:r>
      <w:proofErr w:type="gramStart"/>
      <w:r>
        <w:rPr>
          <w:rStyle w:val="ittextinft"/>
        </w:rPr>
        <w:t>himself</w:t>
      </w:r>
      <w:proofErr w:type="gramEnd"/>
      <w:r>
        <w:rPr>
          <w:rStyle w:val="ittextinft"/>
        </w:rPr>
        <w:t xml:space="preserve"> a palanquin from the wood of the Lebanon [Forest]</w:t>
      </w:r>
      <w:r>
        <w:t>.</w:t>
      </w:r>
    </w:p>
    <w:p w:rsidR="00B704E0" w:rsidRDefault="00B704E0" w:rsidP="00B704E0">
      <w:pPr>
        <w:pStyle w:val="FootnoteText"/>
      </w:pPr>
    </w:p>
  </w:footnote>
  <w:footnote w:id="7">
    <w:p w:rsidR="00B704E0" w:rsidRDefault="00B704E0" w:rsidP="00B704E0">
      <w:pPr>
        <w:pStyle w:val="FootnoteText"/>
      </w:pPr>
      <w:r>
        <w:footnoteRef/>
      </w:r>
      <w:r>
        <w:t> </w:t>
      </w:r>
      <w:r>
        <w:t xml:space="preserve">This work has recently been published under the title </w:t>
      </w:r>
      <w:r>
        <w:rPr>
          <w:rStyle w:val="ittextinft"/>
        </w:rPr>
        <w:t>Royal A</w:t>
      </w:r>
      <w:r>
        <w:rPr>
          <w:rStyle w:val="ittextinft"/>
        </w:rPr>
        <w:t>t</w:t>
      </w:r>
      <w:r>
        <w:rPr>
          <w:rStyle w:val="ittextinft"/>
        </w:rPr>
        <w:t xml:space="preserve">tire. </w:t>
      </w:r>
      <w:r>
        <w:t xml:space="preserve">See fn. 5, </w:t>
      </w:r>
      <w:r>
        <w:rPr>
          <w:rStyle w:val="ittextinft"/>
        </w:rPr>
        <w:t>supra</w:t>
      </w:r>
      <w:r>
        <w:t xml:space="preserve"> (Daly City: The </w:t>
      </w:r>
      <w:proofErr w:type="spellStart"/>
      <w:r>
        <w:t>Karaite</w:t>
      </w:r>
      <w:proofErr w:type="spellEnd"/>
      <w:r>
        <w:t xml:space="preserve"> Press).</w:t>
      </w:r>
    </w:p>
    <w:p w:rsidR="00B704E0" w:rsidRDefault="00B704E0" w:rsidP="00B704E0">
      <w:pPr>
        <w:pStyle w:val="FootnoteText"/>
      </w:pPr>
    </w:p>
  </w:footnote>
  <w:footnote w:id="8">
    <w:p w:rsidR="00B704E0" w:rsidRDefault="00B704E0" w:rsidP="00B704E0">
      <w:pPr>
        <w:pStyle w:val="FootnoteText"/>
      </w:pPr>
      <w:r>
        <w:footnoteRef/>
      </w:r>
      <w:r>
        <w:t> </w:t>
      </w:r>
      <w:proofErr w:type="spellStart"/>
      <w:r>
        <w:t>Neubauer</w:t>
      </w:r>
      <w:proofErr w:type="spellEnd"/>
      <w:r>
        <w:t xml:space="preserve"> published this text in his German work, </w:t>
      </w:r>
      <w:proofErr w:type="spellStart"/>
      <w:r>
        <w:rPr>
          <w:rStyle w:val="ittextinft"/>
        </w:rPr>
        <w:t>Aus</w:t>
      </w:r>
      <w:proofErr w:type="spellEnd"/>
      <w:r>
        <w:rPr>
          <w:rStyle w:val="ittextinft"/>
        </w:rPr>
        <w:t xml:space="preserve"> der </w:t>
      </w:r>
      <w:proofErr w:type="spellStart"/>
      <w:r>
        <w:rPr>
          <w:rStyle w:val="ittextinft"/>
        </w:rPr>
        <w:t>P</w:t>
      </w:r>
      <w:r>
        <w:rPr>
          <w:rStyle w:val="ittextinft"/>
        </w:rPr>
        <w:t>e</w:t>
      </w:r>
      <w:r>
        <w:rPr>
          <w:rStyle w:val="ittextinft"/>
        </w:rPr>
        <w:t>tersburger</w:t>
      </w:r>
      <w:proofErr w:type="spellEnd"/>
      <w:r>
        <w:rPr>
          <w:rStyle w:val="ittextinft"/>
        </w:rPr>
        <w:t xml:space="preserve"> </w:t>
      </w:r>
      <w:proofErr w:type="spellStart"/>
      <w:r>
        <w:rPr>
          <w:rStyle w:val="ittextinft"/>
        </w:rPr>
        <w:t>Bibliothek</w:t>
      </w:r>
      <w:proofErr w:type="spellEnd"/>
      <w:r>
        <w:rPr>
          <w:rStyle w:val="ittextinft"/>
        </w:rPr>
        <w:t xml:space="preserve">: </w:t>
      </w:r>
      <w:proofErr w:type="spellStart"/>
      <w:r>
        <w:rPr>
          <w:rStyle w:val="ittextinft"/>
        </w:rPr>
        <w:t>Beiträge</w:t>
      </w:r>
      <w:proofErr w:type="spellEnd"/>
      <w:r>
        <w:rPr>
          <w:rStyle w:val="ittextinft"/>
        </w:rPr>
        <w:t xml:space="preserve"> und </w:t>
      </w:r>
      <w:proofErr w:type="spellStart"/>
      <w:r>
        <w:rPr>
          <w:rStyle w:val="ittextinft"/>
        </w:rPr>
        <w:t>Documente</w:t>
      </w:r>
      <w:proofErr w:type="spellEnd"/>
      <w:r>
        <w:rPr>
          <w:rStyle w:val="ittextinft"/>
        </w:rPr>
        <w:t xml:space="preserve"> </w:t>
      </w:r>
      <w:proofErr w:type="spellStart"/>
      <w:r>
        <w:rPr>
          <w:rStyle w:val="ittextinft"/>
        </w:rPr>
        <w:t>zur</w:t>
      </w:r>
      <w:proofErr w:type="spellEnd"/>
      <w:r>
        <w:rPr>
          <w:rStyle w:val="ittextinft"/>
        </w:rPr>
        <w:t xml:space="preserve"> Geschichte des </w:t>
      </w:r>
      <w:proofErr w:type="spellStart"/>
      <w:r>
        <w:rPr>
          <w:rStyle w:val="ittextinft"/>
        </w:rPr>
        <w:t>Karäerthums</w:t>
      </w:r>
      <w:proofErr w:type="spellEnd"/>
      <w:r>
        <w:rPr>
          <w:rStyle w:val="ittextinft"/>
        </w:rPr>
        <w:t xml:space="preserve"> und der </w:t>
      </w:r>
      <w:proofErr w:type="spellStart"/>
      <w:r>
        <w:rPr>
          <w:rStyle w:val="ittextinft"/>
        </w:rPr>
        <w:t>Karäischen</w:t>
      </w:r>
      <w:proofErr w:type="spellEnd"/>
      <w:r>
        <w:rPr>
          <w:rStyle w:val="ittextinft"/>
        </w:rPr>
        <w:t xml:space="preserve"> </w:t>
      </w:r>
      <w:proofErr w:type="spellStart"/>
      <w:r>
        <w:rPr>
          <w:rStyle w:val="ittextinft"/>
        </w:rPr>
        <w:t>Literatur</w:t>
      </w:r>
      <w:proofErr w:type="spellEnd"/>
      <w:r>
        <w:t xml:space="preserve"> (1866) [English: From the Petersburg Library: Contributions and Documents Regarding the History of </w:t>
      </w:r>
      <w:proofErr w:type="spellStart"/>
      <w:r>
        <w:t>Karaism</w:t>
      </w:r>
      <w:proofErr w:type="spellEnd"/>
      <w:r>
        <w:t xml:space="preserve"> and </w:t>
      </w:r>
      <w:proofErr w:type="spellStart"/>
      <w:r>
        <w:t>Karaite</w:t>
      </w:r>
      <w:proofErr w:type="spellEnd"/>
      <w:r>
        <w:t xml:space="preserve"> Literature (1866)].</w:t>
      </w:r>
    </w:p>
    <w:p w:rsidR="00B704E0" w:rsidRDefault="00B704E0" w:rsidP="00B704E0">
      <w:pPr>
        <w:pStyle w:val="FootnoteText"/>
      </w:pPr>
      <w:bookmarkStart w:id="0" w:name="_GoBack"/>
      <w:bookmarkEnd w:id="0"/>
    </w:p>
  </w:footnote>
  <w:footnote w:id="9">
    <w:p w:rsidR="00B704E0" w:rsidRDefault="00B704E0" w:rsidP="00B704E0">
      <w:pPr>
        <w:pStyle w:val="FootnoteText"/>
      </w:pPr>
      <w:r>
        <w:footnoteRef/>
      </w:r>
      <w:r>
        <w:t> </w:t>
      </w:r>
      <w:r>
        <w:t xml:space="preserve">As noted, there also exists a significantly longer version, in two parts, which is found in many manuscripts; in 2000, the </w:t>
      </w:r>
      <w:proofErr w:type="spellStart"/>
      <w:r>
        <w:t>Karaite</w:t>
      </w:r>
      <w:proofErr w:type="spellEnd"/>
      <w:r>
        <w:t xml:space="preserve"> R’ </w:t>
      </w:r>
      <w:proofErr w:type="spellStart"/>
      <w:r>
        <w:t>Yosef</w:t>
      </w:r>
      <w:proofErr w:type="spellEnd"/>
      <w:r>
        <w:t xml:space="preserve"> </w:t>
      </w:r>
      <w:proofErr w:type="spellStart"/>
      <w:r>
        <w:t>Elgamil</w:t>
      </w:r>
      <w:proofErr w:type="spellEnd"/>
      <w:r>
        <w:t xml:space="preserve"> published Part </w:t>
      </w:r>
      <w:r>
        <w:rPr>
          <w:rStyle w:val="SCALWAYSNone"/>
          <w:spacing w:val="6"/>
        </w:rPr>
        <w:t>I</w:t>
      </w:r>
      <w:r>
        <w:t xml:space="preserve"> of this longer version, but Part </w:t>
      </w:r>
      <w:r>
        <w:rPr>
          <w:rStyle w:val="SCALWAYSNone"/>
          <w:spacing w:val="6"/>
        </w:rPr>
        <w:t>II</w:t>
      </w:r>
      <w:r>
        <w:t xml:space="preserve"> r</w:t>
      </w:r>
      <w:r>
        <w:t>e</w:t>
      </w:r>
      <w:r>
        <w:t>mains unpublished.</w:t>
      </w:r>
    </w:p>
    <w:p w:rsidR="00B704E0" w:rsidRDefault="00B704E0" w:rsidP="00B704E0">
      <w:pPr>
        <w:pStyle w:val="FootnoteText"/>
      </w:pPr>
    </w:p>
  </w:footnote>
  <w:footnote w:id="10">
    <w:p w:rsidR="00B704E0" w:rsidRDefault="00B704E0" w:rsidP="00B704E0">
      <w:pPr>
        <w:pStyle w:val="FootnoteText"/>
      </w:pPr>
      <w:r>
        <w:footnoteRef/>
      </w:r>
      <w:r>
        <w:t> </w:t>
      </w:r>
      <w:r>
        <w:t>https://archive.org/details/ausderpetersbur01neubgoog.</w:t>
      </w:r>
    </w:p>
    <w:p w:rsidR="00B704E0" w:rsidRDefault="00B704E0" w:rsidP="00B704E0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E52B4"/>
    <w:multiLevelType w:val="hybridMultilevel"/>
    <w:tmpl w:val="03E81BB8"/>
    <w:lvl w:ilvl="0" w:tplc="59E62F1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232ADE"/>
    <w:multiLevelType w:val="hybridMultilevel"/>
    <w:tmpl w:val="52CE0414"/>
    <w:lvl w:ilvl="0" w:tplc="E07C7E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4E0"/>
    <w:rsid w:val="000F7CE6"/>
    <w:rsid w:val="00203375"/>
    <w:rsid w:val="0029660C"/>
    <w:rsid w:val="004C4CF3"/>
    <w:rsid w:val="005F2D39"/>
    <w:rsid w:val="006B3890"/>
    <w:rsid w:val="006F6578"/>
    <w:rsid w:val="008108B0"/>
    <w:rsid w:val="00812299"/>
    <w:rsid w:val="00850ABC"/>
    <w:rsid w:val="008B4EAE"/>
    <w:rsid w:val="00A56365"/>
    <w:rsid w:val="00A727BD"/>
    <w:rsid w:val="00AB5AF3"/>
    <w:rsid w:val="00B16FF9"/>
    <w:rsid w:val="00B704E0"/>
    <w:rsid w:val="00CD4CAF"/>
    <w:rsid w:val="00F2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99"/>
    <w:rsid w:val="00B704E0"/>
    <w:pPr>
      <w:widowControl w:val="0"/>
      <w:autoSpaceDE w:val="0"/>
      <w:autoSpaceDN w:val="0"/>
      <w:adjustRightInd w:val="0"/>
      <w:spacing w:after="0" w:line="310" w:lineRule="atLeast"/>
      <w:ind w:firstLine="310"/>
      <w:jc w:val="both"/>
      <w:textAlignment w:val="center"/>
    </w:pPr>
    <w:rPr>
      <w:rFonts w:ascii="Brill" w:eastAsiaTheme="minorEastAsia" w:hAnsi="Brill" w:cs="Brill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704E0"/>
    <w:pPr>
      <w:pageBreakBefore/>
      <w:widowControl w:val="0"/>
      <w:shd w:val="clear" w:color="auto" w:fill="FFFFFF"/>
      <w:suppressAutoHyphens/>
      <w:autoSpaceDE w:val="0"/>
      <w:autoSpaceDN w:val="0"/>
      <w:adjustRightInd w:val="0"/>
      <w:spacing w:after="0"/>
      <w:jc w:val="center"/>
      <w:textAlignment w:val="center"/>
    </w:pPr>
    <w:rPr>
      <w:rFonts w:ascii="LegacySerifITCStd-BookItalic" w:eastAsiaTheme="minorEastAsia" w:hAnsi="LegacySerifITCStd-BookItalic" w:cs="LegacySerifITCStd-BookItalic"/>
      <w:i/>
      <w:iC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rsid w:val="00B704E0"/>
    <w:rPr>
      <w:rFonts w:ascii="LegacySerifITCStd-BookItalic" w:eastAsiaTheme="minorEastAsia" w:hAnsi="LegacySerifITCStd-BookItalic" w:cs="LegacySerifITCStd-BookItalic"/>
      <w:i/>
      <w:iCs/>
      <w:color w:val="000000"/>
      <w:sz w:val="36"/>
      <w:szCs w:val="36"/>
      <w:shd w:val="clear" w:color="auto" w:fill="FFFFFF"/>
    </w:rPr>
  </w:style>
  <w:style w:type="paragraph" w:customStyle="1" w:styleId="titleEpages">
    <w:name w:val="title E pages"/>
    <w:basedOn w:val="Title"/>
    <w:uiPriority w:val="99"/>
    <w:rsid w:val="00B704E0"/>
  </w:style>
  <w:style w:type="paragraph" w:customStyle="1" w:styleId="bodyfirstspb4">
    <w:name w:val="body first spb4"/>
    <w:basedOn w:val="Normal"/>
    <w:uiPriority w:val="99"/>
    <w:rsid w:val="00B704E0"/>
    <w:pPr>
      <w:widowControl w:val="0"/>
      <w:autoSpaceDE w:val="0"/>
      <w:autoSpaceDN w:val="0"/>
      <w:adjustRightInd w:val="0"/>
      <w:spacing w:before="155" w:after="0" w:line="310" w:lineRule="atLeast"/>
      <w:jc w:val="both"/>
      <w:textAlignment w:val="center"/>
    </w:pPr>
    <w:rPr>
      <w:rFonts w:ascii="Brill" w:eastAsiaTheme="minorEastAsia" w:hAnsi="Brill" w:cs="Brill"/>
      <w:color w:val="000000"/>
      <w:sz w:val="24"/>
      <w:szCs w:val="24"/>
    </w:rPr>
  </w:style>
  <w:style w:type="paragraph" w:customStyle="1" w:styleId="chapterfirst">
    <w:name w:val="chapter first"/>
    <w:basedOn w:val="Normal"/>
    <w:uiPriority w:val="99"/>
    <w:rsid w:val="00B704E0"/>
    <w:pPr>
      <w:widowControl w:val="0"/>
      <w:autoSpaceDE w:val="0"/>
      <w:autoSpaceDN w:val="0"/>
      <w:adjustRightInd w:val="0"/>
      <w:spacing w:before="301" w:after="0" w:line="310" w:lineRule="atLeast"/>
      <w:jc w:val="both"/>
      <w:textAlignment w:val="center"/>
    </w:pPr>
    <w:rPr>
      <w:rFonts w:ascii="Brill" w:eastAsiaTheme="minorEastAsia" w:hAnsi="Brill" w:cs="Bril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704E0"/>
    <w:pPr>
      <w:keepLines/>
      <w:widowControl w:val="0"/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Brill" w:eastAsiaTheme="minorEastAsia" w:hAnsi="Brill" w:cs="Brill"/>
      <w:color w:val="00000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704E0"/>
    <w:rPr>
      <w:rFonts w:ascii="Brill" w:eastAsiaTheme="minorEastAsia" w:hAnsi="Brill" w:cs="Brill"/>
      <w:color w:val="000000"/>
      <w:sz w:val="20"/>
      <w:szCs w:val="20"/>
    </w:rPr>
  </w:style>
  <w:style w:type="character" w:customStyle="1" w:styleId="bd">
    <w:name w:val="bd"/>
    <w:uiPriority w:val="99"/>
    <w:rsid w:val="00B704E0"/>
    <w:rPr>
      <w:b/>
      <w:bCs/>
      <w:color w:val="000000"/>
      <w:w w:val="100"/>
    </w:rPr>
  </w:style>
  <w:style w:type="character" w:customStyle="1" w:styleId="ittext">
    <w:name w:val="it text"/>
    <w:uiPriority w:val="99"/>
    <w:rsid w:val="00B704E0"/>
    <w:rPr>
      <w:i/>
      <w:iCs/>
      <w:color w:val="000000"/>
      <w:w w:val="100"/>
    </w:rPr>
  </w:style>
  <w:style w:type="character" w:styleId="FootnoteReference">
    <w:name w:val="footnote reference"/>
    <w:basedOn w:val="DefaultParagraphFont"/>
    <w:uiPriority w:val="99"/>
    <w:rsid w:val="00B704E0"/>
    <w:rPr>
      <w:rFonts w:ascii="Koren Tanakh" w:hAnsi="Koren Tanakh" w:cs="Koren Tanakh"/>
      <w:b/>
      <w:bCs/>
      <w:w w:val="100"/>
      <w:sz w:val="30"/>
      <w:szCs w:val="30"/>
      <w:vertAlign w:val="superscript"/>
    </w:rPr>
  </w:style>
  <w:style w:type="character" w:customStyle="1" w:styleId="xrefE">
    <w:name w:val="xref E"/>
    <w:uiPriority w:val="99"/>
    <w:rsid w:val="00B704E0"/>
    <w:rPr>
      <w:rFonts w:ascii="Cronos Pro Light Caption" w:hAnsi="Cronos Pro Light Caption" w:cs="Cronos Pro Light Caption"/>
      <w:w w:val="100"/>
      <w:position w:val="6"/>
      <w:sz w:val="15"/>
      <w:szCs w:val="15"/>
      <w:vertAlign w:val="baseline"/>
    </w:rPr>
  </w:style>
  <w:style w:type="character" w:customStyle="1" w:styleId="xrefH">
    <w:name w:val="xref H"/>
    <w:basedOn w:val="DefaultParagraphFont"/>
    <w:uiPriority w:val="99"/>
    <w:rsid w:val="00B704E0"/>
    <w:rPr>
      <w:rFonts w:ascii="FbShefa Pro" w:hAnsi="FbShefa Pro" w:cs="FbShefa Pro"/>
      <w:color w:val="000000"/>
      <w:w w:val="100"/>
      <w:position w:val="10"/>
      <w:sz w:val="19"/>
      <w:szCs w:val="19"/>
      <w:vertAlign w:val="baseline"/>
    </w:rPr>
  </w:style>
  <w:style w:type="character" w:customStyle="1" w:styleId="SCALWAYSNone">
    <w:name w:val="SC ALWAYS _None_"/>
    <w:uiPriority w:val="99"/>
    <w:rsid w:val="00B704E0"/>
  </w:style>
  <w:style w:type="character" w:customStyle="1" w:styleId="ittextinft">
    <w:name w:val="it text in ft"/>
    <w:basedOn w:val="ittext"/>
    <w:uiPriority w:val="99"/>
    <w:rsid w:val="00B704E0"/>
    <w:rPr>
      <w:rFonts w:ascii="Brill" w:hAnsi="Brill" w:cs="Brill"/>
      <w:i/>
      <w:iCs/>
      <w:color w:val="000000"/>
      <w:w w:val="100"/>
    </w:rPr>
  </w:style>
  <w:style w:type="paragraph" w:styleId="ListParagraph">
    <w:name w:val="List Paragraph"/>
    <w:basedOn w:val="Normal"/>
    <w:uiPriority w:val="34"/>
    <w:qFormat/>
    <w:rsid w:val="00A727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99"/>
    <w:rsid w:val="00B704E0"/>
    <w:pPr>
      <w:widowControl w:val="0"/>
      <w:autoSpaceDE w:val="0"/>
      <w:autoSpaceDN w:val="0"/>
      <w:adjustRightInd w:val="0"/>
      <w:spacing w:after="0" w:line="310" w:lineRule="atLeast"/>
      <w:ind w:firstLine="310"/>
      <w:jc w:val="both"/>
      <w:textAlignment w:val="center"/>
    </w:pPr>
    <w:rPr>
      <w:rFonts w:ascii="Brill" w:eastAsiaTheme="minorEastAsia" w:hAnsi="Brill" w:cs="Brill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704E0"/>
    <w:pPr>
      <w:pageBreakBefore/>
      <w:widowControl w:val="0"/>
      <w:shd w:val="clear" w:color="auto" w:fill="FFFFFF"/>
      <w:suppressAutoHyphens/>
      <w:autoSpaceDE w:val="0"/>
      <w:autoSpaceDN w:val="0"/>
      <w:adjustRightInd w:val="0"/>
      <w:spacing w:after="0"/>
      <w:jc w:val="center"/>
      <w:textAlignment w:val="center"/>
    </w:pPr>
    <w:rPr>
      <w:rFonts w:ascii="LegacySerifITCStd-BookItalic" w:eastAsiaTheme="minorEastAsia" w:hAnsi="LegacySerifITCStd-BookItalic" w:cs="LegacySerifITCStd-BookItalic"/>
      <w:i/>
      <w:iC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rsid w:val="00B704E0"/>
    <w:rPr>
      <w:rFonts w:ascii="LegacySerifITCStd-BookItalic" w:eastAsiaTheme="minorEastAsia" w:hAnsi="LegacySerifITCStd-BookItalic" w:cs="LegacySerifITCStd-BookItalic"/>
      <w:i/>
      <w:iCs/>
      <w:color w:val="000000"/>
      <w:sz w:val="36"/>
      <w:szCs w:val="36"/>
      <w:shd w:val="clear" w:color="auto" w:fill="FFFFFF"/>
    </w:rPr>
  </w:style>
  <w:style w:type="paragraph" w:customStyle="1" w:styleId="titleEpages">
    <w:name w:val="title E pages"/>
    <w:basedOn w:val="Title"/>
    <w:uiPriority w:val="99"/>
    <w:rsid w:val="00B704E0"/>
  </w:style>
  <w:style w:type="paragraph" w:customStyle="1" w:styleId="bodyfirstspb4">
    <w:name w:val="body first spb4"/>
    <w:basedOn w:val="Normal"/>
    <w:uiPriority w:val="99"/>
    <w:rsid w:val="00B704E0"/>
    <w:pPr>
      <w:widowControl w:val="0"/>
      <w:autoSpaceDE w:val="0"/>
      <w:autoSpaceDN w:val="0"/>
      <w:adjustRightInd w:val="0"/>
      <w:spacing w:before="155" w:after="0" w:line="310" w:lineRule="atLeast"/>
      <w:jc w:val="both"/>
      <w:textAlignment w:val="center"/>
    </w:pPr>
    <w:rPr>
      <w:rFonts w:ascii="Brill" w:eastAsiaTheme="minorEastAsia" w:hAnsi="Brill" w:cs="Brill"/>
      <w:color w:val="000000"/>
      <w:sz w:val="24"/>
      <w:szCs w:val="24"/>
    </w:rPr>
  </w:style>
  <w:style w:type="paragraph" w:customStyle="1" w:styleId="chapterfirst">
    <w:name w:val="chapter first"/>
    <w:basedOn w:val="Normal"/>
    <w:uiPriority w:val="99"/>
    <w:rsid w:val="00B704E0"/>
    <w:pPr>
      <w:widowControl w:val="0"/>
      <w:autoSpaceDE w:val="0"/>
      <w:autoSpaceDN w:val="0"/>
      <w:adjustRightInd w:val="0"/>
      <w:spacing w:before="301" w:after="0" w:line="310" w:lineRule="atLeast"/>
      <w:jc w:val="both"/>
      <w:textAlignment w:val="center"/>
    </w:pPr>
    <w:rPr>
      <w:rFonts w:ascii="Brill" w:eastAsiaTheme="minorEastAsia" w:hAnsi="Brill" w:cs="Bril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704E0"/>
    <w:pPr>
      <w:keepLines/>
      <w:widowControl w:val="0"/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Brill" w:eastAsiaTheme="minorEastAsia" w:hAnsi="Brill" w:cs="Brill"/>
      <w:color w:val="00000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704E0"/>
    <w:rPr>
      <w:rFonts w:ascii="Brill" w:eastAsiaTheme="minorEastAsia" w:hAnsi="Brill" w:cs="Brill"/>
      <w:color w:val="000000"/>
      <w:sz w:val="20"/>
      <w:szCs w:val="20"/>
    </w:rPr>
  </w:style>
  <w:style w:type="character" w:customStyle="1" w:styleId="bd">
    <w:name w:val="bd"/>
    <w:uiPriority w:val="99"/>
    <w:rsid w:val="00B704E0"/>
    <w:rPr>
      <w:b/>
      <w:bCs/>
      <w:color w:val="000000"/>
      <w:w w:val="100"/>
    </w:rPr>
  </w:style>
  <w:style w:type="character" w:customStyle="1" w:styleId="ittext">
    <w:name w:val="it text"/>
    <w:uiPriority w:val="99"/>
    <w:rsid w:val="00B704E0"/>
    <w:rPr>
      <w:i/>
      <w:iCs/>
      <w:color w:val="000000"/>
      <w:w w:val="100"/>
    </w:rPr>
  </w:style>
  <w:style w:type="character" w:styleId="FootnoteReference">
    <w:name w:val="footnote reference"/>
    <w:basedOn w:val="DefaultParagraphFont"/>
    <w:uiPriority w:val="99"/>
    <w:rsid w:val="00B704E0"/>
    <w:rPr>
      <w:rFonts w:ascii="Koren Tanakh" w:hAnsi="Koren Tanakh" w:cs="Koren Tanakh"/>
      <w:b/>
      <w:bCs/>
      <w:w w:val="100"/>
      <w:sz w:val="30"/>
      <w:szCs w:val="30"/>
      <w:vertAlign w:val="superscript"/>
    </w:rPr>
  </w:style>
  <w:style w:type="character" w:customStyle="1" w:styleId="xrefE">
    <w:name w:val="xref E"/>
    <w:uiPriority w:val="99"/>
    <w:rsid w:val="00B704E0"/>
    <w:rPr>
      <w:rFonts w:ascii="Cronos Pro Light Caption" w:hAnsi="Cronos Pro Light Caption" w:cs="Cronos Pro Light Caption"/>
      <w:w w:val="100"/>
      <w:position w:val="6"/>
      <w:sz w:val="15"/>
      <w:szCs w:val="15"/>
      <w:vertAlign w:val="baseline"/>
    </w:rPr>
  </w:style>
  <w:style w:type="character" w:customStyle="1" w:styleId="xrefH">
    <w:name w:val="xref H"/>
    <w:basedOn w:val="DefaultParagraphFont"/>
    <w:uiPriority w:val="99"/>
    <w:rsid w:val="00B704E0"/>
    <w:rPr>
      <w:rFonts w:ascii="FbShefa Pro" w:hAnsi="FbShefa Pro" w:cs="FbShefa Pro"/>
      <w:color w:val="000000"/>
      <w:w w:val="100"/>
      <w:position w:val="10"/>
      <w:sz w:val="19"/>
      <w:szCs w:val="19"/>
      <w:vertAlign w:val="baseline"/>
    </w:rPr>
  </w:style>
  <w:style w:type="character" w:customStyle="1" w:styleId="SCALWAYSNone">
    <w:name w:val="SC ALWAYS _None_"/>
    <w:uiPriority w:val="99"/>
    <w:rsid w:val="00B704E0"/>
  </w:style>
  <w:style w:type="character" w:customStyle="1" w:styleId="ittextinft">
    <w:name w:val="it text in ft"/>
    <w:basedOn w:val="ittext"/>
    <w:uiPriority w:val="99"/>
    <w:rsid w:val="00B704E0"/>
    <w:rPr>
      <w:rFonts w:ascii="Brill" w:hAnsi="Brill" w:cs="Brill"/>
      <w:i/>
      <w:iCs/>
      <w:color w:val="000000"/>
      <w:w w:val="100"/>
    </w:rPr>
  </w:style>
  <w:style w:type="paragraph" w:styleId="ListParagraph">
    <w:name w:val="List Paragraph"/>
    <w:basedOn w:val="Normal"/>
    <w:uiPriority w:val="34"/>
    <w:qFormat/>
    <w:rsid w:val="00A7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</dc:creator>
  <cp:lastModifiedBy>Michael</cp:lastModifiedBy>
  <cp:revision>12</cp:revision>
  <dcterms:created xsi:type="dcterms:W3CDTF">2022-04-18T19:37:00Z</dcterms:created>
  <dcterms:modified xsi:type="dcterms:W3CDTF">2022-04-18T20:34:00Z</dcterms:modified>
</cp:coreProperties>
</file>