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bidiVisual/>
      </w:tblPr>
      <w:tblGrid>
        <w:gridCol w:w="4933"/>
        <w:gridCol w:w="4933"/>
      </w:tblGrid>
      <w:tr>
        <w:tc>
          <w:tcPr>
            <w:tcW w:type="dxa" w:w="6520"/>
          </w:tcPr>
          <w:p>
            <w:pPr>
              <w:spacing w:before="0" w:after="40"/>
              <w:jc w:val="right"/>
              <w:bidi w:val="1"/>
            </w:pPr>
            <w:r>
              <w:rPr>
                <w:rFonts w:ascii="Cairo" w:hAnsi="Cairo" w:cs="Cairo"/>
                <w:b/>
                <w:i w:val="0"/>
                <w:color w:val="1E3A8A"/>
                <w:sz w:val="24"/>
                <w:rtl w:val="1"/>
              </w:rPr>
              <w:t>جامعة جدارا — Jadara University</w:t>
              <w:br/>
            </w:r>
            <w:r>
              <w:rPr>
                <w:rFonts w:ascii="Cairo" w:hAnsi="Cairo" w:cs="Cairo"/>
                <w:b/>
                <w:i w:val="0"/>
                <w:color w:val="334155"/>
                <w:sz w:val="20"/>
                <w:rtl w:val="1"/>
              </w:rPr>
              <w:t>كلية تكنولوجيا المعلومات (Faculty of Information Technology)</w:t>
              <w:br/>
            </w:r>
            <w:r>
              <w:rPr>
                <w:rFonts w:ascii="Cairo" w:hAnsi="Cairo" w:cs="Cairo"/>
                <w:b w:val="0"/>
                <w:i w:val="0"/>
                <w:color w:val="64748B"/>
                <w:sz w:val="18"/>
                <w:rtl w:val="1"/>
              </w:rPr>
              <w:t>قسم علم الروبوتات والذكاء الاصطناعي (Robotics &amp; AI Department)</w:t>
            </w:r>
          </w:p>
        </w:tc>
        <w:tc>
          <w:tcPr>
            <w:tcW w:type="dxa" w:w="2835"/>
            <w:shd w:fill="EFF6FF"/>
            <w:tcMar>
              <w:top w:w="80" w:type="dxa"/>
              <w:bottom w:w="80" w:type="dxa"/>
              <w:left w:w="100" w:type="dxa"/>
              <w:right w:w="100" w:type="dxa"/>
            </w:tcMar>
            <w:tcBorders>
              <w:top w:val="single" w:sz="4" w:space="0" w:color="BFDBFE"/>
              <w:bottom w:val="single" w:sz="4" w:space="0" w:color="BFDBFE"/>
              <w:left w:val="single" w:sz="4" w:space="0" w:color="BFDBFE"/>
              <w:right w:val="single" w:sz="4" w:space="0" w:color="BFDBFE"/>
            </w:tcBorders>
          </w:tcPr>
          <w:p>
            <w:pPr>
              <w:spacing w:before="0" w:after="0"/>
              <w:jc w:val="center"/>
              <w:bidi w:val="1"/>
            </w:pPr>
            <w:r>
              <w:rPr>
                <w:rFonts w:ascii="Cairo" w:hAnsi="Cairo" w:cs="Cairo"/>
                <w:b/>
                <w:i w:val="0"/>
                <w:color w:val="1D4ED8"/>
                <w:sz w:val="19"/>
                <w:rtl w:val="1"/>
              </w:rPr>
              <w:t>وثيقة مشاركة رسمية</w:t>
              <w:br/>
            </w:r>
            <w:r>
              <w:rPr>
                <w:rFonts w:ascii="Cairo" w:hAnsi="Cairo" w:cs="Cairo"/>
                <w:b/>
                <w:i w:val="0"/>
                <w:color w:val="1E3A8A"/>
                <w:sz w:val="17"/>
                <w:rtl w:val="1"/>
              </w:rPr>
              <w:t>مسابقة MMRC26 الوطنية</w:t>
              <w:br/>
            </w:r>
            <w:r>
              <w:rPr>
                <w:rFonts w:ascii="Cairo" w:hAnsi="Cairo" w:cs="Cairo"/>
                <w:b w:val="0"/>
                <w:i w:val="0"/>
                <w:color w:val="64748B"/>
                <w:sz w:val="16"/>
                <w:rtl w:val="1"/>
              </w:rPr>
              <w:t>التاريخ: 21 أيلول 2026</w:t>
            </w:r>
          </w:p>
        </w:tc>
      </w:tr>
    </w:tbl>
    <w:p>
      <w:pPr>
        <w:spacing w:after="40"/>
      </w:pPr>
    </w:p>
    <w:p>
      <w:pPr>
        <w:spacing w:before="0" w:after="120"/>
        <w:pBdr>
          <w:bottom w:val="single" w:sz="18" w:space="1" w:color="1E3A8A"/>
        </w:pBdr>
      </w:pPr>
    </w:p>
    <w:tbl>
      <w:tblPr>
        <w:tblW w:type="auto" w:w="0"/>
        <w:jc w:val="center"/>
        <w:tblLayout w:type="fixed"/>
        <w:tblLook w:firstColumn="1" w:firstRow="1" w:lastColumn="0" w:lastRow="0" w:noHBand="0" w:noVBand="1" w:val="04A0"/>
        <w:bidiVisual/>
      </w:tblPr>
      <w:tblGrid>
        <w:gridCol w:w="9866"/>
      </w:tblGrid>
      <w:tr>
        <w:tc>
          <w:tcPr>
            <w:tcW w:type="dxa" w:w="9354"/>
            <w:shd w:fill="1E3A8A"/>
            <w:tcMar>
              <w:top w:w="140" w:type="dxa"/>
              <w:bottom w:w="140" w:type="dxa"/>
              <w:left w:w="180" w:type="dxa"/>
              <w:right w:w="180" w:type="dxa"/>
            </w:tcMar>
          </w:tcPr>
          <w:p>
            <w:pPr>
              <w:jc w:val="center"/>
              <w:bidi w:val="1"/>
            </w:pPr>
            <w:r>
              <w:rPr>
                <w:rFonts w:ascii="Cairo" w:hAnsi="Cairo" w:cs="Cairo"/>
                <w:b/>
                <w:i w:val="0"/>
                <w:color w:val="FFFFFF"/>
                <w:sz w:val="25"/>
                <w:rtl w:val="1"/>
              </w:rPr>
              <w:t>طلب اعتماد ومشاركة رسمية في مسابقة حل المتاهة الوطنية للميكروماوس</w:t>
              <w:br/>
            </w:r>
            <w:r>
              <w:rPr>
                <w:rFonts w:ascii="Cairo" w:hAnsi="Cairo" w:cs="Cairo"/>
                <w:b w:val="0"/>
                <w:i w:val="0"/>
                <w:color w:val="DBEAFE"/>
                <w:sz w:val="19"/>
                <w:rtl w:val="1"/>
              </w:rPr>
              <w:t>Micromouse Maze Solver Contest 2026 (MMRC26) — IEEE RAS HTU</w:t>
            </w:r>
          </w:p>
        </w:tc>
      </w:tr>
    </w:tbl>
    <w:p>
      <w:pPr>
        <w:spacing w:before="80" w:after="80"/>
      </w:pPr>
    </w:p>
    <w:p>
      <w:pPr>
        <w:spacing w:before="40" w:after="80"/>
        <w:jc w:val="right"/>
        <w:bidi w:val="1"/>
      </w:pPr>
      <w:r>
        <w:rPr>
          <w:rFonts w:ascii="Cairo" w:hAnsi="Cairo" w:cs="Cairo"/>
          <w:b/>
          <w:i w:val="0"/>
          <w:color w:val="1E3A8A"/>
          <w:sz w:val="21"/>
          <w:rtl w:val="1"/>
        </w:rPr>
        <w:t>إلى: الدكتورة المشرفة المحترمة</w:t>
        <w:br/>
      </w:r>
      <w:r>
        <w:rPr>
          <w:rFonts w:ascii="Cairo" w:hAnsi="Cairo" w:cs="Cairo"/>
          <w:b w:val="0"/>
          <w:i w:val="0"/>
          <w:color w:val="334155"/>
          <w:sz w:val="19"/>
          <w:rtl w:val="1"/>
        </w:rPr>
        <w:t>تحية طيبة وبعد،،،</w:t>
        <w:br/>
        <w:t>يرجى التكرم بالاطلاع على التقرير الفني والتنظيمي المرفق أدناه، والمتضمن كافة تفاصيل مسابقة الميكروماوس الوطنية لحل المتاهة (MMRC26)، وموعدها، ومكان انعقادها، وبيانات الفريق الممثل لقسم الروبوتات والذكاء الاصطناعي بكلية تكنولوجيا المعلومات، بالإضافة إلى الكشف الهندسي الشامل لجميع قطع ومكونات الروبوت (القطع المعتمدة والقطع الجديدة المضافة) لاعتماد الكتاب الرسمي وتوجيهه للجهات المعنية.</w:t>
      </w:r>
    </w:p>
    <w:p>
      <w:pPr>
        <w:spacing w:before="200" w:after="80"/>
        <w:jc w:val="right"/>
        <w:bidi w:val="1"/>
        <w:pBdr>
          <w:bottom w:val="single" w:sz="8" w:space="2" w:color="2563EB"/>
        </w:pBdr>
      </w:pPr>
      <w:r>
        <w:rPr>
          <w:rFonts w:ascii="Cairo" w:hAnsi="Cairo" w:cs="Cairo"/>
          <w:b/>
          <w:i w:val="0"/>
          <w:color w:val="1E3A8A"/>
          <w:sz w:val="22"/>
          <w:rtl w:val="1"/>
        </w:rPr>
        <w:t>أولاً: وصف ونبذة عن المسابقة (Competition Overview)</w:t>
      </w:r>
    </w:p>
    <w:tbl>
      <w:tblPr>
        <w:tblW w:type="auto" w:w="0"/>
        <w:jc w:val="center"/>
        <w:tblLayout w:type="fixed"/>
        <w:tblLook w:firstColumn="1" w:firstRow="1" w:lastColumn="0" w:lastRow="0" w:noHBand="0" w:noVBand="1" w:val="04A0"/>
        <w:bidiVisual/>
      </w:tblPr>
      <w:tblGrid>
        <w:gridCol w:w="9866"/>
      </w:tblGrid>
      <w:tr>
        <w:tc>
          <w:tcPr>
            <w:tcW w:type="dxa" w:w="9354"/>
            <w:shd w:fill="F8FAFC"/>
            <w:tcMar>
              <w:top w:w="120" w:type="dxa"/>
              <w:bottom w:w="120" w:type="dxa"/>
              <w:left w:w="180" w:type="dxa"/>
              <w:right w:w="180" w:type="dxa"/>
            </w:tcMar>
            <w:tcBorders>
              <w:top w:val="none"/>
              <w:left w:val="none"/>
              <w:bottom w:val="none"/>
              <w:right w:val="single" w:sz="24" w:space="0" w:color="1E3A8A"/>
            </w:tcBorders>
          </w:tcPr>
          <w:p>
            <w:pPr>
              <w:spacing w:before="0" w:after="40"/>
              <w:jc w:val="right"/>
              <w:bidi w:val="1"/>
            </w:pPr>
            <w:r>
              <w:rPr>
                <w:rFonts w:ascii="Cairo" w:hAnsi="Cairo" w:cs="Cairo"/>
                <w:b/>
                <w:i w:val="0"/>
                <w:color w:val="1E3A8A"/>
                <w:sz w:val="19"/>
                <w:rtl w:val="1"/>
              </w:rPr>
              <w:t xml:space="preserve">• اسم المسابقة الرسمي: </w:t>
            </w:r>
            <w:r>
              <w:rPr>
                <w:rFonts w:ascii="Cairo" w:hAnsi="Cairo" w:cs="Cairo"/>
                <w:b w:val="0"/>
                <w:i w:val="0"/>
                <w:color w:val="0F172A"/>
                <w:sz w:val="19"/>
                <w:rtl w:val="1"/>
              </w:rPr>
              <w:t>مسابقة الميكروماوس لحل المتاهة 2026 (Micromouse Maze Solver Contest – MMRC26).</w:t>
            </w:r>
          </w:p>
          <w:p>
            <w:pPr>
              <w:spacing w:before="60" w:after="40"/>
              <w:jc w:val="right"/>
              <w:bidi w:val="1"/>
            </w:pPr>
            <w:r>
              <w:rPr>
                <w:rFonts w:ascii="Cairo" w:hAnsi="Cairo" w:cs="Cairo"/>
                <w:b/>
                <w:i w:val="0"/>
                <w:color w:val="1E3A8A"/>
                <w:sz w:val="19"/>
                <w:rtl w:val="1"/>
              </w:rPr>
              <w:t xml:space="preserve">• الجهة المنظمة: </w:t>
            </w:r>
            <w:r>
              <w:rPr>
                <w:rFonts w:ascii="Cairo" w:hAnsi="Cairo" w:cs="Cairo"/>
                <w:b w:val="0"/>
                <w:i w:val="0"/>
                <w:color w:val="0F172A"/>
                <w:sz w:val="19"/>
                <w:rtl w:val="1"/>
              </w:rPr>
              <w:t>فرع جمعية الروبوتات والأتمتة التابع لمعهد مهندسي الكهرباء والإلكترونيات (IEEE RAS Student Branch Chapter) في جامعة الحسين التقنية (HTU).</w:t>
            </w:r>
          </w:p>
          <w:p>
            <w:pPr>
              <w:spacing w:before="60" w:after="40"/>
              <w:jc w:val="right"/>
              <w:bidi w:val="1"/>
            </w:pPr>
            <w:r>
              <w:rPr>
                <w:rFonts w:ascii="Cairo" w:hAnsi="Cairo" w:cs="Cairo"/>
                <w:b/>
                <w:i w:val="0"/>
                <w:color w:val="1E3A8A"/>
                <w:sz w:val="19"/>
                <w:rtl w:val="1"/>
              </w:rPr>
              <w:t xml:space="preserve">• طبيعة التحدي وأهدافه: </w:t>
            </w:r>
            <w:r>
              <w:rPr>
                <w:rFonts w:ascii="Cairo" w:hAnsi="Cairo" w:cs="Cairo"/>
                <w:b w:val="0"/>
                <w:i w:val="0"/>
                <w:color w:val="0F172A"/>
                <w:sz w:val="19"/>
                <w:rtl w:val="1"/>
              </w:rPr>
              <w:t>تحدٍ وطني وهندسي قياسي في مجال الروبوتات والذكاء الاصطناعي المدمج، يتطلب تصميم وبناء وبرمجة روبوت متحرك مستقل بالكامل (Fully Autonomous Micromouse). يبدأ الروبوت من زاوية متاهة قياسية بأبعاد (10 × 10) مربعات لاستكشاف المسار ذاتياً دون أي تدخل بشري أو اتصال خارجي، والوصول إلى الهدف المركزي المعزول (Island Goal) بأقصر زمن ممكن وبأعلى عدد من المحاولات الناجحة خلال نافذة زمنية مدتها 8 دقائق.</w:t>
            </w:r>
          </w:p>
          <w:p>
            <w:pPr>
              <w:spacing w:before="60" w:after="40"/>
              <w:jc w:val="right"/>
              <w:bidi w:val="1"/>
            </w:pPr>
            <w:r>
              <w:rPr>
                <w:rFonts w:ascii="Cairo" w:hAnsi="Cairo" w:cs="Cairo"/>
                <w:b/>
                <w:i w:val="0"/>
                <w:color w:val="1E3A8A"/>
                <w:sz w:val="19"/>
                <w:rtl w:val="1"/>
              </w:rPr>
              <w:t xml:space="preserve">• المعيار الرياضي للتقييم: </w:t>
            </w:r>
            <w:r>
              <w:rPr>
                <w:rFonts w:ascii="Cairo" w:hAnsi="Cairo" w:cs="Cairo"/>
                <w:b w:val="0"/>
                <w:i w:val="0"/>
                <w:color w:val="0F172A"/>
                <w:sz w:val="19"/>
                <w:rtl w:val="1"/>
              </w:rPr>
              <w:t>يعتمد الترتيب الرسمي على معادلة النقاط التراكمية: Final Score = (Total Successful Runs / Official Fastest Time) * 1000، مما يتطلب توازناً ذكياً بين استكشاف المتاهة وسرعة الوصول ودقة التكرار.</w:t>
            </w:r>
          </w:p>
        </w:tc>
      </w:tr>
    </w:tbl>
    <w:p>
      <w:pPr>
        <w:spacing w:before="200" w:after="80"/>
        <w:jc w:val="right"/>
        <w:bidi w:val="1"/>
        <w:pBdr>
          <w:bottom w:val="single" w:sz="8" w:space="2" w:color="2563EB"/>
        </w:pBdr>
      </w:pPr>
      <w:r>
        <w:rPr>
          <w:rFonts w:ascii="Cairo" w:hAnsi="Cairo" w:cs="Cairo"/>
          <w:b/>
          <w:i w:val="0"/>
          <w:color w:val="1E3A8A"/>
          <w:sz w:val="22"/>
          <w:rtl w:val="1"/>
        </w:rPr>
        <w:t>ثانياً: موعد ومكان انعقاد المسابقة (Date &amp; Location)</w:t>
      </w:r>
    </w:p>
    <w:tbl>
      <w:tblPr>
        <w:tblW w:type="auto" w:w="0"/>
        <w:jc w:val="center"/>
        <w:tblLayout w:type="fixed"/>
        <w:tblLook w:firstColumn="1" w:firstRow="1" w:lastColumn="0" w:lastRow="0" w:noHBand="0" w:noVBand="1" w:val="04A0"/>
        <w:bidiVisual/>
      </w:tblPr>
      <w:tblGrid>
        <w:gridCol w:w="4933"/>
        <w:gridCol w:w="4933"/>
      </w:tblGrid>
      <w:tr>
        <w:tc>
          <w:tcPr>
            <w:tcW w:type="dxa" w:w="2551"/>
            <w:shd w:fill="EFF6FF"/>
            <w:tcMar>
              <w:top w:w="70" w:type="dxa"/>
              <w:bottom w:w="70" w:type="dxa"/>
              <w:left w:w="100" w:type="dxa"/>
              <w:right w:w="100" w:type="dxa"/>
            </w:tcMar>
            <w:tcBorders>
              <w:top w:val="none"/>
              <w:bottom w:val="single" w:sz="4" w:space="0" w:color="E2E8F0"/>
              <w:left w:val="none"/>
              <w:right w:val="single" w:sz="4" w:space="0" w:color="E2E8F0"/>
            </w:tcBorders>
          </w:tcPr>
          <w:p>
            <w:pPr>
              <w:jc w:val="right"/>
              <w:bidi w:val="1"/>
            </w:pPr>
            <w:r>
              <w:rPr>
                <w:rFonts w:ascii="Cairo" w:hAnsi="Cairo" w:cs="Cairo"/>
                <w:b/>
                <w:i w:val="0"/>
                <w:color w:val="1E3A8A"/>
                <w:sz w:val="18"/>
                <w:rtl w:val="1"/>
              </w:rPr>
              <w:t>تاريخ المسابقة المعتمد</w:t>
            </w:r>
          </w:p>
        </w:tc>
        <w:tc>
          <w:tcPr>
            <w:tcW w:type="dxa" w:w="6803"/>
            <w:shd w:fill="EFF6FF"/>
            <w:tcMar>
              <w:top w:w="70" w:type="dxa"/>
              <w:bottom w:w="70" w:type="dxa"/>
              <w:left w:w="100" w:type="dxa"/>
              <w:right w:w="100" w:type="dxa"/>
            </w:tcMar>
            <w:tcBorders>
              <w:top w:val="none"/>
              <w:bottom w:val="single" w:sz="4" w:space="0" w:color="E2E8F0"/>
              <w:left w:val="single" w:sz="4" w:space="0" w:color="E2E8F0"/>
              <w:right w:val="none"/>
            </w:tcBorders>
          </w:tcPr>
          <w:p>
            <w:pPr>
              <w:jc w:val="right"/>
              <w:bidi w:val="1"/>
            </w:pPr>
            <w:r>
              <w:rPr>
                <w:rFonts w:ascii="Cairo" w:hAnsi="Cairo" w:cs="Cairo"/>
                <w:b w:val="0"/>
                <w:i w:val="0"/>
                <w:color w:val="0F172A"/>
                <w:sz w:val="18"/>
                <w:rtl w:val="1"/>
              </w:rPr>
              <w:t>الإثنين، 5 تشرين الأول (أكتوبر) 2026 (Monday, 5 October 2026)</w:t>
            </w:r>
          </w:p>
        </w:tc>
      </w:tr>
      <w:tr>
        <w:tc>
          <w:tcPr>
            <w:tcW w:type="dxa" w:w="2551"/>
            <w:shd w:fill="FFFFFF"/>
            <w:tcMar>
              <w:top w:w="70" w:type="dxa"/>
              <w:bottom w:w="70" w:type="dxa"/>
              <w:left w:w="100" w:type="dxa"/>
              <w:right w:w="100" w:type="dxa"/>
            </w:tcMar>
            <w:tcBorders>
              <w:top w:val="none"/>
              <w:bottom w:val="single" w:sz="4" w:space="0" w:color="E2E8F0"/>
              <w:left w:val="none"/>
              <w:right w:val="single" w:sz="4" w:space="0" w:color="E2E8F0"/>
            </w:tcBorders>
          </w:tcPr>
          <w:p>
            <w:pPr>
              <w:jc w:val="right"/>
              <w:bidi w:val="1"/>
            </w:pPr>
            <w:r>
              <w:rPr>
                <w:rFonts w:ascii="Cairo" w:hAnsi="Cairo" w:cs="Cairo"/>
                <w:b/>
                <w:i w:val="0"/>
                <w:color w:val="1E3A8A"/>
                <w:sz w:val="18"/>
                <w:rtl w:val="1"/>
              </w:rPr>
              <w:t>الموقع والقاعة</w:t>
            </w:r>
          </w:p>
        </w:tc>
        <w:tc>
          <w:tcPr>
            <w:tcW w:type="dxa" w:w="6803"/>
            <w:shd w:fill="FFFFFF"/>
            <w:tcMar>
              <w:top w:w="70" w:type="dxa"/>
              <w:bottom w:w="70" w:type="dxa"/>
              <w:left w:w="100" w:type="dxa"/>
              <w:right w:w="100" w:type="dxa"/>
            </w:tcMar>
            <w:tcBorders>
              <w:top w:val="none"/>
              <w:bottom w:val="single" w:sz="4" w:space="0" w:color="E2E8F0"/>
              <w:left w:val="single" w:sz="4" w:space="0" w:color="E2E8F0"/>
              <w:right w:val="none"/>
            </w:tcBorders>
          </w:tcPr>
          <w:p>
            <w:pPr>
              <w:jc w:val="right"/>
              <w:bidi w:val="1"/>
            </w:pPr>
            <w:r>
              <w:rPr>
                <w:rFonts w:ascii="Cairo" w:hAnsi="Cairo" w:cs="Cairo"/>
                <w:b w:val="0"/>
                <w:i w:val="0"/>
                <w:color w:val="0F172A"/>
                <w:sz w:val="18"/>
                <w:rtl w:val="1"/>
              </w:rPr>
              <w:t>مبنى The ARC — حرم جامعة الحسين التقنية (Al-Hussein Technical University)</w:t>
            </w:r>
          </w:p>
        </w:tc>
      </w:tr>
      <w:tr>
        <w:tc>
          <w:tcPr>
            <w:tcW w:type="dxa" w:w="2551"/>
            <w:shd w:fill="EFF6FF"/>
            <w:tcMar>
              <w:top w:w="70" w:type="dxa"/>
              <w:bottom w:w="70" w:type="dxa"/>
              <w:left w:w="100" w:type="dxa"/>
              <w:right w:w="100" w:type="dxa"/>
            </w:tcMar>
            <w:tcBorders>
              <w:top w:val="none"/>
              <w:bottom w:val="single" w:sz="4" w:space="0" w:color="E2E8F0"/>
              <w:left w:val="none"/>
              <w:right w:val="single" w:sz="4" w:space="0" w:color="E2E8F0"/>
            </w:tcBorders>
          </w:tcPr>
          <w:p>
            <w:pPr>
              <w:jc w:val="right"/>
              <w:bidi w:val="1"/>
            </w:pPr>
            <w:r>
              <w:rPr>
                <w:rFonts w:ascii="Cairo" w:hAnsi="Cairo" w:cs="Cairo"/>
                <w:b/>
                <w:i w:val="0"/>
                <w:color w:val="1E3A8A"/>
                <w:sz w:val="18"/>
                <w:rtl w:val="1"/>
              </w:rPr>
              <w:t>العنوان الجغرافي</w:t>
            </w:r>
          </w:p>
        </w:tc>
        <w:tc>
          <w:tcPr>
            <w:tcW w:type="dxa" w:w="6803"/>
            <w:shd w:fill="EFF6FF"/>
            <w:tcMar>
              <w:top w:w="70" w:type="dxa"/>
              <w:bottom w:w="70" w:type="dxa"/>
              <w:left w:w="100" w:type="dxa"/>
              <w:right w:w="100" w:type="dxa"/>
            </w:tcMar>
            <w:tcBorders>
              <w:top w:val="none"/>
              <w:bottom w:val="single" w:sz="4" w:space="0" w:color="E2E8F0"/>
              <w:left w:val="single" w:sz="4" w:space="0" w:color="E2E8F0"/>
              <w:right w:val="none"/>
            </w:tcBorders>
          </w:tcPr>
          <w:p>
            <w:pPr>
              <w:jc w:val="right"/>
              <w:bidi w:val="1"/>
            </w:pPr>
            <w:r>
              <w:rPr>
                <w:rFonts w:ascii="Cairo" w:hAnsi="Cairo" w:cs="Cairo"/>
                <w:b w:val="0"/>
                <w:i w:val="0"/>
                <w:color w:val="0F172A"/>
                <w:sz w:val="18"/>
                <w:rtl w:val="1"/>
              </w:rPr>
              <w:t>مجمع الملك الحسين للأعمال (King Hussein Business Park - KHBP)، شارع الملك عبدالله الثاني، عمّان</w:t>
            </w:r>
          </w:p>
        </w:tc>
      </w:tr>
      <w:tr>
        <w:tc>
          <w:tcPr>
            <w:tcW w:type="dxa" w:w="2551"/>
            <w:shd w:fill="FFFFFF"/>
            <w:tcMar>
              <w:top w:w="70" w:type="dxa"/>
              <w:bottom w:w="70" w:type="dxa"/>
              <w:left w:w="100" w:type="dxa"/>
              <w:right w:w="100" w:type="dxa"/>
            </w:tcMar>
            <w:tcBorders>
              <w:top w:val="none"/>
              <w:bottom w:val="single" w:sz="4" w:space="0" w:color="E2E8F0"/>
              <w:left w:val="none"/>
              <w:right w:val="single" w:sz="4" w:space="0" w:color="E2E8F0"/>
            </w:tcBorders>
          </w:tcPr>
          <w:p>
            <w:pPr>
              <w:jc w:val="right"/>
              <w:bidi w:val="1"/>
            </w:pPr>
            <w:r>
              <w:rPr>
                <w:rFonts w:ascii="Cairo" w:hAnsi="Cairo" w:cs="Cairo"/>
                <w:b/>
                <w:i w:val="0"/>
                <w:color w:val="1E3A8A"/>
                <w:sz w:val="18"/>
                <w:rtl w:val="1"/>
              </w:rPr>
              <w:t>فترة الفحص والتسجيل</w:t>
            </w:r>
          </w:p>
        </w:tc>
        <w:tc>
          <w:tcPr>
            <w:tcW w:type="dxa" w:w="6803"/>
            <w:shd w:fill="FFFFFF"/>
            <w:tcMar>
              <w:top w:w="70" w:type="dxa"/>
              <w:bottom w:w="70" w:type="dxa"/>
              <w:left w:w="100" w:type="dxa"/>
              <w:right w:w="100" w:type="dxa"/>
            </w:tcMar>
            <w:tcBorders>
              <w:top w:val="none"/>
              <w:bottom w:val="single" w:sz="4" w:space="0" w:color="E2E8F0"/>
              <w:left w:val="single" w:sz="4" w:space="0" w:color="E2E8F0"/>
              <w:right w:val="none"/>
            </w:tcBorders>
          </w:tcPr>
          <w:p>
            <w:pPr>
              <w:jc w:val="right"/>
              <w:bidi w:val="1"/>
            </w:pPr>
            <w:r>
              <w:rPr>
                <w:rFonts w:ascii="Cairo" w:hAnsi="Cairo" w:cs="Cairo"/>
                <w:b w:val="0"/>
                <w:i w:val="0"/>
                <w:color w:val="0F172A"/>
                <w:sz w:val="18"/>
                <w:rtl w:val="1"/>
              </w:rPr>
              <w:t>من الساعة 08:00 صباحاً وحتى الساعة 09:00 صباحاً (فحص الهاردوير والتأكيد الإلزامي)</w:t>
            </w:r>
          </w:p>
        </w:tc>
      </w:tr>
    </w:tbl>
    <w:p>
      <w:pPr>
        <w:spacing w:before="200" w:after="80"/>
        <w:jc w:val="right"/>
        <w:bidi w:val="1"/>
        <w:pBdr>
          <w:bottom w:val="single" w:sz="8" w:space="2" w:color="2563EB"/>
        </w:pBdr>
      </w:pPr>
      <w:r>
        <w:rPr>
          <w:rFonts w:ascii="Cairo" w:hAnsi="Cairo" w:cs="Cairo"/>
          <w:b/>
          <w:i w:val="0"/>
          <w:color w:val="1E3A8A"/>
          <w:sz w:val="22"/>
          <w:rtl w:val="1"/>
        </w:rPr>
        <w:t>ثالثاً: البرنامج الزمني الرسمي ليوم الفعالية (Official Timeline)</w:t>
      </w:r>
    </w:p>
    <w:tbl>
      <w:tblPr>
        <w:tblW w:type="auto" w:w="0"/>
        <w:jc w:val="center"/>
        <w:tblLayout w:type="fixed"/>
        <w:tblLook w:firstColumn="1" w:firstRow="1" w:lastColumn="0" w:lastRow="0" w:noHBand="0" w:noVBand="1" w:val="04A0"/>
        <w:bidiVisual/>
      </w:tblPr>
      <w:tblGrid>
        <w:gridCol w:w="3289"/>
        <w:gridCol w:w="3289"/>
        <w:gridCol w:w="3289"/>
      </w:tblGrid>
      <w:tr>
        <w:tc>
          <w:tcPr>
            <w:tcW w:type="dxa" w:w="1814"/>
            <w:shd w:fill="1E3A8A"/>
            <w:tcMar>
              <w:top w:w="80" w:type="dxa"/>
              <w:bottom w:w="80" w:type="dxa"/>
              <w:left w:w="80" w:type="dxa"/>
              <w:right w:w="80" w:type="dxa"/>
            </w:tcMar>
          </w:tcPr>
          <w:p>
            <w:pPr>
              <w:jc w:val="center"/>
              <w:bidi w:val="1"/>
            </w:pPr>
            <w:r>
              <w:rPr>
                <w:rFonts w:ascii="Cairo" w:hAnsi="Cairo" w:cs="Cairo"/>
                <w:b/>
                <w:i w:val="0"/>
                <w:color w:val="FFFFFF"/>
                <w:sz w:val="18"/>
                <w:rtl w:val="1"/>
              </w:rPr>
              <w:t>الوقت</w:t>
            </w:r>
          </w:p>
        </w:tc>
        <w:tc>
          <w:tcPr>
            <w:tcW w:type="dxa" w:w="5556"/>
            <w:shd w:fill="1E3A8A"/>
            <w:tcMar>
              <w:top w:w="80" w:type="dxa"/>
              <w:bottom w:w="80" w:type="dxa"/>
              <w:left w:w="80" w:type="dxa"/>
              <w:right w:w="80" w:type="dxa"/>
            </w:tcMar>
          </w:tcPr>
          <w:p>
            <w:pPr>
              <w:jc w:val="center"/>
              <w:bidi w:val="1"/>
            </w:pPr>
            <w:r>
              <w:rPr>
                <w:rFonts w:ascii="Cairo" w:hAnsi="Cairo" w:cs="Cairo"/>
                <w:b/>
                <w:i w:val="0"/>
                <w:color w:val="FFFFFF"/>
                <w:sz w:val="18"/>
                <w:rtl w:val="1"/>
              </w:rPr>
              <w:t>النشاط / الفعالية الرسمية</w:t>
            </w:r>
          </w:p>
        </w:tc>
        <w:tc>
          <w:tcPr>
            <w:tcW w:type="dxa" w:w="1984"/>
            <w:shd w:fill="1E3A8A"/>
            <w:tcMar>
              <w:top w:w="80" w:type="dxa"/>
              <w:bottom w:w="80" w:type="dxa"/>
              <w:left w:w="80" w:type="dxa"/>
              <w:right w:w="80" w:type="dxa"/>
            </w:tcMar>
          </w:tcPr>
          <w:p>
            <w:pPr>
              <w:jc w:val="center"/>
              <w:bidi w:val="1"/>
            </w:pPr>
            <w:r>
              <w:rPr>
                <w:rFonts w:ascii="Cairo" w:hAnsi="Cairo" w:cs="Cairo"/>
                <w:b/>
                <w:i w:val="0"/>
                <w:color w:val="FFFFFF"/>
                <w:sz w:val="18"/>
                <w:rtl w:val="1"/>
              </w:rPr>
              <w:t>المكان داخل الحرم</w:t>
            </w:r>
          </w:p>
        </w:tc>
      </w:tr>
      <w:tr>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08:00 - 09:00</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تسجيل الفرق، استلام البطاقات، وفحص الهاردوير الإلزامي (Hardware Inspection)</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Registration Desk</w:t>
            </w:r>
          </w:p>
        </w:tc>
      </w:tr>
      <w:tr>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09:00 - 09:30</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الجلسة الافتتاحية وإعلان قرعة وترتيب جولات التصفيات (Opening Briefing)</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Main Arena</w:t>
            </w:r>
          </w:p>
        </w:tc>
      </w:tr>
      <w:tr>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09:30 - 13:30</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المرحلة الأولى: تصفيات المتاهة الفردية لكافة الفرق (Phase 1: Single-Maze Qualifiers)</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Main Arena</w:t>
            </w:r>
          </w:p>
        </w:tc>
      </w:tr>
      <w:tr>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13:30 - 14:30</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استراحة الغداء وإعلان قائمة الفرق المتأهلة للأدوار الإقصائية (Cutoff Announcement)</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Campus / Pit Area</w:t>
            </w:r>
          </w:p>
        </w:tc>
      </w:tr>
      <w:tr>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14:30 - 17:30</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المرحلة الثانية: دوري خروج المغلوب والمواجهات المزدوجة المتزامنة (Phase 2: Knockout League)</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Main Arena</w:t>
            </w:r>
          </w:p>
        </w:tc>
      </w:tr>
      <w:tr>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17:30 - 18:00</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الحفل الختامي وتوزيع الجوائز التقنية المتخصصة (Best Code &amp; Creative Design)</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Main Arena</w:t>
            </w:r>
          </w:p>
        </w:tc>
      </w:tr>
      <w:tr>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18:00 - 18:20</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المواجهة الختامية الكبرى لتحديد بطل المسابقة (The Grand Final Match)</w:t>
            </w:r>
          </w:p>
        </w:tc>
        <w:tc>
          <w:tcPr>
            <w:tcW w:type="dxa" w:w="3289"/>
            <w:shd w:fill="FFFFFF"/>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Main Arena</w:t>
            </w:r>
          </w:p>
        </w:tc>
      </w:tr>
      <w:tr>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i w:val="0"/>
                <w:color w:val="0F172A"/>
                <w:sz w:val="17"/>
                <w:rtl w:val="1"/>
              </w:rPr>
              <w:t>18:20 - 18:45</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right"/>
              <w:bidi w:val="1"/>
            </w:pPr>
            <w:r>
              <w:rPr>
                <w:rFonts w:ascii="Cairo" w:hAnsi="Cairo" w:cs="Cairo"/>
                <w:b w:val="0"/>
                <w:i w:val="0"/>
                <w:color w:val="0F172A"/>
                <w:sz w:val="17"/>
                <w:rtl w:val="1"/>
              </w:rPr>
              <w:t>إعلان الفائزين رسمياً، تتويج الأبطال وتسليم الكؤوس والشهادات (Trophy Presentation)</w:t>
            </w:r>
          </w:p>
        </w:tc>
        <w:tc>
          <w:tcPr>
            <w:tcW w:type="dxa" w:w="3289"/>
            <w:shd w:fill="F8FAFC"/>
            <w:tcMar>
              <w:top w:w="60" w:type="dxa"/>
              <w:bottom w:w="60" w:type="dxa"/>
              <w:left w:w="80" w:type="dxa"/>
              <w:right w:w="80" w:type="dxa"/>
            </w:tcMar>
            <w:tcBorders>
              <w:top w:val="none"/>
              <w:bottom w:val="single" w:sz="4" w:space="0" w:color="E2E8F0"/>
              <w:left w:val="single" w:sz="4" w:space="0" w:color="E2E8F0"/>
              <w:right w:val="single" w:sz="4" w:space="0" w:color="E2E8F0"/>
            </w:tcBorders>
          </w:tcPr>
          <w:p>
            <w:pPr>
              <w:jc w:val="center"/>
              <w:bidi w:val="1"/>
            </w:pPr>
            <w:r>
              <w:rPr>
                <w:rFonts w:ascii="Cairo" w:hAnsi="Cairo" w:cs="Cairo"/>
                <w:b w:val="0"/>
                <w:i w:val="0"/>
                <w:color w:val="0F172A"/>
                <w:sz w:val="17"/>
                <w:rtl w:val="1"/>
              </w:rPr>
              <w:t>Main Arena</w:t>
            </w:r>
          </w:p>
        </w:tc>
      </w:tr>
    </w:tbl>
    <w:p>
      <w:pPr>
        <w:spacing w:before="200" w:after="80"/>
        <w:jc w:val="right"/>
        <w:bidi w:val="1"/>
        <w:pBdr>
          <w:bottom w:val="single" w:sz="8" w:space="2" w:color="2563EB"/>
        </w:pBdr>
      </w:pPr>
      <w:r>
        <w:rPr>
          <w:rFonts w:ascii="Cairo" w:hAnsi="Cairo" w:cs="Cairo"/>
          <w:b/>
          <w:i w:val="0"/>
          <w:color w:val="1E3A8A"/>
          <w:sz w:val="22"/>
          <w:rtl w:val="1"/>
        </w:rPr>
        <w:t>رابعاً: بيانات فريق العمل الممثل للجامعة (Team Roster)</w:t>
      </w:r>
    </w:p>
    <w:tbl>
      <w:tblPr>
        <w:tblW w:type="auto" w:w="0"/>
        <w:jc w:val="center"/>
        <w:tblLayout w:type="fixed"/>
        <w:tblLook w:firstColumn="1" w:firstRow="1" w:lastColumn="0" w:lastRow="0" w:noHBand="0" w:noVBand="1" w:val="04A0"/>
        <w:bidiVisual/>
      </w:tblPr>
      <w:tblGrid>
        <w:gridCol w:w="2466"/>
        <w:gridCol w:w="2466"/>
        <w:gridCol w:w="2466"/>
        <w:gridCol w:w="2466"/>
      </w:tblGrid>
      <w:tr>
        <w:tc>
          <w:tcPr>
            <w:tcW w:type="dxa" w:w="1984"/>
            <w:shd w:fill="2563EB"/>
            <w:tcMar>
              <w:top w:w="70" w:type="dxa"/>
              <w:bottom w:w="70" w:type="dxa"/>
              <w:left w:w="70" w:type="dxa"/>
              <w:right w:w="70" w:type="dxa"/>
            </w:tcMar>
          </w:tcPr>
          <w:p>
            <w:pPr>
              <w:jc w:val="center"/>
              <w:bidi w:val="1"/>
            </w:pPr>
            <w:r>
              <w:rPr>
                <w:rFonts w:ascii="Cairo" w:hAnsi="Cairo" w:cs="Cairo"/>
                <w:b/>
                <w:i w:val="0"/>
                <w:color w:val="FFFFFF"/>
                <w:sz w:val="18"/>
                <w:rtl w:val="1"/>
              </w:rPr>
              <w:t>الصفة في الفريق</w:t>
            </w:r>
          </w:p>
        </w:tc>
        <w:tc>
          <w:tcPr>
            <w:tcW w:type="dxa" w:w="3118"/>
            <w:shd w:fill="2563EB"/>
            <w:tcMar>
              <w:top w:w="70" w:type="dxa"/>
              <w:bottom w:w="70" w:type="dxa"/>
              <w:left w:w="70" w:type="dxa"/>
              <w:right w:w="70" w:type="dxa"/>
            </w:tcMar>
          </w:tcPr>
          <w:p>
            <w:pPr>
              <w:jc w:val="center"/>
              <w:bidi w:val="1"/>
            </w:pPr>
            <w:r>
              <w:rPr>
                <w:rFonts w:ascii="Cairo" w:hAnsi="Cairo" w:cs="Cairo"/>
                <w:b/>
                <w:i w:val="0"/>
                <w:color w:val="FFFFFF"/>
                <w:sz w:val="18"/>
                <w:rtl w:val="1"/>
              </w:rPr>
              <w:t>الاسم الكامل</w:t>
            </w:r>
          </w:p>
        </w:tc>
        <w:tc>
          <w:tcPr>
            <w:tcW w:type="dxa" w:w="1984"/>
            <w:shd w:fill="2563EB"/>
            <w:tcMar>
              <w:top w:w="70" w:type="dxa"/>
              <w:bottom w:w="70" w:type="dxa"/>
              <w:left w:w="70" w:type="dxa"/>
              <w:right w:w="70" w:type="dxa"/>
            </w:tcMar>
          </w:tcPr>
          <w:p>
            <w:pPr>
              <w:jc w:val="center"/>
              <w:bidi w:val="1"/>
            </w:pPr>
            <w:r>
              <w:rPr>
                <w:rFonts w:ascii="Cairo" w:hAnsi="Cairo" w:cs="Cairo"/>
                <w:b/>
                <w:i w:val="0"/>
                <w:color w:val="FFFFFF"/>
                <w:sz w:val="18"/>
                <w:rtl w:val="1"/>
              </w:rPr>
              <w:t>الكلية</w:t>
            </w:r>
          </w:p>
        </w:tc>
        <w:tc>
          <w:tcPr>
            <w:tcW w:type="dxa" w:w="2268"/>
            <w:shd w:fill="2563EB"/>
            <w:tcMar>
              <w:top w:w="70" w:type="dxa"/>
              <w:bottom w:w="70" w:type="dxa"/>
              <w:left w:w="70" w:type="dxa"/>
              <w:right w:w="70" w:type="dxa"/>
            </w:tcMar>
          </w:tcPr>
          <w:p>
            <w:pPr>
              <w:jc w:val="center"/>
              <w:bidi w:val="1"/>
            </w:pPr>
            <w:r>
              <w:rPr>
                <w:rFonts w:ascii="Cairo" w:hAnsi="Cairo" w:cs="Cairo"/>
                <w:b/>
                <w:i w:val="0"/>
                <w:color w:val="FFFFFF"/>
                <w:sz w:val="18"/>
                <w:rtl w:val="1"/>
              </w:rPr>
              <w:t>التخصص الأكاديمي</w:t>
            </w:r>
          </w:p>
        </w:tc>
      </w:tr>
      <w:tr>
        <w:tc>
          <w:tcPr>
            <w:tcW w:type="dxa" w:w="2466"/>
            <w:shd w:fill="EFF6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7"/>
                <w:rtl w:val="1"/>
              </w:rPr>
              <w:t>قائد الفريق ومطور الأنظمة</w:t>
            </w:r>
          </w:p>
        </w:tc>
        <w:tc>
          <w:tcPr>
            <w:tcW w:type="dxa" w:w="2466"/>
            <w:shd w:fill="EFF6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1E3A8A"/>
                <w:sz w:val="17"/>
                <w:rtl w:val="1"/>
              </w:rPr>
              <w:t>كرم احمد عصام خصاونه</w:t>
            </w:r>
          </w:p>
        </w:tc>
        <w:tc>
          <w:tcPr>
            <w:tcW w:type="dxa" w:w="2466"/>
            <w:shd w:fill="EFF6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تكنولوجيا المعلومات (IT)</w:t>
            </w:r>
          </w:p>
        </w:tc>
        <w:tc>
          <w:tcPr>
            <w:tcW w:type="dxa" w:w="2466"/>
            <w:shd w:fill="EFF6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علم الروبوتات والذكاء الاصطناعي</w:t>
            </w:r>
          </w:p>
        </w:tc>
      </w:tr>
      <w:tr>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عضو الفريق (مشارك)</w:t>
            </w:r>
          </w:p>
        </w:tc>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انور شطناوي</w:t>
            </w:r>
          </w:p>
        </w:tc>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تكنولوجيا المعلومات (IT)</w:t>
            </w:r>
          </w:p>
        </w:tc>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علم الروبوتات والذكاء الاصطناعي</w:t>
            </w:r>
          </w:p>
        </w:tc>
      </w:tr>
      <w:tr>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عضو الفريق (مشارك)</w:t>
            </w:r>
          </w:p>
        </w:tc>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عبدالرحمان العكور</w:t>
            </w:r>
          </w:p>
        </w:tc>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تكنولوجيا المعلومات (IT)</w:t>
            </w:r>
          </w:p>
        </w:tc>
        <w:tc>
          <w:tcPr>
            <w:tcW w:type="dxa" w:w="2466"/>
            <w:shd w:fill="FFFFFF"/>
            <w:tcMar>
              <w:top w:w="65" w:type="dxa"/>
              <w:bottom w:w="65" w:type="dxa"/>
              <w:left w:w="70" w:type="dxa"/>
              <w:right w:w="7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7"/>
                <w:rtl w:val="1"/>
              </w:rPr>
              <w:t>علم الروبوتات والذكاء الاصطناعي</w:t>
            </w:r>
          </w:p>
        </w:tc>
      </w:tr>
    </w:tbl>
    <w:p>
      <w:pPr>
        <w:spacing w:before="60" w:after="120"/>
        <w:jc w:val="right"/>
        <w:bidi w:val="1"/>
      </w:pPr>
      <w:r>
        <w:rPr>
          <w:rFonts w:ascii="Cairo" w:hAnsi="Cairo" w:cs="Cairo"/>
          <w:b w:val="0"/>
          <w:i/>
          <w:color w:val="64748B"/>
          <w:sz w:val="16"/>
          <w:rtl w:val="1"/>
        </w:rPr>
        <w:t>* ملاحظة: تنص المادة (3.b) من القوانين الرسمية على أن الفريق يتكون من طالب واحد إلى 3 طلاب كحد أقصى. المشرف الأكاديمي: الدكتورة المشرفة المحترمة.</w:t>
      </w:r>
    </w:p>
    <w:p>
      <w:pPr>
        <w:spacing w:before="200" w:after="80"/>
        <w:jc w:val="right"/>
        <w:bidi w:val="1"/>
        <w:pBdr>
          <w:bottom w:val="single" w:sz="8" w:space="2" w:color="2563EB"/>
        </w:pBdr>
      </w:pPr>
      <w:r>
        <w:rPr>
          <w:rFonts w:ascii="Cairo" w:hAnsi="Cairo" w:cs="Cairo"/>
          <w:b/>
          <w:i w:val="0"/>
          <w:color w:val="1E3A8A"/>
          <w:sz w:val="22"/>
          <w:rtl w:val="1"/>
        </w:rPr>
        <w:t>خامساً: المتطلبات والقواعد الفنية الإلزامية للمسابقة (Rules &amp; Constraints)</w:t>
      </w:r>
    </w:p>
    <w:tbl>
      <w:tblPr>
        <w:tblW w:type="auto" w:w="0"/>
        <w:jc w:val="center"/>
        <w:tblLayout w:type="fixed"/>
        <w:tblLook w:firstColumn="1" w:firstRow="1" w:lastColumn="0" w:lastRow="0" w:noHBand="0" w:noVBand="1" w:val="04A0"/>
        <w:bidiVisual/>
      </w:tblPr>
      <w:tblGrid>
        <w:gridCol w:w="9866"/>
      </w:tblGrid>
      <w:tr>
        <w:tc>
          <w:tcPr>
            <w:tcW w:type="dxa" w:w="9354"/>
            <w:shd w:fill="F8FAFC"/>
            <w:tcMar>
              <w:top w:w="120" w:type="dxa"/>
              <w:bottom w:w="120" w:type="dxa"/>
              <w:left w:w="180" w:type="dxa"/>
              <w:right w:w="180" w:type="dxa"/>
            </w:tcMar>
            <w:tcBorders>
              <w:top w:val="none"/>
              <w:left w:val="none"/>
              <w:bottom w:val="none"/>
              <w:right w:val="single" w:sz="24" w:space="0" w:color="2563EB"/>
            </w:tcBorders>
          </w:tcPr>
          <w:p>
            <w:pPr>
              <w:spacing w:before="0" w:after="40"/>
              <w:jc w:val="right"/>
              <w:bidi w:val="1"/>
            </w:pPr>
            <w:r>
              <w:rPr>
                <w:rFonts w:ascii="Cairo" w:hAnsi="Cairo" w:cs="Cairo"/>
                <w:b/>
                <w:i w:val="0"/>
                <w:color w:val="1E3A8A"/>
                <w:sz w:val="19"/>
                <w:rtl w:val="1"/>
              </w:rPr>
              <w:t xml:space="preserve">1. استقلالية الروبوت التامة (Self-Contained): </w:t>
            </w:r>
            <w:r>
              <w:rPr>
                <w:rFonts w:ascii="Cairo" w:hAnsi="Cairo" w:cs="Cairo"/>
                <w:b w:val="0"/>
                <w:i w:val="0"/>
                <w:color w:val="0F172A"/>
                <w:sz w:val="19"/>
                <w:rtl w:val="1"/>
              </w:rPr>
              <w:t>يجب أن يعمل الروبوت كلياً بالمعالجات والبطاريات الداخلية. يُحظر تماماً أي تحكم عن بعد أو اتصال لاسلكي (Wi-Fi/Bluetooth/RF) أو اتصال سلكي خارجي.</w:t>
            </w:r>
          </w:p>
          <w:p>
            <w:pPr>
              <w:spacing w:before="60" w:after="40"/>
              <w:jc w:val="right"/>
              <w:bidi w:val="1"/>
            </w:pPr>
            <w:r>
              <w:rPr>
                <w:rFonts w:ascii="Cairo" w:hAnsi="Cairo" w:cs="Cairo"/>
                <w:b/>
                <w:i w:val="0"/>
                <w:color w:val="1E3A8A"/>
                <w:sz w:val="19"/>
                <w:rtl w:val="1"/>
              </w:rPr>
              <w:t xml:space="preserve">2. الأبعاد الهندسية الصارمة: </w:t>
            </w:r>
            <w:r>
              <w:rPr>
                <w:rFonts w:ascii="Cairo" w:hAnsi="Cairo" w:cs="Cairo"/>
                <w:b w:val="0"/>
                <w:i w:val="0"/>
                <w:color w:val="0F172A"/>
                <w:sz w:val="19"/>
                <w:rtl w:val="1"/>
              </w:rPr>
              <w:t>يجب ألا تتجاوز أبعاد الروبوت 25 سم طولاً × 25 سم عرضاً في أي لحظة من زمن الجولة (لا قيود على الارتفاع).</w:t>
            </w:r>
          </w:p>
          <w:p>
            <w:pPr>
              <w:spacing w:before="60" w:after="40"/>
              <w:jc w:val="right"/>
              <w:bidi w:val="1"/>
            </w:pPr>
            <w:r>
              <w:rPr>
                <w:rFonts w:ascii="Cairo" w:hAnsi="Cairo" w:cs="Cairo"/>
                <w:b/>
                <w:i w:val="0"/>
                <w:color w:val="1E3A8A"/>
                <w:sz w:val="19"/>
                <w:rtl w:val="1"/>
              </w:rPr>
              <w:t xml:space="preserve">3. طبيعة المتاهة المعقدة (Island Goal): </w:t>
            </w:r>
            <w:r>
              <w:rPr>
                <w:rFonts w:ascii="Cairo" w:hAnsi="Cairo" w:cs="Cairo"/>
                <w:b w:val="0"/>
                <w:i w:val="0"/>
                <w:color w:val="0F172A"/>
                <w:sz w:val="19"/>
                <w:rtl w:val="1"/>
              </w:rPr>
              <w:t>تتكون المتاهة من 10 × 10 مربعات (مقاس كل مربع 18 × 18 سم)، والمركز معزول عن الجدران الخارجية تماماً، مما يُفشل خوارزميات تتبع الجدران التقليدية (Wall-Hugging) ويتطلب إلزامياً خوارزميات ذكاء اصطناعي وبحث متقدمة (Modified Flood Fill / A*).</w:t>
            </w:r>
          </w:p>
          <w:p>
            <w:pPr>
              <w:spacing w:before="60" w:after="40"/>
              <w:jc w:val="right"/>
              <w:bidi w:val="1"/>
            </w:pPr>
            <w:r>
              <w:rPr>
                <w:rFonts w:ascii="Cairo" w:hAnsi="Cairo" w:cs="Cairo"/>
                <w:b/>
                <w:i w:val="0"/>
                <w:color w:val="1E3A8A"/>
                <w:sz w:val="19"/>
                <w:rtl w:val="1"/>
              </w:rPr>
              <w:t xml:space="preserve">4. التدقيق البرمجي والنزاهة الأكاديمية (Source Code Audit): </w:t>
            </w:r>
            <w:r>
              <w:rPr>
                <w:rFonts w:ascii="Cairo" w:hAnsi="Cairo" w:cs="Cairo"/>
                <w:b w:val="0"/>
                <w:i w:val="0"/>
                <w:color w:val="0F172A"/>
                <w:sz w:val="19"/>
                <w:rtl w:val="1"/>
              </w:rPr>
              <w:t>يُمنع إدخال بيانات المتاهة مسبقاً، وتخضع جميع الأكواد المصدرية للفحص الدقيق من قبل لجنة التحكيم لضمان تشغيل خوارزميات الملاحة الحية المستقلة.</w:t>
            </w:r>
          </w:p>
        </w:tc>
      </w:tr>
    </w:tbl>
    <w:p>
      <w:pPr>
        <w:spacing w:before="200" w:after="80"/>
        <w:jc w:val="right"/>
        <w:bidi w:val="1"/>
        <w:pBdr>
          <w:bottom w:val="single" w:sz="8" w:space="2" w:color="2563EB"/>
        </w:pBdr>
      </w:pPr>
      <w:r>
        <w:rPr>
          <w:rFonts w:ascii="Cairo" w:hAnsi="Cairo" w:cs="Cairo"/>
          <w:b/>
          <w:i w:val="0"/>
          <w:color w:val="1E3A8A"/>
          <w:sz w:val="22"/>
          <w:rtl w:val="1"/>
        </w:rPr>
        <w:t>سادساً: كشف القطع والمكونات الهندسية الشامل للروبوت (Hardware Bill of Materials)</w:t>
      </w:r>
    </w:p>
    <w:p>
      <w:pPr>
        <w:spacing w:before="40" w:after="80"/>
        <w:jc w:val="right"/>
        <w:bidi w:val="1"/>
      </w:pPr>
      <w:r>
        <w:rPr>
          <w:rFonts w:ascii="Cairo" w:hAnsi="Cairo" w:cs="Cairo"/>
          <w:b w:val="0"/>
          <w:i w:val="0"/>
          <w:color w:val="334155"/>
          <w:sz w:val="17"/>
          <w:rtl w:val="1"/>
        </w:rPr>
        <w:t>يشمل الكشف أدناه كافة القطع الـ 14 المعتمدة مسبقاً بالإضافة إلى المكونات والقطع الجديدة المضافة (وحدة المعالجة المركزية الذكية ESP32، ومنظومة حساسات هول المغناطيسية لحساب المسافة بدقة عالية، وأزرار التشغيل، وملحقات التوصيل):</w:t>
      </w:r>
    </w:p>
    <w:tbl>
      <w:tblPr>
        <w:tblW w:type="auto" w:w="0"/>
        <w:jc w:val="center"/>
        <w:tblLayout w:type="fixed"/>
        <w:tblLook w:firstColumn="1" w:firstRow="1" w:lastColumn="0" w:lastRow="0" w:noHBand="0" w:noVBand="1" w:val="04A0"/>
        <w:bidiVisual/>
      </w:tblPr>
      <w:tblGrid>
        <w:gridCol w:w="1644"/>
        <w:gridCol w:w="1644"/>
        <w:gridCol w:w="1644"/>
        <w:gridCol w:w="1644"/>
        <w:gridCol w:w="1644"/>
        <w:gridCol w:w="1644"/>
      </w:tblGrid>
      <w:tr>
        <w:tc>
          <w:tcPr>
            <w:tcW w:type="dxa" w:w="397"/>
            <w:shd w:fill="1E3A8A"/>
            <w:tcMar>
              <w:top w:w="70" w:type="dxa"/>
              <w:bottom w:w="70" w:type="dxa"/>
              <w:left w:w="50" w:type="dxa"/>
              <w:right w:w="50" w:type="dxa"/>
            </w:tcMar>
          </w:tcPr>
          <w:p>
            <w:pPr>
              <w:jc w:val="center"/>
              <w:bidi w:val="1"/>
            </w:pPr>
            <w:r>
              <w:rPr>
                <w:rFonts w:ascii="Cairo" w:hAnsi="Cairo" w:cs="Cairo"/>
                <w:b/>
                <w:i w:val="0"/>
                <w:color w:val="FFFFFF"/>
                <w:sz w:val="16"/>
                <w:rtl w:val="1"/>
              </w:rPr>
              <w:t>#</w:t>
            </w:r>
          </w:p>
        </w:tc>
        <w:tc>
          <w:tcPr>
            <w:tcW w:type="dxa" w:w="2948"/>
            <w:shd w:fill="1E3A8A"/>
            <w:tcMar>
              <w:top w:w="70" w:type="dxa"/>
              <w:bottom w:w="70" w:type="dxa"/>
              <w:left w:w="50" w:type="dxa"/>
              <w:right w:w="50" w:type="dxa"/>
            </w:tcMar>
          </w:tcPr>
          <w:p>
            <w:pPr>
              <w:jc w:val="center"/>
              <w:bidi w:val="1"/>
            </w:pPr>
            <w:r>
              <w:rPr>
                <w:rFonts w:ascii="Cairo" w:hAnsi="Cairo" w:cs="Cairo"/>
                <w:b/>
                <w:i w:val="0"/>
                <w:color w:val="FFFFFF"/>
                <w:sz w:val="16"/>
                <w:rtl w:val="1"/>
              </w:rPr>
              <w:t>اسم القطعة كما في السلة (Item Description)</w:t>
            </w:r>
          </w:p>
        </w:tc>
        <w:tc>
          <w:tcPr>
            <w:tcW w:type="dxa" w:w="3061"/>
            <w:shd w:fill="1E3A8A"/>
            <w:tcMar>
              <w:top w:w="70" w:type="dxa"/>
              <w:bottom w:w="70" w:type="dxa"/>
              <w:left w:w="50" w:type="dxa"/>
              <w:right w:w="50" w:type="dxa"/>
            </w:tcMar>
          </w:tcPr>
          <w:p>
            <w:pPr>
              <w:jc w:val="center"/>
              <w:bidi w:val="1"/>
            </w:pPr>
            <w:r>
              <w:rPr>
                <w:rFonts w:ascii="Cairo" w:hAnsi="Cairo" w:cs="Cairo"/>
                <w:b/>
                <w:i w:val="0"/>
                <w:color w:val="FFFFFF"/>
                <w:sz w:val="16"/>
                <w:rtl w:val="1"/>
              </w:rPr>
              <w:t>الوظيفة الهندسية في منظومة الروبوت</w:t>
            </w:r>
          </w:p>
        </w:tc>
        <w:tc>
          <w:tcPr>
            <w:tcW w:type="dxa" w:w="680"/>
            <w:shd w:fill="1E3A8A"/>
            <w:tcMar>
              <w:top w:w="70" w:type="dxa"/>
              <w:bottom w:w="70" w:type="dxa"/>
              <w:left w:w="50" w:type="dxa"/>
              <w:right w:w="50" w:type="dxa"/>
            </w:tcMar>
          </w:tcPr>
          <w:p>
            <w:pPr>
              <w:jc w:val="center"/>
              <w:bidi w:val="1"/>
            </w:pPr>
            <w:r>
              <w:rPr>
                <w:rFonts w:ascii="Cairo" w:hAnsi="Cairo" w:cs="Cairo"/>
                <w:b/>
                <w:i w:val="0"/>
                <w:color w:val="FFFFFF"/>
                <w:sz w:val="16"/>
                <w:rtl w:val="1"/>
              </w:rPr>
              <w:t>الكمية</w:t>
            </w:r>
          </w:p>
        </w:tc>
        <w:tc>
          <w:tcPr>
            <w:tcW w:type="dxa" w:w="1134"/>
            <w:shd w:fill="1E3A8A"/>
            <w:tcMar>
              <w:top w:w="70" w:type="dxa"/>
              <w:bottom w:w="70" w:type="dxa"/>
              <w:left w:w="50" w:type="dxa"/>
              <w:right w:w="50" w:type="dxa"/>
            </w:tcMar>
          </w:tcPr>
          <w:p>
            <w:pPr>
              <w:jc w:val="center"/>
              <w:bidi w:val="1"/>
            </w:pPr>
            <w:r>
              <w:rPr>
                <w:rFonts w:ascii="Cairo" w:hAnsi="Cairo" w:cs="Cairo"/>
                <w:b/>
                <w:i w:val="0"/>
                <w:color w:val="FFFFFF"/>
                <w:sz w:val="16"/>
                <w:rtl w:val="1"/>
              </w:rPr>
              <w:t>السعر الإفرادي</w:t>
            </w:r>
          </w:p>
        </w:tc>
        <w:tc>
          <w:tcPr>
            <w:tcW w:type="dxa" w:w="1134"/>
            <w:shd w:fill="1E3A8A"/>
            <w:tcMar>
              <w:top w:w="70" w:type="dxa"/>
              <w:bottom w:w="70" w:type="dxa"/>
              <w:left w:w="50" w:type="dxa"/>
              <w:right w:w="50" w:type="dxa"/>
            </w:tcMar>
          </w:tcPr>
          <w:p>
            <w:pPr>
              <w:jc w:val="center"/>
              <w:bidi w:val="1"/>
            </w:pPr>
            <w:r>
              <w:rPr>
                <w:rFonts w:ascii="Cairo" w:hAnsi="Cairo" w:cs="Cairo"/>
                <w:b/>
                <w:i w:val="0"/>
                <w:color w:val="FFFFFF"/>
                <w:sz w:val="16"/>
                <w:rtl w:val="1"/>
              </w:rPr>
              <w:t>الإجمالي (د.أ)</w:t>
            </w:r>
          </w:p>
        </w:tc>
      </w:tr>
      <w:tr>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CJMCU-530 Laser Ranging Sensor Module Rangefinder</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حساسات مسافة ليزرية ToF بدقة ملليمترية لكشف الجدران والتوسيط وتفادي الصدمات</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3</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9.900</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29.700</w:t>
            </w:r>
          </w:p>
        </w:tc>
      </w:tr>
      <w:tr>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2</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MINI 3PI car N20 Caster Robot Ball Wheel</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عجلة ارتكاز كروية خلفية حرة الحركة لمنح الروبوت توازناً وانسيابية في الالتفاف</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1.450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1.450</w:t>
            </w:r>
          </w:p>
        </w:tc>
      </w:tr>
      <w:tr>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3</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Motor Mount Bracket for N20 Motor 3PI miniQ</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قواعد تثبيت هندسية صلبة لتأمين استقامة وصلابة المحركات على الشاسيه</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2</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0.650</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1.300</w:t>
            </w:r>
          </w:p>
        </w:tc>
      </w:tr>
      <w:tr>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4</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N20 6V 500 RPM HIGH TORQUE DC MOTOR</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محركات الدفع الرئيسية بعزم وسرعة مدروسة لتنفيذ استكشاف وسبرنت المتاهة</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2</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5.400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10.800</w:t>
            </w:r>
          </w:p>
        </w:tc>
      </w:tr>
      <w:tr>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5</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6-Axis Accelerometer Gyroscope MPU6050 - GY521</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جيروسكوب لتثبيت زاوية التوجيه (Heading PID) والانعطاف 90°/180° بدقة</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5.000</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5.000</w:t>
            </w:r>
          </w:p>
        </w:tc>
      </w:tr>
      <w:tr>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6</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Rubber Wheel and Tire 34mm for N20 (D-hole)</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عجلات مطاطية عالية التماسك مخصصة لمحاور D-shaft لمنع الانزلاق</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2</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1.200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2.400</w:t>
            </w:r>
          </w:p>
        </w:tc>
      </w:tr>
      <w:tr>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7</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Mini DC-DC Step Down Buck Converter Module</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خافض جهد عالي الكفاءة لتحويل 7.4V إلى 5V مستقرة لحماية وتغذية المعالج</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2</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1.950</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3.900</w:t>
            </w:r>
          </w:p>
        </w:tc>
      </w:tr>
      <w:tr>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8</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SINGLE SIDE PROTOTYPE PCB 7x9 CM</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لوحات تخريم لتجميع الدارات وبناء شاسيه الروبوت بأبعاد مدمجة مطابقة للقوانين</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4</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0.400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1.600</w:t>
            </w:r>
          </w:p>
        </w:tc>
      </w:tr>
      <w:tr>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9</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Breakable straight 1x40pin Male Headers 2.54mm</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رؤوس توصيل قياسية لتسهيل فك وتركيب وتبديل الحساسات لأغراض الصيانة</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4</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0.150</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0.600</w:t>
            </w:r>
          </w:p>
        </w:tc>
      </w:tr>
      <w:tr>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Solder Wire PRO'SKIT 9S001 17g 1mm</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سلك قصدير لحام إلكتروني عالي الجودة لضمان توصيل كهربائي متين وموثوق</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2.550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2.550</w:t>
            </w:r>
          </w:p>
        </w:tc>
      </w:tr>
      <w:tr>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11</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Pro'sKit Soldering Iron 40W 8PK-S118B-40W</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كاوية لحام إلكترونية بقدرة 40W لتجميع الدارات والأسلاك وتثبيت المكونات</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6.000</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6.000</w:t>
            </w:r>
          </w:p>
        </w:tc>
      </w:tr>
      <w:tr>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12</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2 Channel MX1508 DC Motor Drive Module PWM</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درايفر قيادة المحركات بتقنية MOSFET المدمجة بتيار 1.5A وتوافق مع 3.3V Logic</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1.900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1.900</w:t>
            </w:r>
          </w:p>
        </w:tc>
      </w:tr>
      <w:tr>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13</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Dual Charger For 18650 3.7V Li-ion Battery</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شاحن جداري مخصص لشحن بطاريات الليثيوم 18650 بأمان لاستمرارية التجارب</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6.000</w:t>
            </w:r>
          </w:p>
        </w:tc>
        <w:tc>
          <w:tcPr>
            <w:tcW w:type="dxa" w:w="1644"/>
            <w:shd w:fill="FFFF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6.000</w:t>
            </w:r>
          </w:p>
        </w:tc>
      </w:tr>
      <w:tr>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14</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BATTERY HOLDER 2X18650 3.7V</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حامل بطاريتين 18650 موصول توالي لتوليد 7.4V لتغذية المحركات والدرايفر</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1.000</w:t>
            </w:r>
          </w:p>
        </w:tc>
        <w:tc>
          <w:tcPr>
            <w:tcW w:type="dxa" w:w="1644"/>
            <w:shd w:fill="F8FAFC"/>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1.000</w:t>
            </w:r>
          </w:p>
        </w:tc>
      </w:tr>
      <w:tr>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15</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i w:val="0"/>
                <w:color w:val="1D4ED8"/>
                <w:sz w:val="15"/>
                <w:rtl w:val="1"/>
              </w:rPr>
              <w:t>Hall effect Sensor Module</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حساسات هول مغناطيسية على العجلات تعمل كإنكودر دقيق لقياس المسافة واجتياز الخلايا</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2</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1.500</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3.000</w:t>
            </w:r>
          </w:p>
        </w:tc>
      </w:tr>
      <w:tr>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16</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i w:val="0"/>
                <w:color w:val="1D4ED8"/>
                <w:sz w:val="15"/>
                <w:rtl w:val="1"/>
              </w:rPr>
              <w:t>magnet 3x5 mm cylinder</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right"/>
              <w:bidi w:val="1"/>
            </w:pPr>
            <w:r>
              <w:rPr>
                <w:rFonts w:ascii="Cairo" w:hAnsi="Cairo" w:cs="Cairo"/>
                <w:b w:val="0"/>
                <w:i w:val="0"/>
                <w:color w:val="0F172A"/>
                <w:sz w:val="15"/>
                <w:rtl w:val="1"/>
              </w:rPr>
              <w:t>مغانط أسطوانية مصغرة تثبت على العجلات لتفعيل حساسات هول بدقة وسرعة</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10</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val="0"/>
                <w:i w:val="0"/>
                <w:color w:val="0F172A"/>
                <w:sz w:val="15"/>
                <w:rtl w:val="1"/>
              </w:rPr>
              <w:t>0.250</w:t>
            </w:r>
          </w:p>
        </w:tc>
        <w:tc>
          <w:tcPr>
            <w:tcW w:type="dxa" w:w="1644"/>
            <w:shd w:fill="EFF6FF"/>
            <w:tcMar>
              <w:top w:w="45" w:type="dxa"/>
              <w:bottom w:w="45" w:type="dxa"/>
              <w:left w:w="50" w:type="dxa"/>
              <w:right w:w="50" w:type="dxa"/>
            </w:tcMar>
            <w:tcBorders>
              <w:top w:val="none"/>
              <w:bottom w:val="single" w:sz="4" w:space="0" w:color="CBD5E1"/>
              <w:left w:val="single" w:sz="4" w:space="0" w:color="CBD5E1"/>
              <w:right w:val="single" w:sz="4" w:space="0" w:color="CBD5E1"/>
            </w:tcBorders>
          </w:tcPr>
          <w:p>
            <w:pPr>
              <w:jc w:val="center"/>
              <w:bidi w:val="1"/>
            </w:pPr>
            <w:r>
              <w:rPr>
                <w:rFonts w:ascii="Cairo" w:hAnsi="Cairo" w:cs="Cairo"/>
                <w:b/>
                <w:i w:val="0"/>
                <w:color w:val="0F172A"/>
                <w:sz w:val="15"/>
                <w:rtl w:val="1"/>
              </w:rPr>
              <w:t>2.500</w:t>
            </w:r>
          </w:p>
        </w:tc>
      </w:tr>
      <w:tr>
        <w:tc>
          <w:tcPr>
            <w:tcW w:type="dxa" w:w="8220"/>
            <w:gridSpan w:val="5"/>
            <w:shd w:fill="EFF6FF"/>
          </w:tcPr>
          <w:p>
            <w:pPr>
              <w:jc w:val="right"/>
              <w:bidi w:val="1"/>
            </w:pPr>
            <w:r>
              <w:rPr>
                <w:rFonts w:ascii="Cairo" w:hAnsi="Cairo" w:cs="Cairo"/>
                <w:b/>
                <w:i w:val="0"/>
                <w:color w:val="1E3A8A"/>
                <w:sz w:val="17"/>
                <w:rtl w:val="1"/>
              </w:rPr>
              <w:t>المجموع الإجمالي الكلي المعتمد لسلة الشراء (Sub Total):</w:t>
            </w:r>
          </w:p>
        </w:tc>
        <w:tc>
          <w:tcPr>
            <w:tcW w:type="dxa" w:w="1644"/>
            <w:shd w:fill="EFF6FF"/>
          </w:tcPr>
          <w:p>
            <w:pPr>
              <w:jc w:val="center"/>
              <w:bidi w:val="1"/>
            </w:pPr>
            <w:r>
              <w:rPr>
                <w:rFonts w:ascii="Cairo" w:hAnsi="Cairo" w:cs="Cairo"/>
                <w:b/>
                <w:i w:val="0"/>
                <w:color w:val="1D4ED8"/>
                <w:sz w:val="19"/>
                <w:rtl w:val="1"/>
              </w:rPr>
              <w:t>79.700 د.أ</w:t>
            </w:r>
          </w:p>
        </w:tc>
      </w:tr>
    </w:tbl>
    <w:p>
      <w:pPr>
        <w:spacing w:before="200" w:after="80"/>
        <w:jc w:val="right"/>
        <w:bidi w:val="1"/>
        <w:pBdr>
          <w:bottom w:val="single" w:sz="8" w:space="2" w:color="2563EB"/>
        </w:pBdr>
      </w:pPr>
      <w:r>
        <w:rPr>
          <w:rFonts w:ascii="Cairo" w:hAnsi="Cairo" w:cs="Cairo"/>
          <w:b/>
          <w:i w:val="0"/>
          <w:color w:val="1E3A8A"/>
          <w:sz w:val="22"/>
          <w:rtl w:val="1"/>
        </w:rPr>
        <w:t>سابعاً: المبررات الهندسية والتقنية لاعتماد المنظومة (Technical Defense)</w:t>
      </w:r>
    </w:p>
    <w:tbl>
      <w:tblPr>
        <w:tblW w:type="auto" w:w="0"/>
        <w:jc w:val="center"/>
        <w:tblLayout w:type="fixed"/>
        <w:tblLook w:firstColumn="1" w:firstRow="1" w:lastColumn="0" w:lastRow="0" w:noHBand="0" w:noVBand="1" w:val="04A0"/>
        <w:bidiVisual/>
      </w:tblPr>
      <w:tblGrid>
        <w:gridCol w:w="9866"/>
      </w:tblGrid>
      <w:tr>
        <w:tc>
          <w:tcPr>
            <w:tcW w:type="dxa" w:w="9354"/>
            <w:shd w:fill="F8FAFC"/>
            <w:tcMar>
              <w:top w:w="120" w:type="dxa"/>
              <w:bottom w:w="120" w:type="dxa"/>
              <w:left w:w="180" w:type="dxa"/>
              <w:right w:w="180" w:type="dxa"/>
            </w:tcMar>
            <w:tcBorders>
              <w:top w:val="none"/>
              <w:left w:val="none"/>
              <w:bottom w:val="none"/>
              <w:right w:val="single" w:sz="24" w:space="0" w:color="2563EB"/>
            </w:tcBorders>
          </w:tcPr>
          <w:p>
            <w:pPr>
              <w:spacing w:before="0" w:after="40"/>
              <w:jc w:val="right"/>
              <w:bidi w:val="1"/>
            </w:pPr>
            <w:r>
              <w:rPr>
                <w:rFonts w:ascii="Cairo" w:hAnsi="Cairo" w:cs="Cairo"/>
                <w:b/>
                <w:i w:val="0"/>
                <w:color w:val="1E3A8A"/>
                <w:sz w:val="19"/>
                <w:rtl w:val="1"/>
              </w:rPr>
              <w:t xml:space="preserve">1. الالتزام بالأبعاد وقوانين الحلبة: </w:t>
            </w:r>
            <w:r>
              <w:rPr>
                <w:rFonts w:ascii="Cairo" w:hAnsi="Cairo" w:cs="Cairo"/>
                <w:b w:val="0"/>
                <w:i w:val="0"/>
                <w:color w:val="0F172A"/>
                <w:sz w:val="19"/>
                <w:rtl w:val="1"/>
              </w:rPr>
              <w:t>الأبعاد المجمعة للروبوت (9 سم طولاً × 7.5 سم عرضاً) أصغر بكثير من الحد الأقصى المسموح (25 × 25 سم)، مما يضمن التفافاً انسيابياً بنصف قطر 3.5 سم داخل خلايا المتاهة (18 × 18 سم) دون أي احتكاك بالجدران.</w:t>
            </w:r>
          </w:p>
          <w:p>
            <w:pPr>
              <w:spacing w:before="60" w:after="40"/>
              <w:jc w:val="right"/>
              <w:bidi w:val="1"/>
            </w:pPr>
            <w:r>
              <w:rPr>
                <w:rFonts w:ascii="Cairo" w:hAnsi="Cairo" w:cs="Cairo"/>
                <w:b/>
                <w:i w:val="0"/>
                <w:color w:val="1E3A8A"/>
                <w:sz w:val="19"/>
                <w:rtl w:val="1"/>
              </w:rPr>
              <w:t xml:space="preserve">2. منظومة التحكم المغلقة الهجينة (Hybrid Closed-Loop Odometry): </w:t>
            </w:r>
            <w:r>
              <w:rPr>
                <w:rFonts w:ascii="Cairo" w:hAnsi="Cairo" w:cs="Cairo"/>
                <w:b w:val="0"/>
                <w:i w:val="0"/>
                <w:color w:val="0F172A"/>
                <w:sz w:val="19"/>
                <w:rtl w:val="1"/>
              </w:rPr>
              <w:t>دمج جيروسكوب MPU6050 لضبط زوايا الانعطاف (Heading PID 90°/180°)، مع حساسات الليزر الثلاثية VL53L0X لتوسيط الروبوت، بالإضافة لحساسات هول A3144 لحساب مسافة اجتياز الخلايا بشكل قطعي يمنع تراكم أخطاء الإزاحة.</w:t>
            </w:r>
          </w:p>
          <w:p>
            <w:pPr>
              <w:spacing w:before="60" w:after="40"/>
              <w:jc w:val="right"/>
              <w:bidi w:val="1"/>
            </w:pPr>
            <w:r>
              <w:rPr>
                <w:rFonts w:ascii="Cairo" w:hAnsi="Cairo" w:cs="Cairo"/>
                <w:b/>
                <w:i w:val="0"/>
                <w:color w:val="1E3A8A"/>
                <w:sz w:val="19"/>
                <w:rtl w:val="1"/>
              </w:rPr>
              <w:t xml:space="preserve">3. العزل الكهربائي وتوزيع القدرة (Power Architecture): </w:t>
            </w:r>
            <w:r>
              <w:rPr>
                <w:rFonts w:ascii="Cairo" w:hAnsi="Cairo" w:cs="Cairo"/>
                <w:b w:val="0"/>
                <w:i w:val="0"/>
                <w:color w:val="0F172A"/>
                <w:sz w:val="19"/>
                <w:rtl w:val="1"/>
              </w:rPr>
              <w:t>فصل دائرة تغذية المحركات (7.4V عبر بطاريات 18650) عن دائرة تغذية معالج ESP32 (5V عبر Buck Converter) لمنع هبوط الجهد (Voltage Dips) وحدوث إعادة تشغيل مفاجئة (Brownout Reset) أثناء تسارع المحركات.</w:t>
            </w:r>
          </w:p>
          <w:p>
            <w:pPr>
              <w:spacing w:before="60" w:after="40"/>
              <w:jc w:val="right"/>
              <w:bidi w:val="1"/>
            </w:pPr>
            <w:r>
              <w:rPr>
                <w:rFonts w:ascii="Cairo" w:hAnsi="Cairo" w:cs="Cairo"/>
                <w:b/>
                <w:i w:val="0"/>
                <w:color w:val="1E3A8A"/>
                <w:sz w:val="19"/>
                <w:rtl w:val="1"/>
              </w:rPr>
              <w:t xml:space="preserve">4. الكفاءة البرمجية المتقدمة: </w:t>
            </w:r>
            <w:r>
              <w:rPr>
                <w:rFonts w:ascii="Cairo" w:hAnsi="Cairo" w:cs="Cairo"/>
                <w:b w:val="0"/>
                <w:i w:val="0"/>
                <w:color w:val="0F172A"/>
                <w:sz w:val="19"/>
                <w:rtl w:val="1"/>
              </w:rPr>
              <w:t>خوارزمية الاستكشاف تعتمد Modified Flood Fill، وخوارزمية سبرنت السرعة تعتمد Turn-Weighted A* المبنية بتقنية الذاكرة الصفرية (Zero-Allocation C99) التي تستهلك أقل من 50 بايت من الذاكرة لضمان سرعة استجابة فورية بدون أي تأخير زمني.</w:t>
            </w:r>
          </w:p>
        </w:tc>
      </w:tr>
    </w:tbl>
    <w:p>
      <w:pPr>
        <w:spacing w:before="200" w:after="80"/>
        <w:jc w:val="right"/>
        <w:bidi w:val="1"/>
        <w:pBdr>
          <w:bottom w:val="single" w:sz="8" w:space="2" w:color="2563EB"/>
        </w:pBdr>
      </w:pPr>
      <w:r>
        <w:rPr>
          <w:rFonts w:ascii="Cairo" w:hAnsi="Cairo" w:cs="Cairo"/>
          <w:b/>
          <w:i w:val="0"/>
          <w:color w:val="1E3A8A"/>
          <w:sz w:val="22"/>
          <w:rtl w:val="1"/>
        </w:rPr>
        <w:t>ثامناً: التنسيب والتواقيع الرسمية (Official Signatures)</w:t>
      </w:r>
    </w:p>
    <w:tbl>
      <w:tblPr>
        <w:tblW w:type="auto" w:w="0"/>
        <w:jc w:val="center"/>
        <w:tblLayout w:type="fixed"/>
        <w:tblLook w:firstColumn="1" w:firstRow="1" w:lastColumn="0" w:lastRow="0" w:noHBand="0" w:noVBand="1" w:val="04A0"/>
        <w:bidiVisual/>
      </w:tblPr>
      <w:tblGrid>
        <w:gridCol w:w="3289"/>
        <w:gridCol w:w="3289"/>
        <w:gridCol w:w="3289"/>
      </w:tblGrid>
      <w:tr>
        <w:tc>
          <w:tcPr>
            <w:tcW w:type="dxa" w:w="3118"/>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jc w:val="center"/>
              <w:bidi w:val="1"/>
            </w:pPr>
            <w:r>
              <w:rPr>
                <w:rFonts w:ascii="Cairo" w:hAnsi="Cairo" w:cs="Cairo"/>
                <w:b/>
                <w:i w:val="0"/>
                <w:color w:val="1E3A8A"/>
                <w:sz w:val="19"/>
                <w:rtl w:val="1"/>
              </w:rPr>
              <w:t>قائد فريق العمل</w:t>
              <w:br/>
            </w:r>
            <w:r>
              <w:rPr>
                <w:rFonts w:ascii="Cairo" w:hAnsi="Cairo" w:cs="Cairo"/>
                <w:b w:val="0"/>
                <w:i w:val="0"/>
                <w:color w:val="0F172A"/>
                <w:sz w:val="18"/>
                <w:rtl w:val="1"/>
              </w:rPr>
              <w:t>كرم احمد عصام خصاونه</w:t>
              <w:br/>
              <w:br/>
            </w:r>
            <w:r>
              <w:rPr>
                <w:rFonts w:ascii="Cairo" w:hAnsi="Cairo" w:cs="Cairo"/>
                <w:b w:val="0"/>
                <w:i w:val="0"/>
                <w:color w:val="64748B"/>
                <w:sz w:val="16"/>
                <w:rtl w:val="1"/>
              </w:rPr>
              <w:t>التوقيع: ........................</w:t>
              <w:br/>
              <w:t>التاريخ: 21 / 09 / 2026</w:t>
            </w:r>
          </w:p>
        </w:tc>
        <w:tc>
          <w:tcPr>
            <w:tcW w:type="dxa" w:w="3118"/>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jc w:val="center"/>
              <w:bidi w:val="1"/>
            </w:pPr>
            <w:r>
              <w:rPr>
                <w:rFonts w:ascii="Cairo" w:hAnsi="Cairo" w:cs="Cairo"/>
                <w:b/>
                <w:i w:val="0"/>
                <w:color w:val="1E3A8A"/>
                <w:sz w:val="19"/>
                <w:rtl w:val="1"/>
              </w:rPr>
              <w:t>مشرف المشروع الأكاديمي</w:t>
              <w:br/>
            </w:r>
            <w:r>
              <w:rPr>
                <w:rFonts w:ascii="Cairo" w:hAnsi="Cairo" w:cs="Cairo"/>
                <w:b w:val="0"/>
                <w:i w:val="0"/>
                <w:color w:val="0F172A"/>
                <w:sz w:val="18"/>
                <w:rtl w:val="1"/>
              </w:rPr>
              <w:t>الدكتورة المشرفة المحترمة</w:t>
              <w:br/>
              <w:br/>
            </w:r>
            <w:r>
              <w:rPr>
                <w:rFonts w:ascii="Cairo" w:hAnsi="Cairo" w:cs="Cairo"/>
                <w:b w:val="0"/>
                <w:i w:val="0"/>
                <w:color w:val="64748B"/>
                <w:sz w:val="16"/>
                <w:rtl w:val="1"/>
              </w:rPr>
              <w:t>الموافقة والتنسيب: ............</w:t>
              <w:br/>
              <w:t>التاريخ: .... / .... / 2026</w:t>
            </w:r>
          </w:p>
        </w:tc>
        <w:tc>
          <w:tcPr>
            <w:tcW w:type="dxa" w:w="3118"/>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jc w:val="center"/>
              <w:bidi w:val="1"/>
            </w:pPr>
            <w:r>
              <w:rPr>
                <w:rFonts w:ascii="Cairo" w:hAnsi="Cairo" w:cs="Cairo"/>
                <w:b/>
                <w:i w:val="0"/>
                <w:color w:val="1E3A8A"/>
                <w:sz w:val="19"/>
                <w:rtl w:val="1"/>
              </w:rPr>
              <w:t>عمادة كلية تكنولوجيا المعلومات</w:t>
              <w:br/>
            </w:r>
            <w:r>
              <w:rPr>
                <w:rFonts w:ascii="Cairo" w:hAnsi="Cairo" w:cs="Cairo"/>
                <w:b w:val="0"/>
                <w:i w:val="0"/>
                <w:color w:val="0F172A"/>
                <w:sz w:val="18"/>
                <w:rtl w:val="1"/>
              </w:rPr>
              <w:t>جامعة جدارا</w:t>
              <w:br/>
              <w:br/>
            </w:r>
            <w:r>
              <w:rPr>
                <w:rFonts w:ascii="Cairo" w:hAnsi="Cairo" w:cs="Cairo"/>
                <w:b w:val="0"/>
                <w:i w:val="0"/>
                <w:color w:val="64748B"/>
                <w:sz w:val="16"/>
                <w:rtl w:val="1"/>
              </w:rPr>
              <w:t>الختم الرسمي والاعتماد: ......</w:t>
              <w:br/>
              <w:t>التاريخ: .... / .... / 2026</w:t>
            </w:r>
          </w:p>
        </w:tc>
      </w:tr>
    </w:tbl>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Cairo" w:hAnsi="Cairo" w:cs="Cairo"/>
        <w:b w:val="0"/>
        <w:i w:val="0"/>
        <w:color w:val="64748B"/>
        <w:sz w:val="16"/>
        <w:rtl w:val="1"/>
      </w:rPr>
      <w:t>المملكة الأردنية الهاشمية — جامعة جدارا | كلية تكنولوجيا المعلومات (قسم الروبوتات والذكاء الاصطناعي)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