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AB0" w:rsidRPr="00AE2AB0" w:rsidRDefault="00AE2AB0" w:rsidP="00AE2AB0">
      <w:pPr>
        <w:rPr>
          <w:rFonts w:ascii="Tahoma" w:hAnsi="Tahoma" w:cs="Tahoma"/>
          <w:bCs/>
          <w:sz w:val="20"/>
          <w:szCs w:val="20"/>
        </w:rPr>
      </w:pPr>
      <w:r w:rsidRPr="00AE2AB0">
        <w:rPr>
          <w:rFonts w:ascii="Tahoma" w:hAnsi="Tahoma" w:cs="Tahoma"/>
          <w:bCs/>
          <w:sz w:val="20"/>
          <w:szCs w:val="20"/>
        </w:rPr>
        <w:t>Châu Âu sắp khai tử bóng đèn sợi đốt</w:t>
      </w:r>
      <w:bookmarkStart w:id="0" w:name="_GoBack"/>
      <w:bookmarkEnd w:id="0"/>
    </w:p>
    <w:p w:rsidR="00AE2AB0" w:rsidRPr="00AE2AB0" w:rsidRDefault="00AE2AB0" w:rsidP="00AE2AB0">
      <w:pPr>
        <w:rPr>
          <w:rFonts w:ascii="Tahoma" w:hAnsi="Tahoma" w:cs="Tahoma"/>
          <w:bCs/>
          <w:sz w:val="20"/>
          <w:szCs w:val="20"/>
        </w:rPr>
      </w:pPr>
      <w:r w:rsidRPr="00AE2AB0">
        <w:rPr>
          <w:rFonts w:ascii="Tahoma" w:hAnsi="Tahoma" w:cs="Tahoma"/>
          <w:bCs/>
          <w:sz w:val="20"/>
          <w:szCs w:val="20"/>
        </w:rPr>
        <w:t>Liên minh châu Âu (EU) sẽ chấm dứt việc sản xuất bóng sợi đốt truyền thống từ tháng 9/ 2012 và chuyển sang sử dụng các loại bóng tiết kiệm năng lượng.</w:t>
      </w:r>
    </w:p>
    <w:p w:rsidR="00AE2AB0" w:rsidRPr="00AE2AB0" w:rsidRDefault="00AE2AB0" w:rsidP="00AE2AB0">
      <w:pPr>
        <w:rPr>
          <w:rFonts w:ascii="Tahoma" w:hAnsi="Tahoma" w:cs="Tahoma"/>
          <w:sz w:val="20"/>
          <w:szCs w:val="20"/>
        </w:rPr>
      </w:pPr>
      <w:r w:rsidRPr="00AE2AB0">
        <w:rPr>
          <w:rFonts w:ascii="Tahoma" w:hAnsi="Tahoma" w:cs="Tahoma"/>
          <w:sz w:val="20"/>
          <w:szCs w:val="20"/>
        </w:rPr>
        <w:t xml:space="preserve">Phần lớn bóng sợi đốt đang được bán và sử dụng tại châu Âu là loại bóng mà Thomas Edison phát minh vào năm 1879. Trong gần 130 năm qua, cấu tạo của loại bóng này hầu như không thay đổi. Một báo cáo của EU khẳng định lục địa già sẽ tiết kiệm khoảng 12 tỷ USD tiền điện mỗi năm nếu sử dụng những loại bóng tiêu thụ điện năng thấp hơn. Lượng điện tiết kiệm này đủ cung cấp cho 11 triệu hộ gia đình trong một năm. </w:t>
      </w:r>
    </w:p>
    <w:p w:rsidR="00AE2AB0" w:rsidRPr="00AE2AB0" w:rsidRDefault="00AE2AB0" w:rsidP="00AE2AB0">
      <w:pPr>
        <w:rPr>
          <w:rFonts w:ascii="Tahoma" w:hAnsi="Tahoma" w:cs="Tahoma"/>
          <w:sz w:val="20"/>
          <w:szCs w:val="20"/>
        </w:rPr>
      </w:pPr>
      <w:r w:rsidRPr="00AE2AB0">
        <w:rPr>
          <w:rFonts w:ascii="Tahoma" w:hAnsi="Tahoma" w:cs="Tahoma"/>
          <w:sz w:val="20"/>
          <w:szCs w:val="20"/>
        </w:rPr>
        <w:t xml:space="preserve">Do đó, từ tháng 9 năm sau, các cửa hàng tại châu Âu sẽ chỉ được phép bán những loại đèn sợi đốt có công suất tiêu thụ nhỏ hơn 100 W. Tới tháng 9/2012, các hộ gia đình trên toàn lục địa sẽ chấm dứt việc sử dụng đèn sợi đốt. Đây là nội dung của một đề xuất mà EU đưa ra tại </w:t>
      </w:r>
      <w:smartTag w:uri="urn:schemas-microsoft-com:office:smarttags" w:element="City">
        <w:smartTag w:uri="urn:schemas-microsoft-com:office:smarttags" w:element="place">
          <w:r w:rsidRPr="00AE2AB0">
            <w:rPr>
              <w:rFonts w:ascii="Tahoma" w:hAnsi="Tahoma" w:cs="Tahoma"/>
              <w:sz w:val="20"/>
              <w:szCs w:val="20"/>
            </w:rPr>
            <w:t>Brussels</w:t>
          </w:r>
        </w:smartTag>
      </w:smartTag>
      <w:r w:rsidRPr="00AE2AB0">
        <w:rPr>
          <w:rFonts w:ascii="Tahoma" w:hAnsi="Tahoma" w:cs="Tahoma"/>
          <w:sz w:val="20"/>
          <w:szCs w:val="20"/>
        </w:rPr>
        <w:t xml:space="preserve"> vào ngày 8/12.</w:t>
      </w:r>
    </w:p>
    <w:p w:rsidR="00AE2AB0" w:rsidRPr="00AE2AB0" w:rsidRDefault="00AE2AB0" w:rsidP="00AE2AB0">
      <w:pPr>
        <w:rPr>
          <w:rFonts w:ascii="Tahoma" w:hAnsi="Tahoma" w:cs="Tahoma"/>
          <w:sz w:val="20"/>
          <w:szCs w:val="20"/>
        </w:rPr>
      </w:pPr>
      <w:r w:rsidRPr="00AE2AB0">
        <w:rPr>
          <w:rFonts w:ascii="Tahoma" w:hAnsi="Tahoma" w:cs="Tahoma"/>
          <w:sz w:val="20"/>
          <w:szCs w:val="20"/>
        </w:rPr>
        <w:t>"Quyết định này sẽ thay đổi cách chúng ta tiêu thụ năng lượng, đồng thời làm giảm 15 triệu tấn CO2 trong khí quyển mỗi năm. Hóa đơn tiền điện hàng năm của mỗi hộ gia đình trên lãnh thổ châu Âu sẽ giảm trung bình 50 euro", Andris Piebalgs, Cao ủy phụ trách năng lượng của EU, phát biểu.</w:t>
      </w:r>
    </w:p>
    <w:p w:rsidR="00AE2AB0" w:rsidRPr="00AE2AB0" w:rsidRDefault="00AE2AB0" w:rsidP="00AE2AB0">
      <w:pPr>
        <w:rPr>
          <w:rFonts w:ascii="Tahoma" w:hAnsi="Tahoma" w:cs="Tahoma"/>
          <w:sz w:val="20"/>
          <w:szCs w:val="20"/>
        </w:rPr>
      </w:pPr>
      <w:r w:rsidRPr="00AE2AB0">
        <w:rPr>
          <w:rFonts w:ascii="Tahoma" w:hAnsi="Tahoma" w:cs="Tahoma"/>
          <w:sz w:val="20"/>
          <w:szCs w:val="20"/>
        </w:rPr>
        <w:t>Theo ước tính của báo cáo, khoảng 85% bóng sợi đốt tại châu Âu đang tiêu tốn quá nhiều điện. Trong khi đó, các nước EU đã đồng ý cắt giảm 20% lượng điện tiêu thụ từ nay tới năm 2020 để khắc phục hiệu ứng nhà kính.</w:t>
      </w:r>
    </w:p>
    <w:p w:rsidR="00AE2AB0" w:rsidRPr="00AE2AB0" w:rsidRDefault="00AE2AB0" w:rsidP="00AE2AB0">
      <w:pPr>
        <w:rPr>
          <w:rFonts w:ascii="Tahoma" w:hAnsi="Tahoma" w:cs="Tahoma"/>
          <w:sz w:val="20"/>
          <w:szCs w:val="20"/>
        </w:rPr>
      </w:pPr>
      <w:r w:rsidRPr="00AE2AB0">
        <w:rPr>
          <w:rFonts w:ascii="Tahoma" w:hAnsi="Tahoma" w:cs="Tahoma"/>
          <w:sz w:val="20"/>
          <w:szCs w:val="20"/>
        </w:rPr>
        <w:t>Những loại bóng đèn mới, như đèn compact huỳnh quang, có thể giúp các hộ gia đình tiết kiệm tối đa 80% lượng điện dành cho đèn sợi đốt truyền thống. Andris Piebalgs cho biết việc loại bỏ đèn sợi đốt phải được tiến hành từng bước để các công ty sản xuất bóng đèn có thời gian lắp đặt và ứng dụng các công nghệ mới, nhờ đó mà chất lượng bóng đèn được đảm bảo.</w:t>
      </w:r>
    </w:p>
    <w:p w:rsidR="007337AF" w:rsidRDefault="007337AF" w:rsidP="007337AF">
      <w:pPr>
        <w:rPr>
          <w:rFonts w:ascii="Tahoma" w:hAnsi="Tahoma" w:cs="Tahoma"/>
          <w:sz w:val="20"/>
          <w:szCs w:val="20"/>
        </w:rPr>
      </w:pPr>
    </w:p>
    <w:p w:rsidR="007337AF" w:rsidRDefault="007337AF" w:rsidP="007337AF">
      <w:pPr>
        <w:rPr>
          <w:rFonts w:ascii="Tahoma" w:hAnsi="Tahoma" w:cs="Tahoma"/>
          <w:sz w:val="20"/>
          <w:szCs w:val="20"/>
        </w:rPr>
      </w:pPr>
      <w:r>
        <w:rPr>
          <w:rFonts w:ascii="Tahoma" w:hAnsi="Tahoma" w:cs="Tahoma"/>
          <w:sz w:val="20"/>
          <w:szCs w:val="20"/>
        </w:rPr>
        <w:t>GIÁ VÀNG TRONG N</w:t>
      </w:r>
      <w:r w:rsidR="0095662A">
        <w:rPr>
          <w:rFonts w:ascii="Tahoma" w:hAnsi="Tahoma" w:cs="Tahoma"/>
          <w:sz w:val="20"/>
          <w:szCs w:val="20"/>
        </w:rPr>
        <w:t>GÀY</w:t>
      </w:r>
    </w:p>
    <w:p w:rsidR="006727CB" w:rsidRPr="00AE2AB0" w:rsidRDefault="006727CB" w:rsidP="007337AF">
      <w:pPr>
        <w:rPr>
          <w:rFonts w:ascii="Tahoma" w:hAnsi="Tahoma" w:cs="Tahoma"/>
          <w:sz w:val="20"/>
          <w:szCs w:val="20"/>
        </w:rPr>
      </w:pPr>
      <w:r>
        <w:rPr>
          <w:rFonts w:ascii="Tahoma" w:hAnsi="Tahoma" w:cs="Tahoma"/>
          <w:sz w:val="20"/>
          <w:szCs w:val="20"/>
        </w:rPr>
        <w:t>SJC</w:t>
      </w:r>
      <w:r>
        <w:rPr>
          <w:rFonts w:ascii="Tahoma" w:hAnsi="Tahoma" w:cs="Tahoma"/>
          <w:sz w:val="20"/>
          <w:szCs w:val="20"/>
        </w:rPr>
        <w:tab/>
        <w:t>PNJ</w:t>
      </w:r>
    </w:p>
    <w:p w:rsidR="000E7357" w:rsidRDefault="000E7357" w:rsidP="00E2695E">
      <w:pPr>
        <w:rPr>
          <w:rFonts w:ascii="Tahoma" w:hAnsi="Tahoma" w:cs="Tahoma"/>
          <w:sz w:val="20"/>
          <w:szCs w:val="20"/>
        </w:rPr>
      </w:pPr>
      <w:r>
        <w:rPr>
          <w:rFonts w:ascii="Tahoma" w:hAnsi="Tahoma" w:cs="Tahoma"/>
          <w:sz w:val="20"/>
          <w:szCs w:val="20"/>
        </w:rPr>
        <w:t>VÀNG</w:t>
      </w:r>
      <w:r w:rsidR="006727CB">
        <w:rPr>
          <w:rFonts w:ascii="Tahoma" w:hAnsi="Tahoma" w:cs="Tahoma"/>
          <w:sz w:val="20"/>
          <w:szCs w:val="20"/>
        </w:rPr>
        <w:tab/>
      </w:r>
      <w:r>
        <w:rPr>
          <w:rFonts w:ascii="Tahoma" w:hAnsi="Tahoma" w:cs="Tahoma"/>
          <w:sz w:val="20"/>
          <w:szCs w:val="20"/>
        </w:rPr>
        <w:t>Mua</w:t>
      </w:r>
      <w:r w:rsidR="006727CB">
        <w:rPr>
          <w:rFonts w:ascii="Tahoma" w:hAnsi="Tahoma" w:cs="Tahoma"/>
          <w:sz w:val="20"/>
          <w:szCs w:val="20"/>
        </w:rPr>
        <w:tab/>
      </w:r>
      <w:r>
        <w:rPr>
          <w:rFonts w:ascii="Tahoma" w:hAnsi="Tahoma" w:cs="Tahoma"/>
          <w:sz w:val="20"/>
          <w:szCs w:val="20"/>
        </w:rPr>
        <w:t>Bán</w:t>
      </w:r>
      <w:r w:rsidR="006727CB">
        <w:rPr>
          <w:rFonts w:ascii="Tahoma" w:hAnsi="Tahoma" w:cs="Tahoma"/>
          <w:sz w:val="20"/>
          <w:szCs w:val="20"/>
        </w:rPr>
        <w:tab/>
      </w:r>
      <w:r>
        <w:rPr>
          <w:rFonts w:ascii="Tahoma" w:hAnsi="Tahoma" w:cs="Tahoma"/>
          <w:sz w:val="20"/>
          <w:szCs w:val="20"/>
        </w:rPr>
        <w:t>Mua</w:t>
      </w:r>
      <w:r w:rsidR="006727CB">
        <w:rPr>
          <w:rFonts w:ascii="Tahoma" w:hAnsi="Tahoma" w:cs="Tahoma"/>
          <w:sz w:val="20"/>
          <w:szCs w:val="20"/>
        </w:rPr>
        <w:tab/>
      </w:r>
      <w:r>
        <w:rPr>
          <w:rFonts w:ascii="Tahoma" w:hAnsi="Tahoma" w:cs="Tahoma"/>
          <w:sz w:val="20"/>
          <w:szCs w:val="20"/>
        </w:rPr>
        <w:t>Bán</w:t>
      </w:r>
    </w:p>
    <w:p w:rsidR="000E7357" w:rsidRDefault="000E7357" w:rsidP="00E2695E">
      <w:pPr>
        <w:rPr>
          <w:rFonts w:ascii="Tahoma" w:hAnsi="Tahoma" w:cs="Tahoma"/>
          <w:sz w:val="20"/>
          <w:szCs w:val="20"/>
        </w:rPr>
      </w:pPr>
      <w:r>
        <w:rPr>
          <w:rFonts w:ascii="Tahoma" w:hAnsi="Tahoma" w:cs="Tahoma"/>
          <w:sz w:val="20"/>
          <w:szCs w:val="20"/>
        </w:rPr>
        <w:t>Hà Nội</w:t>
      </w:r>
      <w:r w:rsidR="006727CB">
        <w:rPr>
          <w:rFonts w:ascii="Tahoma" w:hAnsi="Tahoma" w:cs="Tahoma"/>
          <w:sz w:val="20"/>
          <w:szCs w:val="20"/>
        </w:rPr>
        <w:tab/>
      </w:r>
      <w:r>
        <w:rPr>
          <w:rFonts w:ascii="Tahoma" w:hAnsi="Tahoma" w:cs="Tahoma"/>
          <w:sz w:val="20"/>
          <w:szCs w:val="20"/>
        </w:rPr>
        <w:t>2.365</w:t>
      </w:r>
      <w:r w:rsidR="006727CB">
        <w:rPr>
          <w:rFonts w:ascii="Tahoma" w:hAnsi="Tahoma" w:cs="Tahoma"/>
          <w:sz w:val="20"/>
          <w:szCs w:val="20"/>
        </w:rPr>
        <w:tab/>
      </w:r>
      <w:r>
        <w:rPr>
          <w:rFonts w:ascii="Tahoma" w:hAnsi="Tahoma" w:cs="Tahoma"/>
          <w:sz w:val="20"/>
          <w:szCs w:val="20"/>
        </w:rPr>
        <w:t>2.372</w:t>
      </w:r>
      <w:r w:rsidR="006727CB">
        <w:rPr>
          <w:rFonts w:ascii="Tahoma" w:hAnsi="Tahoma" w:cs="Tahoma"/>
          <w:sz w:val="20"/>
          <w:szCs w:val="20"/>
        </w:rPr>
        <w:tab/>
      </w:r>
      <w:r>
        <w:rPr>
          <w:rFonts w:ascii="Tahoma" w:hAnsi="Tahoma" w:cs="Tahoma"/>
          <w:sz w:val="20"/>
          <w:szCs w:val="20"/>
        </w:rPr>
        <w:t>2.357</w:t>
      </w:r>
      <w:r w:rsidR="006727CB">
        <w:rPr>
          <w:rFonts w:ascii="Tahoma" w:hAnsi="Tahoma" w:cs="Tahoma"/>
          <w:sz w:val="20"/>
          <w:szCs w:val="20"/>
        </w:rPr>
        <w:tab/>
      </w:r>
      <w:r>
        <w:rPr>
          <w:rFonts w:ascii="Tahoma" w:hAnsi="Tahoma" w:cs="Tahoma"/>
          <w:sz w:val="20"/>
          <w:szCs w:val="20"/>
        </w:rPr>
        <w:t>2.367</w:t>
      </w:r>
    </w:p>
    <w:p w:rsidR="000E7357" w:rsidRDefault="000E7357" w:rsidP="00E2695E">
      <w:pPr>
        <w:rPr>
          <w:rFonts w:ascii="Tahoma" w:hAnsi="Tahoma" w:cs="Tahoma"/>
          <w:sz w:val="20"/>
          <w:szCs w:val="20"/>
        </w:rPr>
      </w:pPr>
      <w:r>
        <w:rPr>
          <w:rFonts w:ascii="Tahoma" w:hAnsi="Tahoma" w:cs="Tahoma"/>
          <w:sz w:val="20"/>
          <w:szCs w:val="20"/>
        </w:rPr>
        <w:t>TP.HCM</w:t>
      </w:r>
      <w:r w:rsidR="006727CB">
        <w:rPr>
          <w:rFonts w:ascii="Tahoma" w:hAnsi="Tahoma" w:cs="Tahoma"/>
          <w:sz w:val="20"/>
          <w:szCs w:val="20"/>
        </w:rPr>
        <w:tab/>
      </w:r>
      <w:r>
        <w:rPr>
          <w:rFonts w:ascii="Tahoma" w:hAnsi="Tahoma" w:cs="Tahoma"/>
          <w:sz w:val="20"/>
          <w:szCs w:val="20"/>
        </w:rPr>
        <w:t>2.365</w:t>
      </w:r>
      <w:r w:rsidR="006727CB">
        <w:rPr>
          <w:rFonts w:ascii="Tahoma" w:hAnsi="Tahoma" w:cs="Tahoma"/>
          <w:sz w:val="20"/>
          <w:szCs w:val="20"/>
        </w:rPr>
        <w:tab/>
      </w:r>
      <w:r>
        <w:rPr>
          <w:rFonts w:ascii="Tahoma" w:hAnsi="Tahoma" w:cs="Tahoma"/>
          <w:sz w:val="20"/>
          <w:szCs w:val="20"/>
        </w:rPr>
        <w:t>2.370</w:t>
      </w:r>
      <w:r w:rsidR="006727CB">
        <w:rPr>
          <w:rFonts w:ascii="Tahoma" w:hAnsi="Tahoma" w:cs="Tahoma"/>
          <w:sz w:val="20"/>
          <w:szCs w:val="20"/>
        </w:rPr>
        <w:tab/>
      </w:r>
      <w:r>
        <w:rPr>
          <w:rFonts w:ascii="Tahoma" w:hAnsi="Tahoma" w:cs="Tahoma"/>
          <w:sz w:val="20"/>
          <w:szCs w:val="20"/>
        </w:rPr>
        <w:t>2.357</w:t>
      </w:r>
      <w:r w:rsidR="006727CB">
        <w:rPr>
          <w:rFonts w:ascii="Tahoma" w:hAnsi="Tahoma" w:cs="Tahoma"/>
          <w:sz w:val="20"/>
          <w:szCs w:val="20"/>
        </w:rPr>
        <w:tab/>
      </w:r>
      <w:r>
        <w:rPr>
          <w:rFonts w:ascii="Tahoma" w:hAnsi="Tahoma" w:cs="Tahoma"/>
          <w:sz w:val="20"/>
          <w:szCs w:val="20"/>
        </w:rPr>
        <w:t>2.367</w:t>
      </w:r>
    </w:p>
    <w:p w:rsidR="000E7357" w:rsidRDefault="000E7357" w:rsidP="00E2695E">
      <w:pPr>
        <w:rPr>
          <w:rFonts w:ascii="Tahoma" w:hAnsi="Tahoma" w:cs="Tahoma"/>
          <w:sz w:val="20"/>
          <w:szCs w:val="20"/>
        </w:rPr>
      </w:pPr>
      <w:r>
        <w:rPr>
          <w:rFonts w:ascii="Tahoma" w:hAnsi="Tahoma" w:cs="Tahoma"/>
          <w:sz w:val="20"/>
          <w:szCs w:val="20"/>
        </w:rPr>
        <w:t>Đà Nẳng</w:t>
      </w:r>
      <w:r w:rsidR="006727CB">
        <w:rPr>
          <w:rFonts w:ascii="Tahoma" w:hAnsi="Tahoma" w:cs="Tahoma"/>
          <w:sz w:val="20"/>
          <w:szCs w:val="20"/>
        </w:rPr>
        <w:tab/>
      </w:r>
      <w:r>
        <w:rPr>
          <w:rFonts w:ascii="Tahoma" w:hAnsi="Tahoma" w:cs="Tahoma"/>
          <w:sz w:val="20"/>
          <w:szCs w:val="20"/>
        </w:rPr>
        <w:t>2.365</w:t>
      </w:r>
      <w:r w:rsidR="006727CB">
        <w:rPr>
          <w:rFonts w:ascii="Tahoma" w:hAnsi="Tahoma" w:cs="Tahoma"/>
          <w:sz w:val="20"/>
          <w:szCs w:val="20"/>
        </w:rPr>
        <w:tab/>
      </w:r>
      <w:r>
        <w:rPr>
          <w:rFonts w:ascii="Tahoma" w:hAnsi="Tahoma" w:cs="Tahoma"/>
          <w:sz w:val="20"/>
          <w:szCs w:val="20"/>
        </w:rPr>
        <w:t>2.370</w:t>
      </w:r>
      <w:r w:rsidR="006727CB">
        <w:rPr>
          <w:rFonts w:ascii="Tahoma" w:hAnsi="Tahoma" w:cs="Tahoma"/>
          <w:sz w:val="20"/>
          <w:szCs w:val="20"/>
        </w:rPr>
        <w:tab/>
      </w:r>
      <w:r>
        <w:rPr>
          <w:rFonts w:ascii="Tahoma" w:hAnsi="Tahoma" w:cs="Tahoma"/>
          <w:sz w:val="20"/>
          <w:szCs w:val="20"/>
        </w:rPr>
        <w:t>2.357</w:t>
      </w:r>
      <w:r w:rsidR="006727CB">
        <w:rPr>
          <w:rFonts w:ascii="Tahoma" w:hAnsi="Tahoma" w:cs="Tahoma"/>
          <w:sz w:val="20"/>
          <w:szCs w:val="20"/>
        </w:rPr>
        <w:tab/>
      </w:r>
      <w:r>
        <w:rPr>
          <w:rFonts w:ascii="Tahoma" w:hAnsi="Tahoma" w:cs="Tahoma"/>
          <w:sz w:val="20"/>
          <w:szCs w:val="20"/>
        </w:rPr>
        <w:t>2.367</w:t>
      </w:r>
    </w:p>
    <w:p w:rsidR="000E7357" w:rsidRDefault="000E7357" w:rsidP="00E2695E">
      <w:pPr>
        <w:rPr>
          <w:rFonts w:ascii="Tahoma" w:hAnsi="Tahoma" w:cs="Tahoma"/>
          <w:sz w:val="20"/>
          <w:szCs w:val="20"/>
        </w:rPr>
      </w:pPr>
      <w:r>
        <w:rPr>
          <w:rFonts w:ascii="Tahoma" w:hAnsi="Tahoma" w:cs="Tahoma"/>
          <w:sz w:val="20"/>
          <w:szCs w:val="20"/>
        </w:rPr>
        <w:t>Cần Thơ</w:t>
      </w:r>
      <w:r w:rsidR="006727CB">
        <w:rPr>
          <w:rFonts w:ascii="Tahoma" w:hAnsi="Tahoma" w:cs="Tahoma"/>
          <w:sz w:val="20"/>
          <w:szCs w:val="20"/>
        </w:rPr>
        <w:tab/>
      </w:r>
      <w:r>
        <w:rPr>
          <w:rFonts w:ascii="Tahoma" w:hAnsi="Tahoma" w:cs="Tahoma"/>
          <w:sz w:val="20"/>
          <w:szCs w:val="20"/>
        </w:rPr>
        <w:t>2.365</w:t>
      </w:r>
      <w:r w:rsidR="006727CB">
        <w:rPr>
          <w:rFonts w:ascii="Tahoma" w:hAnsi="Tahoma" w:cs="Tahoma"/>
          <w:sz w:val="20"/>
          <w:szCs w:val="20"/>
        </w:rPr>
        <w:tab/>
      </w:r>
      <w:r>
        <w:rPr>
          <w:rFonts w:ascii="Tahoma" w:hAnsi="Tahoma" w:cs="Tahoma"/>
          <w:sz w:val="20"/>
          <w:szCs w:val="20"/>
        </w:rPr>
        <w:t>2.370</w:t>
      </w:r>
      <w:r w:rsidR="006727CB">
        <w:rPr>
          <w:rFonts w:ascii="Tahoma" w:hAnsi="Tahoma" w:cs="Tahoma"/>
          <w:sz w:val="20"/>
          <w:szCs w:val="20"/>
        </w:rPr>
        <w:tab/>
      </w:r>
      <w:r>
        <w:rPr>
          <w:rFonts w:ascii="Tahoma" w:hAnsi="Tahoma" w:cs="Tahoma"/>
          <w:sz w:val="20"/>
          <w:szCs w:val="20"/>
        </w:rPr>
        <w:t>2.357</w:t>
      </w:r>
      <w:r w:rsidR="006727CB">
        <w:rPr>
          <w:rFonts w:ascii="Tahoma" w:hAnsi="Tahoma" w:cs="Tahoma"/>
          <w:sz w:val="20"/>
          <w:szCs w:val="20"/>
        </w:rPr>
        <w:tab/>
      </w:r>
      <w:r>
        <w:rPr>
          <w:rFonts w:ascii="Tahoma" w:hAnsi="Tahoma" w:cs="Tahoma"/>
          <w:sz w:val="20"/>
          <w:szCs w:val="20"/>
        </w:rPr>
        <w:t>2.367</w:t>
      </w:r>
    </w:p>
    <w:p w:rsidR="00774D84" w:rsidRPr="00AE2AB0" w:rsidRDefault="00774D84" w:rsidP="00E2695E">
      <w:pPr>
        <w:rPr>
          <w:rFonts w:ascii="Tahoma" w:hAnsi="Tahoma" w:cs="Tahoma"/>
          <w:sz w:val="20"/>
          <w:szCs w:val="20"/>
        </w:rPr>
      </w:pPr>
    </w:p>
    <w:p w:rsidR="00E2695E" w:rsidRDefault="006324A9" w:rsidP="00E2695E">
      <w:pPr>
        <w:rPr>
          <w:rFonts w:ascii="Tahoma" w:hAnsi="Tahoma" w:cs="Tahoma"/>
          <w:sz w:val="20"/>
          <w:szCs w:val="20"/>
        </w:rPr>
      </w:pPr>
      <w:r>
        <w:rPr>
          <w:rFonts w:ascii="Tahoma" w:hAnsi="Tahoma" w:cs="Tahoma"/>
          <w:noProof/>
          <w:sz w:val="20"/>
          <w:szCs w:val="20"/>
        </w:rPr>
        <w:drawing>
          <wp:inline distT="0" distB="0" distL="0" distR="0">
            <wp:extent cx="2362200" cy="1685925"/>
            <wp:effectExtent l="0" t="0" r="0" b="9525"/>
            <wp:docPr id="1" name="Picture 1" descr="Ảnh: A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AFP."/>
                    <pic:cNvPicPr>
                      <a:picLocks noChangeAspect="1" noChangeArrowheads="1"/>
                    </pic:cNvPicPr>
                  </pic:nvPicPr>
                  <pic:blipFill>
                    <a:blip r:embed="rId4"/>
                    <a:srcRect/>
                    <a:stretch>
                      <a:fillRect/>
                    </a:stretch>
                  </pic:blipFill>
                  <pic:spPr bwMode="auto">
                    <a:xfrm>
                      <a:off x="0" y="0"/>
                      <a:ext cx="2362200" cy="1685925"/>
                    </a:xfrm>
                    <a:prstGeom prst="rect">
                      <a:avLst/>
                    </a:prstGeom>
                    <a:noFill/>
                    <a:ln w="9525">
                      <a:noFill/>
                      <a:miter lim="800000"/>
                      <a:headEnd/>
                      <a:tailEnd/>
                    </a:ln>
                  </pic:spPr>
                </pic:pic>
              </a:graphicData>
            </a:graphic>
          </wp:inline>
        </w:drawing>
      </w:r>
    </w:p>
    <w:p w:rsidR="00AE2AB0" w:rsidRDefault="00AE2AB0" w:rsidP="00E2695E">
      <w:pPr>
        <w:rPr>
          <w:rFonts w:ascii="Tahoma" w:hAnsi="Tahoma" w:cs="Tahoma"/>
          <w:sz w:val="20"/>
          <w:szCs w:val="20"/>
        </w:rPr>
      </w:pPr>
    </w:p>
    <w:p w:rsidR="00AE2AB0" w:rsidRDefault="00AE2AB0" w:rsidP="00E2695E">
      <w:pPr>
        <w:rPr>
          <w:rFonts w:ascii="Tahoma" w:hAnsi="Tahoma" w:cs="Tahoma"/>
          <w:sz w:val="20"/>
          <w:szCs w:val="20"/>
        </w:rPr>
      </w:pPr>
      <w:r w:rsidRPr="00AE2AB0">
        <w:rPr>
          <w:rFonts w:ascii="Tahoma" w:hAnsi="Tahoma" w:cs="Tahoma"/>
          <w:sz w:val="20"/>
          <w:szCs w:val="20"/>
        </w:rPr>
        <w:t>Cấu tạo của đèn sợi đốt hầu như không thay đổi kể từ khi chúng được Thomas Edison phát minh cách đây 129 năm</w:t>
      </w:r>
    </w:p>
    <w:p w:rsidR="000A7ED0" w:rsidRPr="00AE2AB0" w:rsidRDefault="000A7ED0" w:rsidP="00E2695E">
      <w:pPr>
        <w:rPr>
          <w:rFonts w:ascii="Tahoma" w:hAnsi="Tahoma" w:cs="Tahoma"/>
          <w:sz w:val="20"/>
          <w:szCs w:val="20"/>
        </w:rPr>
      </w:pPr>
    </w:p>
    <w:sectPr w:rsidR="000A7ED0" w:rsidRPr="00AE2AB0" w:rsidSect="00676CE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95E"/>
    <w:rsid w:val="000A7ED0"/>
    <w:rsid w:val="000E7357"/>
    <w:rsid w:val="001E5FB7"/>
    <w:rsid w:val="00320974"/>
    <w:rsid w:val="006324A9"/>
    <w:rsid w:val="006727CB"/>
    <w:rsid w:val="00676CE2"/>
    <w:rsid w:val="007337AF"/>
    <w:rsid w:val="00774D84"/>
    <w:rsid w:val="007B45CA"/>
    <w:rsid w:val="0083502D"/>
    <w:rsid w:val="0095662A"/>
    <w:rsid w:val="009A049F"/>
    <w:rsid w:val="00AE2AB0"/>
    <w:rsid w:val="00C50C3B"/>
    <w:rsid w:val="00E2695E"/>
    <w:rsid w:val="00F44E79"/>
    <w:rsid w:val="00F542F5"/>
    <w:rsid w:val="00F5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BF788CF5-B86D-4224-A37C-77645742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E2695E"/>
    <w:pPr>
      <w:spacing w:after="100" w:afterAutospacing="1"/>
    </w:pPr>
    <w:rPr>
      <w:rFonts w:ascii="Times New Roman" w:hAnsi="Times New Roman"/>
      <w:b/>
      <w:bCs/>
      <w:sz w:val="28"/>
      <w:szCs w:val="28"/>
    </w:rPr>
  </w:style>
  <w:style w:type="paragraph" w:customStyle="1" w:styleId="Subtitle1">
    <w:name w:val="Subtitle1"/>
    <w:basedOn w:val="Normal"/>
    <w:rsid w:val="00E2695E"/>
    <w:pPr>
      <w:spacing w:before="100" w:beforeAutospacing="1" w:after="100" w:afterAutospacing="1"/>
    </w:pPr>
    <w:rPr>
      <w:rFonts w:ascii="Times New Roman" w:hAnsi="Times New Roman"/>
      <w:b/>
      <w:bCs/>
      <w:color w:val="5F5F5F"/>
    </w:rPr>
  </w:style>
  <w:style w:type="paragraph" w:customStyle="1" w:styleId="Normal1">
    <w:name w:val="Normal1"/>
    <w:basedOn w:val="Normal"/>
    <w:rsid w:val="00E2695E"/>
    <w:pPr>
      <w:spacing w:before="100" w:beforeAutospacing="1" w:after="100" w:afterAutospacing="1"/>
    </w:pPr>
    <w:rPr>
      <w:rFonts w:ascii="Times New Roman" w:hAnsi="Times New Roman"/>
      <w:color w:val="000000"/>
    </w:rPr>
  </w:style>
  <w:style w:type="paragraph" w:customStyle="1" w:styleId="lead">
    <w:name w:val="lead"/>
    <w:basedOn w:val="Normal"/>
    <w:rsid w:val="00E2695E"/>
    <w:pPr>
      <w:spacing w:before="100" w:beforeAutospacing="1" w:after="100" w:afterAutospacing="1"/>
    </w:pPr>
    <w:rPr>
      <w:rFonts w:ascii="Times New Roman" w:hAnsi="Times New Roman"/>
      <w:b/>
      <w:bCs/>
      <w:color w:val="5F5F5F"/>
      <w:sz w:val="22"/>
      <w:szCs w:val="22"/>
    </w:rPr>
  </w:style>
  <w:style w:type="table" w:styleId="TableGrid">
    <w:name w:val="Table Grid"/>
    <w:basedOn w:val="TableNormal"/>
    <w:rsid w:val="00774D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E2AB0"/>
    <w:rPr>
      <w:i/>
      <w:iCs/>
    </w:rPr>
  </w:style>
  <w:style w:type="character" w:styleId="Strong">
    <w:name w:val="Strong"/>
    <w:basedOn w:val="DefaultParagraphFont"/>
    <w:qFormat/>
    <w:rsid w:val="00AE2AB0"/>
    <w:rPr>
      <w:b/>
      <w:bCs/>
    </w:rPr>
  </w:style>
  <w:style w:type="paragraph" w:styleId="BalloonText">
    <w:name w:val="Balloon Text"/>
    <w:basedOn w:val="Normal"/>
    <w:link w:val="BalloonTextChar"/>
    <w:rsid w:val="00F542F5"/>
    <w:rPr>
      <w:rFonts w:ascii="Tahoma" w:hAnsi="Tahoma" w:cs="Tahoma"/>
      <w:sz w:val="16"/>
      <w:szCs w:val="16"/>
    </w:rPr>
  </w:style>
  <w:style w:type="character" w:customStyle="1" w:styleId="BalloonTextChar">
    <w:name w:val="Balloon Text Char"/>
    <w:basedOn w:val="DefaultParagraphFont"/>
    <w:link w:val="BalloonText"/>
    <w:rsid w:val="00F542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000473">
      <w:bodyDiv w:val="1"/>
      <w:marLeft w:val="0"/>
      <w:marRight w:val="0"/>
      <w:marTop w:val="45"/>
      <w:marBottom w:val="45"/>
      <w:divBdr>
        <w:top w:val="none" w:sz="0" w:space="0" w:color="auto"/>
        <w:left w:val="none" w:sz="0" w:space="0" w:color="auto"/>
        <w:bottom w:val="none" w:sz="0" w:space="0" w:color="auto"/>
        <w:right w:val="none" w:sz="0" w:space="0" w:color="auto"/>
      </w:divBdr>
      <w:divsChild>
        <w:div w:id="619529459">
          <w:marLeft w:val="0"/>
          <w:marRight w:val="0"/>
          <w:marTop w:val="0"/>
          <w:marBottom w:val="0"/>
          <w:divBdr>
            <w:top w:val="none" w:sz="0" w:space="0" w:color="auto"/>
            <w:left w:val="none" w:sz="0" w:space="0" w:color="auto"/>
            <w:bottom w:val="none" w:sz="0" w:space="0" w:color="auto"/>
            <w:right w:val="none" w:sz="0" w:space="0" w:color="auto"/>
          </w:divBdr>
          <w:divsChild>
            <w:div w:id="113057461">
              <w:marLeft w:val="0"/>
              <w:marRight w:val="0"/>
              <w:marTop w:val="0"/>
              <w:marBottom w:val="75"/>
              <w:divBdr>
                <w:top w:val="none" w:sz="0" w:space="0" w:color="auto"/>
                <w:left w:val="none" w:sz="0" w:space="0" w:color="auto"/>
                <w:bottom w:val="none" w:sz="0" w:space="0" w:color="auto"/>
                <w:right w:val="none" w:sz="0" w:space="0" w:color="auto"/>
              </w:divBdr>
              <w:divsChild>
                <w:div w:id="1676759469">
                  <w:marLeft w:val="0"/>
                  <w:marRight w:val="0"/>
                  <w:marTop w:val="0"/>
                  <w:marBottom w:val="0"/>
                  <w:divBdr>
                    <w:top w:val="none" w:sz="0" w:space="0" w:color="auto"/>
                    <w:left w:val="none" w:sz="0" w:space="0" w:color="auto"/>
                    <w:bottom w:val="none" w:sz="0" w:space="0" w:color="auto"/>
                    <w:right w:val="none" w:sz="0" w:space="0" w:color="auto"/>
                  </w:divBdr>
                  <w:divsChild>
                    <w:div w:id="581917134">
                      <w:marLeft w:val="0"/>
                      <w:marRight w:val="0"/>
                      <w:marTop w:val="0"/>
                      <w:marBottom w:val="0"/>
                      <w:divBdr>
                        <w:top w:val="none" w:sz="0" w:space="0" w:color="auto"/>
                        <w:left w:val="none" w:sz="0" w:space="0" w:color="auto"/>
                        <w:bottom w:val="none" w:sz="0" w:space="0" w:color="auto"/>
                        <w:right w:val="none" w:sz="0" w:space="0" w:color="auto"/>
                      </w:divBdr>
                      <w:divsChild>
                        <w:div w:id="2978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093162">
      <w:bodyDiv w:val="1"/>
      <w:marLeft w:val="0"/>
      <w:marRight w:val="0"/>
      <w:marTop w:val="45"/>
      <w:marBottom w:val="45"/>
      <w:divBdr>
        <w:top w:val="none" w:sz="0" w:space="0" w:color="auto"/>
        <w:left w:val="none" w:sz="0" w:space="0" w:color="auto"/>
        <w:bottom w:val="none" w:sz="0" w:space="0" w:color="auto"/>
        <w:right w:val="none" w:sz="0" w:space="0" w:color="auto"/>
      </w:divBdr>
      <w:divsChild>
        <w:div w:id="1720785646">
          <w:marLeft w:val="0"/>
          <w:marRight w:val="0"/>
          <w:marTop w:val="0"/>
          <w:marBottom w:val="0"/>
          <w:divBdr>
            <w:top w:val="none" w:sz="0" w:space="0" w:color="auto"/>
            <w:left w:val="none" w:sz="0" w:space="0" w:color="auto"/>
            <w:bottom w:val="none" w:sz="0" w:space="0" w:color="auto"/>
            <w:right w:val="none" w:sz="0" w:space="0" w:color="auto"/>
          </w:divBdr>
          <w:divsChild>
            <w:div w:id="402141750">
              <w:marLeft w:val="0"/>
              <w:marRight w:val="0"/>
              <w:marTop w:val="0"/>
              <w:marBottom w:val="75"/>
              <w:divBdr>
                <w:top w:val="none" w:sz="0" w:space="0" w:color="auto"/>
                <w:left w:val="none" w:sz="0" w:space="0" w:color="auto"/>
                <w:bottom w:val="none" w:sz="0" w:space="0" w:color="auto"/>
                <w:right w:val="none" w:sz="0" w:space="0" w:color="auto"/>
              </w:divBdr>
              <w:divsChild>
                <w:div w:id="461458698">
                  <w:marLeft w:val="0"/>
                  <w:marRight w:val="0"/>
                  <w:marTop w:val="0"/>
                  <w:marBottom w:val="0"/>
                  <w:divBdr>
                    <w:top w:val="none" w:sz="0" w:space="0" w:color="auto"/>
                    <w:left w:val="none" w:sz="0" w:space="0" w:color="auto"/>
                    <w:bottom w:val="none" w:sz="0" w:space="0" w:color="auto"/>
                    <w:right w:val="none" w:sz="0" w:space="0" w:color="auto"/>
                  </w:divBdr>
                  <w:divsChild>
                    <w:div w:id="750006249">
                      <w:marLeft w:val="0"/>
                      <w:marRight w:val="0"/>
                      <w:marTop w:val="0"/>
                      <w:marBottom w:val="0"/>
                      <w:divBdr>
                        <w:top w:val="none" w:sz="0" w:space="0" w:color="auto"/>
                        <w:left w:val="none" w:sz="0" w:space="0" w:color="auto"/>
                        <w:bottom w:val="none" w:sz="0" w:space="0" w:color="auto"/>
                        <w:right w:val="none" w:sz="0" w:space="0" w:color="auto"/>
                      </w:divBdr>
                      <w:divsChild>
                        <w:div w:id="10836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Nhà vườn của người Việt</vt:lpstr>
    </vt:vector>
  </TitlesOfParts>
  <Company>TTTH</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Nhà vườn của người Việt</dc:title>
  <dc:creator>Phong may</dc:creator>
  <cp:lastModifiedBy>Hồ Giảng Tô Trần</cp:lastModifiedBy>
  <cp:revision>6</cp:revision>
  <dcterms:created xsi:type="dcterms:W3CDTF">2011-12-09T01:39:00Z</dcterms:created>
  <dcterms:modified xsi:type="dcterms:W3CDTF">2018-11-08T03:34:00Z</dcterms:modified>
</cp:coreProperties>
</file>