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0640F" w14:textId="102B8D49" w:rsidR="00C84B08" w:rsidRDefault="00C84B08" w:rsidP="00C84B08">
      <w:pPr>
        <w:pBdr>
          <w:top w:val="single" w:sz="18" w:space="1" w:color="153D63" w:themeColor="text2" w:themeTint="E6" w:shadow="1"/>
          <w:left w:val="single" w:sz="18" w:space="4" w:color="153D63" w:themeColor="text2" w:themeTint="E6" w:shadow="1"/>
          <w:bottom w:val="single" w:sz="18" w:space="1" w:color="153D63" w:themeColor="text2" w:themeTint="E6" w:shadow="1"/>
          <w:right w:val="single" w:sz="18" w:space="4" w:color="153D63" w:themeColor="text2" w:themeTint="E6" w:shadow="1"/>
        </w:pBdr>
        <w:jc w:val="center"/>
        <w:rPr>
          <w:rFonts w:ascii="Amasis MT Pro Black" w:hAnsi="Amasis MT Pro Black"/>
          <w:b/>
          <w:bCs/>
          <w:color w:val="153D63" w:themeColor="text2" w:themeTint="E6"/>
          <w:sz w:val="56"/>
          <w:szCs w:val="56"/>
        </w:rPr>
      </w:pPr>
      <w:r w:rsidRPr="00C84B08">
        <w:rPr>
          <w:rFonts w:ascii="Amasis MT Pro Black" w:hAnsi="Amasis MT Pro Black"/>
          <w:b/>
          <w:bCs/>
          <w:color w:val="153D63" w:themeColor="text2" w:themeTint="E6"/>
          <w:sz w:val="56"/>
          <w:szCs w:val="56"/>
        </w:rPr>
        <w:t>Banking Marketing Analysis</w:t>
      </w:r>
    </w:p>
    <w:p w14:paraId="03459D4B" w14:textId="77777777" w:rsidR="00C84B08" w:rsidRPr="00C84B08" w:rsidRDefault="00C84B08" w:rsidP="00C84B08">
      <w:pPr>
        <w:rPr>
          <w:rFonts w:ascii="Amasis MT Pro Black" w:hAnsi="Amasis MT Pro Black"/>
          <w:sz w:val="56"/>
          <w:szCs w:val="56"/>
        </w:rPr>
      </w:pPr>
    </w:p>
    <w:p w14:paraId="175DCEBA" w14:textId="1BF771AA" w:rsidR="00C84B08" w:rsidRDefault="00C84B08" w:rsidP="00707D98">
      <w:pPr>
        <w:pStyle w:val="Heading1"/>
      </w:pPr>
      <w:r>
        <w:t xml:space="preserve">Introduction :-  </w:t>
      </w:r>
    </w:p>
    <w:p w14:paraId="71183E51" w14:textId="77777777" w:rsidR="00C84B08" w:rsidRDefault="00C84B08" w:rsidP="00C84B08"/>
    <w:p w14:paraId="1961B2EA" w14:textId="49A16F21" w:rsidR="00C84B08" w:rsidRDefault="00897687" w:rsidP="00C84B08">
      <w:r>
        <w:t xml:space="preserve">            This report presents a comprehensive analysis of the recent term deposit subscription campaign conducted via telephone marketing.</w:t>
      </w:r>
      <w:r w:rsidR="00D4032B">
        <w:t xml:space="preserve"> </w:t>
      </w:r>
      <w:r w:rsidR="00707D98">
        <w:t>The insights contained in this report are designed to empower management and the marketing team to make informed strategic decisions, allocate resources more effectively, and ultimately, increase the subscription rate for term deposit products.</w:t>
      </w:r>
      <w:r w:rsidR="006850A3">
        <w:t xml:space="preserve"> </w:t>
      </w:r>
    </w:p>
    <w:p w14:paraId="63254BF2" w14:textId="38E11990" w:rsidR="006850A3" w:rsidRDefault="006850A3" w:rsidP="00C84B08">
      <w:r>
        <w:t xml:space="preserve">            The dataset used in this analysis contains a comprehensive collection of information of 41k individuals who have been contacted during the marketing. It encompasses a wide range of parameters, providing a detailed insight into the demographic details such as age, marital status, education</w:t>
      </w:r>
      <w:r w:rsidR="00A218FE">
        <w:t xml:space="preserve"> level, offering a comprehensive overview of the sample population.</w:t>
      </w:r>
    </w:p>
    <w:p w14:paraId="1056F526" w14:textId="77511950" w:rsidR="00A218FE" w:rsidRDefault="00A218FE" w:rsidP="00C84B08">
      <w:r>
        <w:t xml:space="preserve">             The dataset </w:t>
      </w:r>
      <w:r w:rsidR="00636C19">
        <w:t>also delves into the previous campaigns and their outcomes, the subscription rate along with economic factors like consumer confidence index, Euribor rate for 3 months, consumer price index and employment variable rate which helps in the detailed analysis.</w:t>
      </w:r>
    </w:p>
    <w:p w14:paraId="5AC13024" w14:textId="77777777" w:rsidR="00636C19" w:rsidRDefault="00636C19" w:rsidP="00C84B08"/>
    <w:p w14:paraId="5B833E83" w14:textId="0522CE4A" w:rsidR="00707D98" w:rsidRDefault="00707D98" w:rsidP="00707D98">
      <w:pPr>
        <w:pStyle w:val="Heading3"/>
      </w:pPr>
      <w:r>
        <w:t>Objectives :-</w:t>
      </w:r>
    </w:p>
    <w:p w14:paraId="43E0BD9F" w14:textId="6AE19F17" w:rsidR="00707D98" w:rsidRDefault="00707D98" w:rsidP="00707D98">
      <w:r>
        <w:t xml:space="preserve">            The </w:t>
      </w:r>
      <w:r w:rsidR="000A5863">
        <w:t>primary objective of this analysis is to develop a deep, actionable understanding of the client characteristics, contact strategies, and external economic factors that drive the campaign performance. This report aims to:</w:t>
      </w:r>
    </w:p>
    <w:p w14:paraId="7B940E87" w14:textId="0208AB82" w:rsidR="000A5863" w:rsidRDefault="000A5863" w:rsidP="000A5863">
      <w:pPr>
        <w:pStyle w:val="ListParagraph"/>
        <w:numPr>
          <w:ilvl w:val="0"/>
          <w:numId w:val="1"/>
        </w:numPr>
      </w:pPr>
      <w:r>
        <w:t>Identify the most promising client segments to target.</w:t>
      </w:r>
    </w:p>
    <w:p w14:paraId="51DEF6DF" w14:textId="12000228" w:rsidR="000A5863" w:rsidRDefault="000A5863" w:rsidP="000A5863">
      <w:pPr>
        <w:pStyle w:val="ListParagraph"/>
        <w:numPr>
          <w:ilvl w:val="0"/>
          <w:numId w:val="1"/>
        </w:numPr>
      </w:pPr>
      <w:r>
        <w:t>Determine the optimal contact strategy and timing.</w:t>
      </w:r>
    </w:p>
    <w:p w14:paraId="5B125FA0" w14:textId="39CEE0F2" w:rsidR="000A5863" w:rsidRDefault="000A5863" w:rsidP="000A5863">
      <w:pPr>
        <w:pStyle w:val="ListParagraph"/>
        <w:numPr>
          <w:ilvl w:val="0"/>
          <w:numId w:val="1"/>
        </w:numPr>
      </w:pPr>
      <w:r>
        <w:t>Uncover the impact of macroeconomic conditions on consumer behavior.</w:t>
      </w:r>
    </w:p>
    <w:p w14:paraId="147E83BE" w14:textId="77777777" w:rsidR="00190C69" w:rsidRDefault="000A5863" w:rsidP="00190C69">
      <w:pPr>
        <w:pStyle w:val="ListParagraph"/>
        <w:numPr>
          <w:ilvl w:val="0"/>
          <w:numId w:val="1"/>
        </w:numPr>
      </w:pPr>
      <w:r>
        <w:t>Provide the data-driven recommendations to enhance the efficiency and effectiveness of future marketing efforts.</w:t>
      </w:r>
      <w:r w:rsidR="00707D98">
        <w:t xml:space="preserve">   </w:t>
      </w:r>
    </w:p>
    <w:p w14:paraId="041A4B95" w14:textId="5490BDF4" w:rsidR="00707D98" w:rsidRDefault="00707D98" w:rsidP="009C2EAE">
      <w:pPr>
        <w:pStyle w:val="ListParagraph"/>
      </w:pPr>
    </w:p>
    <w:p w14:paraId="34BE3FE2" w14:textId="45B10543" w:rsidR="009C2EAE" w:rsidRDefault="00E00CA9" w:rsidP="00E00CA9">
      <w:pPr>
        <w:pStyle w:val="Heading3"/>
      </w:pPr>
      <w:r>
        <w:lastRenderedPageBreak/>
        <w:t xml:space="preserve">Tools </w:t>
      </w:r>
      <w:proofErr w:type="gramStart"/>
      <w:r>
        <w:t>Used :</w:t>
      </w:r>
      <w:proofErr w:type="gramEnd"/>
      <w:r>
        <w:t xml:space="preserve">- </w:t>
      </w:r>
      <w:r w:rsidR="002B28F4">
        <w:t xml:space="preserve"> </w:t>
      </w:r>
    </w:p>
    <w:p w14:paraId="55D5C447" w14:textId="6C1652F2" w:rsidR="00EA5766" w:rsidRDefault="002B28F4" w:rsidP="002B28F4">
      <w:r>
        <w:t xml:space="preserve">            Tools used for </w:t>
      </w:r>
      <w:r w:rsidR="00EA5766">
        <w:t xml:space="preserve">Data </w:t>
      </w:r>
      <w:r w:rsidR="00CA7DF2">
        <w:t>C</w:t>
      </w:r>
      <w:r w:rsidR="00EA5766">
        <w:t>leaning</w:t>
      </w:r>
      <w:r w:rsidR="00CA7DF2">
        <w:t xml:space="preserve">, </w:t>
      </w:r>
      <w:r w:rsidR="00535C26">
        <w:t>Exploratory</w:t>
      </w:r>
      <w:r w:rsidR="006D02AB">
        <w:t xml:space="preserve"> Data Analysis</w:t>
      </w:r>
      <w:r w:rsidR="00AC47E3">
        <w:t xml:space="preserve"> and Visualizations</w:t>
      </w:r>
      <w:r w:rsidR="00C70912">
        <w:t xml:space="preserve"> are as </w:t>
      </w:r>
      <w:proofErr w:type="gramStart"/>
      <w:r w:rsidR="00641DE4">
        <w:t>follows:-</w:t>
      </w:r>
      <w:proofErr w:type="gramEnd"/>
    </w:p>
    <w:p w14:paraId="51FF6C21" w14:textId="795ED5DB" w:rsidR="00641DE4" w:rsidRDefault="006D7F46" w:rsidP="00AA5294">
      <w:pPr>
        <w:pStyle w:val="ListParagraph"/>
        <w:numPr>
          <w:ilvl w:val="0"/>
          <w:numId w:val="2"/>
        </w:numPr>
      </w:pPr>
      <w:r>
        <w:t>Excel</w:t>
      </w:r>
    </w:p>
    <w:p w14:paraId="02C7665D" w14:textId="5A213E63" w:rsidR="006D7F46" w:rsidRDefault="006F09B6" w:rsidP="00AA5294">
      <w:pPr>
        <w:pStyle w:val="ListParagraph"/>
        <w:numPr>
          <w:ilvl w:val="0"/>
          <w:numId w:val="2"/>
        </w:numPr>
      </w:pPr>
      <w:r>
        <w:t>Microsoft Power BI</w:t>
      </w:r>
    </w:p>
    <w:p w14:paraId="2716AA27" w14:textId="77777777" w:rsidR="00723FD7" w:rsidRDefault="00723FD7" w:rsidP="00723FD7">
      <w:pPr>
        <w:pStyle w:val="Heading2"/>
      </w:pPr>
    </w:p>
    <w:p w14:paraId="7BB757CA" w14:textId="77777777" w:rsidR="0097630B" w:rsidRDefault="00723FD7" w:rsidP="00723FD7">
      <w:pPr>
        <w:pStyle w:val="Heading2"/>
      </w:pPr>
      <w:r>
        <w:t xml:space="preserve">Key </w:t>
      </w:r>
      <w:proofErr w:type="gramStart"/>
      <w:r>
        <w:t>Findings :</w:t>
      </w:r>
      <w:proofErr w:type="gramEnd"/>
      <w:r>
        <w:t>-</w:t>
      </w:r>
    </w:p>
    <w:p w14:paraId="5155BDFD" w14:textId="331431CD" w:rsidR="00B8581E" w:rsidRDefault="00EA45E6" w:rsidP="00723FD7">
      <w:pPr>
        <w:pStyle w:val="Heading2"/>
      </w:pPr>
      <w:r>
        <w:t xml:space="preserve">                   </w:t>
      </w:r>
      <w:r w:rsidR="00FE36E8">
        <w:rPr>
          <w:noProof/>
        </w:rPr>
        <w:drawing>
          <wp:inline distT="0" distB="0" distL="0" distR="0" wp14:anchorId="28C75593" wp14:editId="610BC3AD">
            <wp:extent cx="4533900" cy="2945097"/>
            <wp:effectExtent l="0" t="0" r="0" b="8255"/>
            <wp:docPr id="85445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8551" name=""/>
                    <pic:cNvPicPr/>
                  </pic:nvPicPr>
                  <pic:blipFill rotWithShape="1">
                    <a:blip r:embed="rId5"/>
                    <a:srcRect l="2821" t="18918" r="37180" b="11795"/>
                    <a:stretch>
                      <a:fillRect/>
                    </a:stretch>
                  </pic:blipFill>
                  <pic:spPr bwMode="auto">
                    <a:xfrm>
                      <a:off x="0" y="0"/>
                      <a:ext cx="4547094" cy="2953668"/>
                    </a:xfrm>
                    <a:prstGeom prst="rect">
                      <a:avLst/>
                    </a:prstGeom>
                    <a:ln>
                      <a:noFill/>
                    </a:ln>
                    <a:extLst>
                      <a:ext uri="{53640926-AAD7-44D8-BBD7-CCE9431645EC}">
                        <a14:shadowObscured xmlns:a14="http://schemas.microsoft.com/office/drawing/2010/main"/>
                      </a:ext>
                    </a:extLst>
                  </pic:spPr>
                </pic:pic>
              </a:graphicData>
            </a:graphic>
          </wp:inline>
        </w:drawing>
      </w:r>
    </w:p>
    <w:p w14:paraId="1DBFC5BB" w14:textId="560BB471" w:rsidR="0032168E" w:rsidRDefault="00EA45E6" w:rsidP="00EC2FB1">
      <w:r>
        <w:t xml:space="preserve">                        </w:t>
      </w:r>
      <w:r w:rsidR="005F2DC2">
        <w:rPr>
          <w:noProof/>
        </w:rPr>
        <w:drawing>
          <wp:inline distT="0" distB="0" distL="0" distR="0" wp14:anchorId="1A163A88" wp14:editId="5105EBC5">
            <wp:extent cx="4564380" cy="2936320"/>
            <wp:effectExtent l="0" t="0" r="7620" b="0"/>
            <wp:docPr id="183302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20655" name=""/>
                    <pic:cNvPicPr/>
                  </pic:nvPicPr>
                  <pic:blipFill rotWithShape="1">
                    <a:blip r:embed="rId6"/>
                    <a:srcRect l="2821" t="18918" r="36794" b="12023"/>
                    <a:stretch>
                      <a:fillRect/>
                    </a:stretch>
                  </pic:blipFill>
                  <pic:spPr bwMode="auto">
                    <a:xfrm>
                      <a:off x="0" y="0"/>
                      <a:ext cx="4586630" cy="2950633"/>
                    </a:xfrm>
                    <a:prstGeom prst="rect">
                      <a:avLst/>
                    </a:prstGeom>
                    <a:ln>
                      <a:noFill/>
                    </a:ln>
                    <a:extLst>
                      <a:ext uri="{53640926-AAD7-44D8-BBD7-CCE9431645EC}">
                        <a14:shadowObscured xmlns:a14="http://schemas.microsoft.com/office/drawing/2010/main"/>
                      </a:ext>
                    </a:extLst>
                  </pic:spPr>
                </pic:pic>
              </a:graphicData>
            </a:graphic>
          </wp:inline>
        </w:drawing>
      </w:r>
    </w:p>
    <w:p w14:paraId="69FD6268" w14:textId="66CD94FC" w:rsidR="00A50C82" w:rsidRDefault="00461E92" w:rsidP="00857967">
      <w:pPr>
        <w:pStyle w:val="ListParagraph"/>
        <w:numPr>
          <w:ilvl w:val="0"/>
          <w:numId w:val="3"/>
        </w:numPr>
      </w:pPr>
      <w:r>
        <w:lastRenderedPageBreak/>
        <w:t xml:space="preserve">There are </w:t>
      </w:r>
      <w:r w:rsidR="00D92426">
        <w:t xml:space="preserve">total </w:t>
      </w:r>
      <w:r w:rsidR="00D92426" w:rsidRPr="00D92426">
        <w:rPr>
          <w:b/>
          <w:bCs/>
        </w:rPr>
        <w:t>41</w:t>
      </w:r>
      <w:r w:rsidRPr="00D92426">
        <w:rPr>
          <w:b/>
          <w:bCs/>
        </w:rPr>
        <w:t>k</w:t>
      </w:r>
      <w:r w:rsidR="007E1C5F">
        <w:t xml:space="preserve"> clients</w:t>
      </w:r>
      <w:r w:rsidR="00A103A7">
        <w:t xml:space="preserve"> with average age of 40 years</w:t>
      </w:r>
      <w:r w:rsidR="007E1C5F">
        <w:t xml:space="preserve"> included in this dataset.</w:t>
      </w:r>
    </w:p>
    <w:p w14:paraId="47AE74CF" w14:textId="6A5462B4" w:rsidR="007E1C5F" w:rsidRDefault="007C33F6" w:rsidP="00857967">
      <w:pPr>
        <w:pStyle w:val="ListParagraph"/>
        <w:numPr>
          <w:ilvl w:val="0"/>
          <w:numId w:val="3"/>
        </w:numPr>
      </w:pPr>
      <w:r>
        <w:t xml:space="preserve">Total number of </w:t>
      </w:r>
      <w:r w:rsidR="00D92426">
        <w:t>subscribers</w:t>
      </w:r>
      <w:r>
        <w:t xml:space="preserve"> is </w:t>
      </w:r>
      <w:r w:rsidRPr="00D92426">
        <w:rPr>
          <w:b/>
          <w:bCs/>
        </w:rPr>
        <w:t>4640</w:t>
      </w:r>
      <w:r w:rsidR="008E2797" w:rsidRPr="00D92426">
        <w:rPr>
          <w:b/>
          <w:bCs/>
        </w:rPr>
        <w:t xml:space="preserve"> </w:t>
      </w:r>
      <w:r w:rsidR="008E2797">
        <w:t xml:space="preserve">and </w:t>
      </w:r>
      <w:r w:rsidR="00085735">
        <w:t xml:space="preserve">Subscription rate for the term deposits for this period is </w:t>
      </w:r>
      <w:r w:rsidR="00A103A7" w:rsidRPr="00D92426">
        <w:rPr>
          <w:b/>
          <w:bCs/>
        </w:rPr>
        <w:t>11.3%.</w:t>
      </w:r>
    </w:p>
    <w:p w14:paraId="37A1D1C6" w14:textId="2EBC6F0A" w:rsidR="006D2148" w:rsidRDefault="006D2148" w:rsidP="00857967">
      <w:pPr>
        <w:pStyle w:val="ListParagraph"/>
        <w:numPr>
          <w:ilvl w:val="0"/>
          <w:numId w:val="3"/>
        </w:numPr>
      </w:pPr>
      <w:r>
        <w:t>There are so</w:t>
      </w:r>
      <w:r w:rsidR="00D01580">
        <w:t xml:space="preserve">me </w:t>
      </w:r>
      <w:r w:rsidR="00D92426">
        <w:t>subscribers</w:t>
      </w:r>
      <w:r w:rsidR="00D01580">
        <w:t xml:space="preserve"> who have a personal loan and housing loan also. </w:t>
      </w:r>
      <w:r w:rsidR="0001316C">
        <w:t>Usually,</w:t>
      </w:r>
      <w:r w:rsidR="001D67AB">
        <w:t xml:space="preserve"> </w:t>
      </w:r>
      <w:r w:rsidR="00D92426">
        <w:t>the</w:t>
      </w:r>
      <w:r w:rsidR="001D67AB">
        <w:t xml:space="preserve"> people with any kind of loan </w:t>
      </w:r>
      <w:r w:rsidR="0001316C">
        <w:t>avoid</w:t>
      </w:r>
      <w:r w:rsidR="001D67AB">
        <w:t xml:space="preserve"> subscrib</w:t>
      </w:r>
      <w:r w:rsidR="0001316C">
        <w:t>ing</w:t>
      </w:r>
      <w:r w:rsidR="001D67AB">
        <w:t xml:space="preserve"> for term deposit</w:t>
      </w:r>
      <w:r w:rsidR="0001316C">
        <w:t xml:space="preserve"> because they </w:t>
      </w:r>
      <w:proofErr w:type="gramStart"/>
      <w:r w:rsidR="0001316C">
        <w:t>have to</w:t>
      </w:r>
      <w:proofErr w:type="gramEnd"/>
      <w:r w:rsidR="0001316C">
        <w:t xml:space="preserve"> pay the installments also, but this mainly depends on the income of the client</w:t>
      </w:r>
      <w:r w:rsidR="001D67AB">
        <w:t>. In this project</w:t>
      </w:r>
      <w:r w:rsidR="00654CEB">
        <w:t xml:space="preserve">, slicers for both personal </w:t>
      </w:r>
      <w:r w:rsidR="0001316C">
        <w:t>loans</w:t>
      </w:r>
      <w:r w:rsidR="00654CEB">
        <w:t xml:space="preserve"> and house </w:t>
      </w:r>
      <w:r w:rsidR="0001316C">
        <w:t>loans are</w:t>
      </w:r>
      <w:r w:rsidR="00654CEB">
        <w:t xml:space="preserve"> given to extract the information. </w:t>
      </w:r>
      <w:r w:rsidR="00E42A88" w:rsidRPr="00D92426">
        <w:rPr>
          <w:b/>
          <w:bCs/>
        </w:rPr>
        <w:t xml:space="preserve">409 </w:t>
      </w:r>
      <w:r w:rsidR="00E42A88">
        <w:t>c</w:t>
      </w:r>
      <w:r w:rsidR="008E2797">
        <w:t xml:space="preserve">lients have both personal and housing </w:t>
      </w:r>
      <w:r w:rsidR="0001316C">
        <w:t>loans</w:t>
      </w:r>
      <w:r w:rsidR="008E2797">
        <w:t xml:space="preserve"> </w:t>
      </w:r>
      <w:r w:rsidR="00297BFF">
        <w:t xml:space="preserve">and subscribed to the </w:t>
      </w:r>
      <w:r w:rsidR="0001316C">
        <w:t>term deposit</w:t>
      </w:r>
      <w:r w:rsidR="00E42A88">
        <w:t>.</w:t>
      </w:r>
    </w:p>
    <w:p w14:paraId="422758F3" w14:textId="29F0BAA9" w:rsidR="0001316C" w:rsidRDefault="00F668A2" w:rsidP="00857967">
      <w:pPr>
        <w:pStyle w:val="ListParagraph"/>
        <w:numPr>
          <w:ilvl w:val="0"/>
          <w:numId w:val="3"/>
        </w:numPr>
      </w:pPr>
      <w:r>
        <w:t xml:space="preserve">The donut chart provides </w:t>
      </w:r>
      <w:r w:rsidR="008475C9">
        <w:t>details</w:t>
      </w:r>
      <w:r>
        <w:t xml:space="preserve"> about the subscription by the status.</w:t>
      </w:r>
      <w:r w:rsidR="008475C9">
        <w:t xml:space="preserve"> Married people have the highest proportion</w:t>
      </w:r>
      <w:r w:rsidR="006E61BE">
        <w:t xml:space="preserve"> (</w:t>
      </w:r>
      <w:r w:rsidR="006E61BE" w:rsidRPr="006E61BE">
        <w:rPr>
          <w:b/>
          <w:bCs/>
        </w:rPr>
        <w:t>56.62%</w:t>
      </w:r>
      <w:r w:rsidR="006E61BE" w:rsidRPr="006E61BE">
        <w:t xml:space="preserve">) </w:t>
      </w:r>
      <w:r w:rsidR="00854E82">
        <w:t xml:space="preserve">among all the subscribers with </w:t>
      </w:r>
      <w:r w:rsidR="00854E82" w:rsidRPr="006E61BE">
        <w:rPr>
          <w:b/>
          <w:bCs/>
        </w:rPr>
        <w:t xml:space="preserve">231 </w:t>
      </w:r>
      <w:r w:rsidR="00854E82">
        <w:t>subscribers</w:t>
      </w:r>
      <w:r w:rsidR="006E61BE">
        <w:t>.</w:t>
      </w:r>
    </w:p>
    <w:p w14:paraId="44780953" w14:textId="1CDE7FB1" w:rsidR="00686F91" w:rsidRDefault="00686F91" w:rsidP="00857967">
      <w:pPr>
        <w:pStyle w:val="ListParagraph"/>
        <w:numPr>
          <w:ilvl w:val="0"/>
          <w:numId w:val="3"/>
        </w:numPr>
      </w:pPr>
      <w:r>
        <w:t xml:space="preserve">The scatter plot </w:t>
      </w:r>
      <w:r w:rsidR="00EA1816">
        <w:t>shows</w:t>
      </w:r>
      <w:r>
        <w:t xml:space="preserve"> the correlation between the duration</w:t>
      </w:r>
      <w:r w:rsidR="002A31A1">
        <w:t xml:space="preserve"> of call and the subscription rate. The </w:t>
      </w:r>
      <w:r w:rsidR="00EA1816">
        <w:t xml:space="preserve">higher </w:t>
      </w:r>
      <w:r w:rsidR="002A31A1">
        <w:t xml:space="preserve">the duration means </w:t>
      </w:r>
      <w:r w:rsidR="00EA1816">
        <w:t xml:space="preserve">higher the chances that the client will subscribe </w:t>
      </w:r>
      <w:r w:rsidR="00275C39">
        <w:t>for the deposit.</w:t>
      </w:r>
    </w:p>
    <w:p w14:paraId="7C8B567C" w14:textId="085F55FB" w:rsidR="00275C39" w:rsidRDefault="00275C39" w:rsidP="00857967">
      <w:pPr>
        <w:pStyle w:val="ListParagraph"/>
        <w:numPr>
          <w:ilvl w:val="0"/>
          <w:numId w:val="3"/>
        </w:numPr>
      </w:pPr>
      <w:r>
        <w:t xml:space="preserve">The tree map </w:t>
      </w:r>
      <w:r w:rsidR="00773CE6">
        <w:t>shows</w:t>
      </w:r>
      <w:r>
        <w:t xml:space="preserve"> the </w:t>
      </w:r>
      <w:r w:rsidR="005D4DD7">
        <w:t>subscription rate by the previous campaign’s outcome.</w:t>
      </w:r>
      <w:r w:rsidR="00E00701">
        <w:t xml:space="preserve">  </w:t>
      </w:r>
      <w:r w:rsidR="00DA70D6">
        <w:t>Success from the previous campaign</w:t>
      </w:r>
      <w:r w:rsidR="002A5AB0">
        <w:t xml:space="preserve"> </w:t>
      </w:r>
      <w:r w:rsidR="00773CE6">
        <w:t>has</w:t>
      </w:r>
      <w:r w:rsidR="002A5AB0">
        <w:t xml:space="preserve"> more chances </w:t>
      </w:r>
      <w:r w:rsidR="00DF4CD7">
        <w:t xml:space="preserve">that those clients will subscribe </w:t>
      </w:r>
      <w:r w:rsidR="00127C1B">
        <w:t>this time also.</w:t>
      </w:r>
    </w:p>
    <w:p w14:paraId="4A85C416" w14:textId="77777777" w:rsidR="00396EED" w:rsidRDefault="00120C08" w:rsidP="00396EED">
      <w:pPr>
        <w:pStyle w:val="ListParagraph"/>
        <w:numPr>
          <w:ilvl w:val="0"/>
          <w:numId w:val="3"/>
        </w:numPr>
      </w:pPr>
      <w:r w:rsidRPr="000B4EE3">
        <w:rPr>
          <w:b/>
          <w:bCs/>
        </w:rPr>
        <w:t>373</w:t>
      </w:r>
      <w:r>
        <w:t xml:space="preserve"> Subscribers</w:t>
      </w:r>
      <w:r w:rsidR="006665EE">
        <w:t xml:space="preserve"> with no default</w:t>
      </w:r>
      <w:r w:rsidR="004F5A84">
        <w:t xml:space="preserve"> in credit </w:t>
      </w:r>
      <w:r w:rsidR="000B4EE3">
        <w:t xml:space="preserve">constituting </w:t>
      </w:r>
      <w:r w:rsidR="000B4EE3" w:rsidRPr="000B4EE3">
        <w:rPr>
          <w:b/>
          <w:bCs/>
        </w:rPr>
        <w:t>12.6%</w:t>
      </w:r>
      <w:r w:rsidR="000B4EE3">
        <w:t xml:space="preserve"> </w:t>
      </w:r>
      <w:r w:rsidR="004F5A84">
        <w:t xml:space="preserve">have subscribed the term deposit more as compared to </w:t>
      </w:r>
      <w:r w:rsidR="006F1B99">
        <w:t>clients having any default or unknown</w:t>
      </w:r>
      <w:r w:rsidR="00D73064">
        <w:t xml:space="preserve"> default status.</w:t>
      </w:r>
      <w:r w:rsidR="004169C6">
        <w:t xml:space="preserve"> </w:t>
      </w:r>
      <w:r w:rsidR="004169C6" w:rsidRPr="00637A0A">
        <w:rPr>
          <w:b/>
          <w:bCs/>
        </w:rPr>
        <w:t>36</w:t>
      </w:r>
      <w:r w:rsidR="004169C6">
        <w:t xml:space="preserve"> </w:t>
      </w:r>
      <w:r w:rsidR="00637A0A">
        <w:t>subscribers</w:t>
      </w:r>
      <w:r w:rsidR="004169C6">
        <w:t xml:space="preserve"> </w:t>
      </w:r>
      <w:r w:rsidR="00637A0A">
        <w:t>(</w:t>
      </w:r>
      <w:r w:rsidR="00637A0A" w:rsidRPr="00637A0A">
        <w:rPr>
          <w:b/>
          <w:bCs/>
        </w:rPr>
        <w:t>5%</w:t>
      </w:r>
      <w:r w:rsidR="00637A0A">
        <w:t xml:space="preserve">) </w:t>
      </w:r>
      <w:r w:rsidR="004169C6">
        <w:t xml:space="preserve">with unknown default status have </w:t>
      </w:r>
      <w:r w:rsidR="00637A0A">
        <w:t>subscribed also.</w:t>
      </w:r>
    </w:p>
    <w:p w14:paraId="0FED06DF" w14:textId="613DD001" w:rsidR="00D73064" w:rsidRDefault="00396EED" w:rsidP="00396EED">
      <w:pPr>
        <w:pStyle w:val="ListParagraph"/>
        <w:numPr>
          <w:ilvl w:val="0"/>
          <w:numId w:val="3"/>
        </w:numPr>
      </w:pPr>
      <w:r>
        <w:t>I</w:t>
      </w:r>
      <w:r w:rsidR="00601A56">
        <w:t xml:space="preserve">n the month of September and on Thursday </w:t>
      </w:r>
      <w:r>
        <w:t xml:space="preserve">highest number of </w:t>
      </w:r>
      <w:r w:rsidR="00DA1BFD">
        <w:t xml:space="preserve">subscriptions </w:t>
      </w:r>
      <w:r w:rsidR="001B2CD6">
        <w:t>were</w:t>
      </w:r>
      <w:r>
        <w:t xml:space="preserve"> </w:t>
      </w:r>
      <w:r w:rsidR="001B2CD6">
        <w:t>made</w:t>
      </w:r>
      <w:r>
        <w:t>.</w:t>
      </w:r>
      <w:r w:rsidR="003B6756">
        <w:t xml:space="preserve"> There is </w:t>
      </w:r>
      <w:r w:rsidR="00DA1BFD">
        <w:t>a 100</w:t>
      </w:r>
      <w:r w:rsidR="003B6756">
        <w:t xml:space="preserve">% subscription rate </w:t>
      </w:r>
      <w:r w:rsidR="001F44FB">
        <w:t>in</w:t>
      </w:r>
      <w:r w:rsidR="003B6756">
        <w:t xml:space="preserve"> September.</w:t>
      </w:r>
    </w:p>
    <w:p w14:paraId="5A88FF1A" w14:textId="7321B048" w:rsidR="003B6756" w:rsidRPr="00B81589" w:rsidRDefault="00290812" w:rsidP="00396EED">
      <w:pPr>
        <w:pStyle w:val="ListParagraph"/>
        <w:numPr>
          <w:ilvl w:val="0"/>
          <w:numId w:val="3"/>
        </w:numPr>
      </w:pPr>
      <w:r>
        <w:t xml:space="preserve">Mostly term deposits are </w:t>
      </w:r>
      <w:r w:rsidR="00DA1BFD">
        <w:t>adopted by the students and retire</w:t>
      </w:r>
      <w:r w:rsidR="000006B1">
        <w:t>d</w:t>
      </w:r>
      <w:r w:rsidR="00985B40">
        <w:t xml:space="preserve"> people. There are </w:t>
      </w:r>
      <w:r w:rsidR="00985B40" w:rsidRPr="00B90B1E">
        <w:rPr>
          <w:b/>
          <w:bCs/>
        </w:rPr>
        <w:t xml:space="preserve">275 </w:t>
      </w:r>
      <w:r w:rsidR="00985B40">
        <w:t>students</w:t>
      </w:r>
      <w:r w:rsidR="00642531">
        <w:t xml:space="preserve"> comprising </w:t>
      </w:r>
      <w:r w:rsidR="00642531" w:rsidRPr="00B90B1E">
        <w:rPr>
          <w:b/>
          <w:bCs/>
        </w:rPr>
        <w:t>31.4%</w:t>
      </w:r>
      <w:r w:rsidR="00642531">
        <w:t xml:space="preserve"> and </w:t>
      </w:r>
      <w:r w:rsidR="00642531" w:rsidRPr="00B90B1E">
        <w:rPr>
          <w:b/>
          <w:bCs/>
        </w:rPr>
        <w:t>434</w:t>
      </w:r>
      <w:r w:rsidR="00B90B1E">
        <w:t xml:space="preserve"> retired people comprising </w:t>
      </w:r>
      <w:r w:rsidR="00B90B1E" w:rsidRPr="00B90B1E">
        <w:rPr>
          <w:b/>
          <w:bCs/>
        </w:rPr>
        <w:t>25.2%.</w:t>
      </w:r>
    </w:p>
    <w:p w14:paraId="34DCCCF8" w14:textId="0597EEF6" w:rsidR="009D1BC1" w:rsidRDefault="00880451" w:rsidP="009D1BC1">
      <w:pPr>
        <w:pStyle w:val="ListParagraph"/>
        <w:numPr>
          <w:ilvl w:val="0"/>
          <w:numId w:val="3"/>
        </w:numPr>
      </w:pPr>
      <w:r>
        <w:rPr>
          <w:b/>
          <w:bCs/>
        </w:rPr>
        <w:t xml:space="preserve"> </w:t>
      </w:r>
      <w:r w:rsidR="00AA707E">
        <w:t xml:space="preserve">Highest number of subscribers </w:t>
      </w:r>
      <w:r w:rsidR="00FF03FF">
        <w:t xml:space="preserve">are in university degree category of </w:t>
      </w:r>
      <w:r w:rsidR="008479B0">
        <w:t>education</w:t>
      </w:r>
      <w:r w:rsidR="000B4832">
        <w:t xml:space="preserve"> (</w:t>
      </w:r>
      <w:r w:rsidR="00FF03FF">
        <w:rPr>
          <w:b/>
          <w:bCs/>
        </w:rPr>
        <w:t>1670</w:t>
      </w:r>
      <w:r w:rsidR="000B4832">
        <w:t>)</w:t>
      </w:r>
      <w:r w:rsidR="008479B0">
        <w:t>, but if we see the subscription rate it is</w:t>
      </w:r>
      <w:r w:rsidR="000B4832">
        <w:t xml:space="preserve"> </w:t>
      </w:r>
      <w:r w:rsidR="008479B0">
        <w:t>high</w:t>
      </w:r>
      <w:r w:rsidR="00946D89">
        <w:t>est</w:t>
      </w:r>
      <w:r w:rsidR="008479B0">
        <w:t xml:space="preserve"> in the illiterate</w:t>
      </w:r>
      <w:r w:rsidR="00946D89">
        <w:t xml:space="preserve"> category</w:t>
      </w:r>
      <w:r w:rsidR="000B4832">
        <w:t xml:space="preserve"> (</w:t>
      </w:r>
      <w:r w:rsidR="000B4832" w:rsidRPr="001C59D0">
        <w:rPr>
          <w:b/>
          <w:bCs/>
        </w:rPr>
        <w:t>22.5%</w:t>
      </w:r>
      <w:r w:rsidR="000B4832">
        <w:t>)</w:t>
      </w:r>
      <w:r w:rsidR="00946D89">
        <w:t>.</w:t>
      </w:r>
    </w:p>
    <w:p w14:paraId="7E88FF0F" w14:textId="77777777" w:rsidR="000B7851" w:rsidRDefault="000B7851" w:rsidP="000B7851">
      <w:pPr>
        <w:pStyle w:val="ListParagraph"/>
      </w:pPr>
    </w:p>
    <w:p w14:paraId="57D7E02B" w14:textId="77777777" w:rsidR="006A2B31" w:rsidRDefault="009D1BC1" w:rsidP="009A1BFA">
      <w:pPr>
        <w:pStyle w:val="ListParagraph"/>
        <w:numPr>
          <w:ilvl w:val="0"/>
          <w:numId w:val="3"/>
        </w:numPr>
      </w:pPr>
      <w:r w:rsidRPr="004D43F3">
        <w:rPr>
          <w:b/>
          <w:bCs/>
        </w:rPr>
        <w:t xml:space="preserve"> Euribor </w:t>
      </w:r>
      <w:proofErr w:type="gramStart"/>
      <w:r w:rsidRPr="004D43F3">
        <w:rPr>
          <w:b/>
          <w:bCs/>
        </w:rPr>
        <w:t>Rate :</w:t>
      </w:r>
      <w:proofErr w:type="gramEnd"/>
      <w:r w:rsidR="00C37008">
        <w:t xml:space="preserve"> </w:t>
      </w:r>
    </w:p>
    <w:p w14:paraId="3FD6F26E" w14:textId="77777777" w:rsidR="00F6286B" w:rsidRDefault="006A2B31" w:rsidP="006A2B31">
      <w:pPr>
        <w:pStyle w:val="ListParagraph"/>
      </w:pPr>
      <w:r>
        <w:t xml:space="preserve">                 </w:t>
      </w:r>
      <w:r w:rsidR="00C37008" w:rsidRPr="00C37008">
        <w:t>The </w:t>
      </w:r>
      <w:r w:rsidR="00C37008" w:rsidRPr="00C37008">
        <w:rPr>
          <w:b/>
          <w:bCs/>
        </w:rPr>
        <w:t>Euribor</w:t>
      </w:r>
      <w:r w:rsidR="00C37008" w:rsidRPr="00C37008">
        <w:t xml:space="preserve"> (Euro Interbank Offered Rate) is the average interest rate at which a large </w:t>
      </w:r>
      <w:proofErr w:type="gramStart"/>
      <w:r w:rsidR="00C37008" w:rsidRPr="00C37008">
        <w:t>panel</w:t>
      </w:r>
      <w:proofErr w:type="gramEnd"/>
      <w:r w:rsidR="00C37008" w:rsidRPr="00C37008">
        <w:t xml:space="preserve"> of European banks lend money to each other in the euro currency.</w:t>
      </w:r>
      <w:r w:rsidR="007F39FE">
        <w:t xml:space="preserve">                                                                                                                                                         </w:t>
      </w:r>
      <w:r w:rsidR="00C37008" w:rsidRPr="00C37008">
        <w:t>When Euribor is</w:t>
      </w:r>
      <w:r w:rsidR="00C37008">
        <w:t xml:space="preserve"> low,</w:t>
      </w:r>
      <w:r w:rsidR="00C37008" w:rsidRPr="00C37008">
        <w:t> Banks can borrow money from each other cheaply.</w:t>
      </w:r>
      <w:r w:rsidR="00C37008">
        <w:t xml:space="preserve"> </w:t>
      </w:r>
      <w:r w:rsidR="00C37008" w:rsidRPr="00C37008">
        <w:t xml:space="preserve">When Euribor is </w:t>
      </w:r>
      <w:r w:rsidR="00C37008">
        <w:t>high,</w:t>
      </w:r>
      <w:r w:rsidR="00C37008" w:rsidRPr="00C37008">
        <w:t> </w:t>
      </w:r>
      <w:proofErr w:type="gramStart"/>
      <w:r w:rsidR="00C37008" w:rsidRPr="00C37008">
        <w:t>It</w:t>
      </w:r>
      <w:proofErr w:type="gramEnd"/>
      <w:r w:rsidR="00C37008" w:rsidRPr="00C37008">
        <w:t xml:space="preserve"> becomes more expensive for banks to borrow </w:t>
      </w:r>
      <w:r w:rsidR="00EF616A" w:rsidRPr="00C37008">
        <w:t>money. It</w:t>
      </w:r>
      <w:r w:rsidR="00C37008" w:rsidRPr="00C37008">
        <w:t xml:space="preserve"> is a fundamental benchmark that influences almost all interest rates in the Eurozone, from savings accounts and mortgages to loans and</w:t>
      </w:r>
      <w:r w:rsidR="00C37008" w:rsidRPr="00EF616A">
        <w:t> term deposits</w:t>
      </w:r>
      <w:r w:rsidR="00C37008" w:rsidRPr="00C37008">
        <w:t>.</w:t>
      </w:r>
      <w:r w:rsidR="009A1BFA">
        <w:t xml:space="preserve">                                   In this analysis, the </w:t>
      </w:r>
      <w:r w:rsidR="00B0481A">
        <w:t xml:space="preserve">subscription rate </w:t>
      </w:r>
      <w:r w:rsidR="000A2708">
        <w:t>fluctuates</w:t>
      </w:r>
      <w:r w:rsidR="00B0481A">
        <w:t xml:space="preserve"> a lot with the </w:t>
      </w:r>
      <w:r w:rsidR="009D3F1D">
        <w:t xml:space="preserve">Euribor rate at its </w:t>
      </w:r>
      <w:r w:rsidR="009D3F1D">
        <w:lastRenderedPageBreak/>
        <w:t xml:space="preserve">minimum. The subscription rate is </w:t>
      </w:r>
      <w:r w:rsidR="009D3F1D" w:rsidRPr="009D3F1D">
        <w:rPr>
          <w:b/>
          <w:bCs/>
        </w:rPr>
        <w:t>100%</w:t>
      </w:r>
      <w:r w:rsidR="009D3F1D">
        <w:t xml:space="preserve"> when the Euribor rate is </w:t>
      </w:r>
      <w:r w:rsidR="009D3F1D" w:rsidRPr="009D3F1D">
        <w:rPr>
          <w:b/>
          <w:bCs/>
        </w:rPr>
        <w:t>0.93</w:t>
      </w:r>
      <w:r w:rsidR="009D3F1D" w:rsidRPr="00F44B59">
        <w:t>.</w:t>
      </w:r>
      <w:r w:rsidR="00F44B59">
        <w:t xml:space="preserve"> It shows that there is a negative correlation between </w:t>
      </w:r>
      <w:r w:rsidR="004D43F3">
        <w:t>both</w:t>
      </w:r>
      <w:r w:rsidR="00F44B59">
        <w:t xml:space="preserve">, </w:t>
      </w:r>
      <w:proofErr w:type="gramStart"/>
      <w:r w:rsidR="00F44B59">
        <w:t>when</w:t>
      </w:r>
      <w:proofErr w:type="gramEnd"/>
      <w:r w:rsidR="00F44B59">
        <w:t xml:space="preserve"> Euribor is less subscriptions are high and vice versa.</w:t>
      </w:r>
      <w:r w:rsidR="009A1BFA" w:rsidRPr="00F44B59">
        <w:t xml:space="preserve">   </w:t>
      </w:r>
    </w:p>
    <w:p w14:paraId="21958203" w14:textId="43C6E1F3" w:rsidR="000A2708" w:rsidRDefault="009A1BFA" w:rsidP="006A2B31">
      <w:pPr>
        <w:pStyle w:val="ListParagraph"/>
      </w:pPr>
      <w:r w:rsidRPr="00F44B59">
        <w:t xml:space="preserve">          </w:t>
      </w:r>
    </w:p>
    <w:p w14:paraId="5B871B6D" w14:textId="77777777" w:rsidR="007B3B6E" w:rsidRPr="007B3B6E" w:rsidRDefault="00CA5C36" w:rsidP="00B07870">
      <w:pPr>
        <w:pStyle w:val="ListParagraph"/>
        <w:numPr>
          <w:ilvl w:val="0"/>
          <w:numId w:val="3"/>
        </w:numPr>
      </w:pPr>
      <w:r w:rsidRPr="003135EB">
        <w:rPr>
          <w:b/>
          <w:bCs/>
        </w:rPr>
        <w:t xml:space="preserve">Consumer Confidence </w:t>
      </w:r>
      <w:proofErr w:type="gramStart"/>
      <w:r w:rsidRPr="003135EB">
        <w:rPr>
          <w:b/>
          <w:bCs/>
        </w:rPr>
        <w:t>Index</w:t>
      </w:r>
      <w:r w:rsidR="009A1BFA" w:rsidRPr="003135EB">
        <w:rPr>
          <w:b/>
          <w:bCs/>
        </w:rPr>
        <w:t xml:space="preserve"> </w:t>
      </w:r>
      <w:r w:rsidRPr="003135EB">
        <w:rPr>
          <w:b/>
          <w:bCs/>
        </w:rPr>
        <w:t>:</w:t>
      </w:r>
      <w:proofErr w:type="gramEnd"/>
      <w:r w:rsidR="004F3BE1" w:rsidRPr="003135EB">
        <w:rPr>
          <w:b/>
          <w:bCs/>
        </w:rPr>
        <w:t xml:space="preserve"> </w:t>
      </w:r>
    </w:p>
    <w:p w14:paraId="43D20B0C" w14:textId="61272C59" w:rsidR="004F3BE1" w:rsidRPr="004F3BE1" w:rsidRDefault="007B3B6E" w:rsidP="007B3B6E">
      <w:pPr>
        <w:pStyle w:val="ListParagraph"/>
      </w:pPr>
      <w:r>
        <w:rPr>
          <w:b/>
          <w:bCs/>
        </w:rPr>
        <w:t xml:space="preserve">                 </w:t>
      </w:r>
      <w:r w:rsidR="004F3BE1" w:rsidRPr="003135EB">
        <w:t>The</w:t>
      </w:r>
      <w:r w:rsidR="004F3BE1" w:rsidRPr="004F3BE1">
        <w:t xml:space="preserve"> Consumer Confidence Index is a monthly survey that measures how optimistic or pessimistic consumers are about the economy's future health and their own personal financial situation.</w:t>
      </w:r>
      <w:r w:rsidR="00B07870">
        <w:t xml:space="preserve"> </w:t>
      </w:r>
      <w:r w:rsidR="00CE703D">
        <w:t xml:space="preserve">                                                           </w:t>
      </w:r>
      <w:r w:rsidR="00796E25">
        <w:t>With h</w:t>
      </w:r>
      <w:r w:rsidR="004F3BE1" w:rsidRPr="004F3BE1">
        <w:t>igh CC</w:t>
      </w:r>
      <w:r w:rsidR="00796E25">
        <w:t>I,</w:t>
      </w:r>
      <w:r w:rsidR="004F3BE1" w:rsidRPr="004F3BE1">
        <w:t> Consumers are</w:t>
      </w:r>
      <w:r w:rsidR="004F3BE1" w:rsidRPr="006010ED">
        <w:rPr>
          <w:b/>
          <w:bCs/>
        </w:rPr>
        <w:t> optimistic</w:t>
      </w:r>
      <w:r w:rsidR="004F3BE1" w:rsidRPr="004F3BE1">
        <w:t>. They feel secure in their jobs, expect their incomes to rise, and believe the economy is strong</w:t>
      </w:r>
      <w:r w:rsidR="00B07870">
        <w:t xml:space="preserve"> and with l</w:t>
      </w:r>
      <w:r w:rsidR="004F3BE1" w:rsidRPr="004F3BE1">
        <w:t>ow CCI</w:t>
      </w:r>
      <w:r w:rsidR="00B07870" w:rsidRPr="00B07870">
        <w:rPr>
          <w:b/>
          <w:bCs/>
        </w:rPr>
        <w:t xml:space="preserve">, </w:t>
      </w:r>
      <w:r w:rsidR="004F3BE1" w:rsidRPr="004F3BE1">
        <w:t>Consumers are </w:t>
      </w:r>
      <w:r w:rsidR="004F3BE1" w:rsidRPr="00B07870">
        <w:rPr>
          <w:b/>
          <w:bCs/>
        </w:rPr>
        <w:t>pessimistic</w:t>
      </w:r>
      <w:r w:rsidR="004F3BE1" w:rsidRPr="004F3BE1">
        <w:t>. They are worried about their job security, expect their finances to worsen, and are cautious about the economy.</w:t>
      </w:r>
      <w:r w:rsidR="006010ED">
        <w:t xml:space="preserve"> So, there is a positive correlation between the subscription rate and the CCI.</w:t>
      </w:r>
      <w:r w:rsidR="005A77AC">
        <w:t xml:space="preserve"> Highest subscription rate is </w:t>
      </w:r>
      <w:r w:rsidR="005A77AC" w:rsidRPr="00366F0D">
        <w:rPr>
          <w:b/>
          <w:bCs/>
        </w:rPr>
        <w:t>62.7%</w:t>
      </w:r>
      <w:r w:rsidR="005A77AC">
        <w:t xml:space="preserve"> at CCI of </w:t>
      </w:r>
      <w:r w:rsidR="005A77AC" w:rsidRPr="00366F0D">
        <w:rPr>
          <w:b/>
          <w:bCs/>
        </w:rPr>
        <w:t>-</w:t>
      </w:r>
      <w:proofErr w:type="gramStart"/>
      <w:r w:rsidR="005A77AC" w:rsidRPr="00366F0D">
        <w:rPr>
          <w:b/>
          <w:bCs/>
        </w:rPr>
        <w:t>40</w:t>
      </w:r>
      <w:r w:rsidR="00366F0D" w:rsidRPr="00366F0D">
        <w:rPr>
          <w:b/>
          <w:bCs/>
        </w:rPr>
        <w:t>.40</w:t>
      </w:r>
      <w:proofErr w:type="gramEnd"/>
      <w:r w:rsidR="00366F0D">
        <w:t>.</w:t>
      </w:r>
    </w:p>
    <w:p w14:paraId="54650D95" w14:textId="77777777" w:rsidR="00F6286B" w:rsidRPr="00F6286B" w:rsidRDefault="00F6286B" w:rsidP="00F6286B">
      <w:pPr>
        <w:pStyle w:val="ListParagraph"/>
      </w:pPr>
    </w:p>
    <w:p w14:paraId="7110AAC2" w14:textId="5EF4120B" w:rsidR="007B3B6E" w:rsidRDefault="004D43F3" w:rsidP="007B3B6E">
      <w:pPr>
        <w:pStyle w:val="ListParagraph"/>
        <w:numPr>
          <w:ilvl w:val="0"/>
          <w:numId w:val="3"/>
        </w:numPr>
      </w:pPr>
      <w:r w:rsidRPr="004D43F3">
        <w:rPr>
          <w:b/>
          <w:bCs/>
        </w:rPr>
        <w:t>Consumer Price Index:</w:t>
      </w:r>
      <w:r>
        <w:rPr>
          <w:b/>
          <w:bCs/>
        </w:rPr>
        <w:t xml:space="preserve"> </w:t>
      </w:r>
      <w:r w:rsidR="00AF753E" w:rsidRPr="00AF753E">
        <w:t xml:space="preserve"> </w:t>
      </w:r>
    </w:p>
    <w:p w14:paraId="69E5F62F" w14:textId="4799BA33" w:rsidR="00AF753E" w:rsidRDefault="007B3B6E" w:rsidP="007B3B6E">
      <w:pPr>
        <w:pStyle w:val="ListParagraph"/>
      </w:pPr>
      <w:r>
        <w:t xml:space="preserve">                  </w:t>
      </w:r>
      <w:r w:rsidR="00AF753E" w:rsidRPr="00AF753E">
        <w:t>The Consumer Price Index (CPI) measures the average change over time in the prices paid by urban consumers for a market basket of consumer goods and services</w:t>
      </w:r>
      <w:r w:rsidR="00A93220">
        <w:t xml:space="preserve">.                                                                                                        </w:t>
      </w:r>
      <w:r w:rsidR="00AF753E" w:rsidRPr="00AF753E">
        <w:t xml:space="preserve">Rising CPI means inflation is high. The cost of everyday items like food, housing, transportation, and healthcare </w:t>
      </w:r>
      <w:proofErr w:type="gramStart"/>
      <w:r w:rsidR="00AF753E" w:rsidRPr="00AF753E">
        <w:t>is</w:t>
      </w:r>
      <w:proofErr w:type="gramEnd"/>
      <w:r w:rsidR="00AF753E" w:rsidRPr="00AF753E">
        <w:t xml:space="preserve"> going up.</w:t>
      </w:r>
      <w:r w:rsidR="000E5E4A">
        <w:t xml:space="preserve"> </w:t>
      </w:r>
      <w:r w:rsidR="00AF753E" w:rsidRPr="00AF753E">
        <w:t>Stable/Falling CPI (Low/Decreasing)</w:t>
      </w:r>
      <w:r w:rsidR="00AF753E">
        <w:t xml:space="preserve"> </w:t>
      </w:r>
      <w:r w:rsidR="00AF753E" w:rsidRPr="00AF753E">
        <w:t>means inflation is low and stable. Prices are not increasing rapidly. CPI tracks the erosion of purchasing power. If your income stays the same but CPI rises by 5%, you can buy 5% less with your money.</w:t>
      </w:r>
      <w:r w:rsidR="00F10C1B">
        <w:t xml:space="preserve">   In this analysis,</w:t>
      </w:r>
      <w:r w:rsidR="00B863AE">
        <w:t xml:space="preserve"> </w:t>
      </w:r>
      <w:proofErr w:type="gramStart"/>
      <w:r w:rsidR="00B863AE">
        <w:t>It</w:t>
      </w:r>
      <w:proofErr w:type="gramEnd"/>
      <w:r w:rsidR="00B863AE">
        <w:t xml:space="preserve"> is showing an increasing trend along with the increasing CPI. The highest subscription rate</w:t>
      </w:r>
      <w:r w:rsidR="00F3786B">
        <w:t xml:space="preserve"> is </w:t>
      </w:r>
      <w:r w:rsidR="00F3786B" w:rsidRPr="007B3B6E">
        <w:rPr>
          <w:b/>
          <w:bCs/>
        </w:rPr>
        <w:t>62.7%</w:t>
      </w:r>
      <w:r w:rsidR="00F3786B">
        <w:t xml:space="preserve"> at </w:t>
      </w:r>
      <w:r w:rsidR="001813AD" w:rsidRPr="007B3B6E">
        <w:rPr>
          <w:b/>
          <w:bCs/>
        </w:rPr>
        <w:t>93.80</w:t>
      </w:r>
      <w:r w:rsidR="001813AD">
        <w:t xml:space="preserve"> CPI.</w:t>
      </w:r>
    </w:p>
    <w:p w14:paraId="7355818C" w14:textId="77777777" w:rsidR="000B7851" w:rsidRPr="00AF753E" w:rsidRDefault="000B7851" w:rsidP="007B3B6E">
      <w:pPr>
        <w:pStyle w:val="ListParagraph"/>
      </w:pPr>
    </w:p>
    <w:p w14:paraId="76712CE6" w14:textId="77777777" w:rsidR="007B3B6E" w:rsidRPr="007B3B6E" w:rsidRDefault="00747F2D" w:rsidP="009A1BFA">
      <w:pPr>
        <w:pStyle w:val="ListParagraph"/>
        <w:numPr>
          <w:ilvl w:val="0"/>
          <w:numId w:val="3"/>
        </w:numPr>
        <w:rPr>
          <w:b/>
          <w:bCs/>
        </w:rPr>
      </w:pPr>
      <w:r w:rsidRPr="007B3B6E">
        <w:rPr>
          <w:b/>
          <w:bCs/>
        </w:rPr>
        <w:t>Employment Varia</w:t>
      </w:r>
      <w:r w:rsidR="00323E11" w:rsidRPr="007B3B6E">
        <w:rPr>
          <w:b/>
          <w:bCs/>
        </w:rPr>
        <w:t>tion</w:t>
      </w:r>
      <w:r w:rsidRPr="007B3B6E">
        <w:rPr>
          <w:b/>
          <w:bCs/>
        </w:rPr>
        <w:t xml:space="preserve"> </w:t>
      </w:r>
      <w:proofErr w:type="gramStart"/>
      <w:r w:rsidRPr="007B3B6E">
        <w:rPr>
          <w:b/>
          <w:bCs/>
        </w:rPr>
        <w:t>Rate :</w:t>
      </w:r>
      <w:proofErr w:type="gramEnd"/>
      <w:r w:rsidRPr="007B3B6E">
        <w:rPr>
          <w:b/>
          <w:bCs/>
        </w:rPr>
        <w:t xml:space="preserve"> </w:t>
      </w:r>
    </w:p>
    <w:p w14:paraId="3F9DA76D" w14:textId="69369BDB" w:rsidR="009E5130" w:rsidRDefault="007B3B6E" w:rsidP="009E5130">
      <w:pPr>
        <w:pStyle w:val="ListParagraph"/>
      </w:pPr>
      <w:r>
        <w:t xml:space="preserve">                  </w:t>
      </w:r>
      <w:r w:rsidR="00E526B4" w:rsidRPr="00E526B4">
        <w:t xml:space="preserve">The Employment Variation Rate is </w:t>
      </w:r>
      <w:r w:rsidR="00E526B4" w:rsidRPr="006A2B31">
        <w:t>a quarterly indicator that measures the change in the number of employed people. It tracks whether employment is growing or shrinking in the economy.</w:t>
      </w:r>
      <w:r w:rsidR="009E5130">
        <w:t xml:space="preserve"> If it is </w:t>
      </w:r>
      <w:r w:rsidR="009E5130" w:rsidRPr="009E5130">
        <w:t>Positive = Accelerating (Economy adding jobs)</w:t>
      </w:r>
      <w:r w:rsidR="009E5130">
        <w:t xml:space="preserve">, if it is </w:t>
      </w:r>
      <w:r w:rsidR="009E5130" w:rsidRPr="009E5130">
        <w:t>Negative = Braking (Economy losing jobs)</w:t>
      </w:r>
      <w:r w:rsidR="00A776C7">
        <w:t xml:space="preserve">. </w:t>
      </w:r>
      <w:r w:rsidR="0065760B">
        <w:t xml:space="preserve">It has a negative correlation with the subscription rate. </w:t>
      </w:r>
      <w:r w:rsidR="009D49C8">
        <w:t>As</w:t>
      </w:r>
      <w:r w:rsidR="00AF4377">
        <w:t xml:space="preserve"> it is growing, subscription rate is declining.</w:t>
      </w:r>
      <w:r w:rsidR="008852F3">
        <w:t xml:space="preserve"> </w:t>
      </w:r>
    </w:p>
    <w:p w14:paraId="3883EBC7" w14:textId="7020D7AC" w:rsidR="008852F3" w:rsidRDefault="008852F3" w:rsidP="009E5130">
      <w:pPr>
        <w:pStyle w:val="ListParagraph"/>
      </w:pPr>
      <w:r>
        <w:t xml:space="preserve">Highest subscription rate is </w:t>
      </w:r>
      <w:r w:rsidRPr="009D49C8">
        <w:rPr>
          <w:b/>
          <w:bCs/>
        </w:rPr>
        <w:t xml:space="preserve">52.1% </w:t>
      </w:r>
      <w:r>
        <w:t xml:space="preserve">at </w:t>
      </w:r>
      <w:r w:rsidR="009D49C8" w:rsidRPr="009D49C8">
        <w:rPr>
          <w:b/>
          <w:bCs/>
        </w:rPr>
        <w:t xml:space="preserve">-1.70 </w:t>
      </w:r>
      <w:r w:rsidR="009D49C8">
        <w:t>employment variation rate.</w:t>
      </w:r>
    </w:p>
    <w:p w14:paraId="2C4DB81B" w14:textId="77777777" w:rsidR="00096747" w:rsidRDefault="00096747" w:rsidP="009E5130">
      <w:pPr>
        <w:pStyle w:val="ListParagraph"/>
      </w:pPr>
    </w:p>
    <w:p w14:paraId="319D0E7A" w14:textId="77777777" w:rsidR="00B24AFE" w:rsidRDefault="00B24AFE" w:rsidP="009E5130">
      <w:pPr>
        <w:pStyle w:val="ListParagraph"/>
      </w:pPr>
    </w:p>
    <w:p w14:paraId="2408D630" w14:textId="77777777" w:rsidR="00F6286B" w:rsidRDefault="00F6286B" w:rsidP="00B24AFE">
      <w:pPr>
        <w:pStyle w:val="Heading2"/>
      </w:pPr>
    </w:p>
    <w:p w14:paraId="308E5232" w14:textId="77777777" w:rsidR="00F6286B" w:rsidRDefault="00F6286B" w:rsidP="00B24AFE">
      <w:pPr>
        <w:pStyle w:val="Heading2"/>
      </w:pPr>
    </w:p>
    <w:p w14:paraId="6E3F6CA0" w14:textId="59BFDD01" w:rsidR="00B24AFE" w:rsidRDefault="00B24AFE" w:rsidP="00B24AFE">
      <w:pPr>
        <w:pStyle w:val="Heading2"/>
      </w:pPr>
      <w:r>
        <w:t>Conclusion :-</w:t>
      </w:r>
    </w:p>
    <w:p w14:paraId="27AA8052" w14:textId="77777777" w:rsidR="00B24AFE" w:rsidRDefault="00B24AFE" w:rsidP="00B24AFE">
      <w:r>
        <w:t xml:space="preserve">               </w:t>
      </w:r>
      <w:r w:rsidRPr="00B24AFE">
        <w:t>In conclusion, the analysis reveals clear patterns in client behavior and economic influence on term deposit subscriptions. To enhance campaign effectiveness, it is recommended to:</w:t>
      </w:r>
    </w:p>
    <w:p w14:paraId="3369EE13" w14:textId="68F369E4" w:rsidR="00B24AFE" w:rsidRDefault="003E25C0" w:rsidP="00B24AFE">
      <w:pPr>
        <w:pStyle w:val="ListParagraph"/>
        <w:numPr>
          <w:ilvl w:val="0"/>
          <w:numId w:val="8"/>
        </w:numPr>
      </w:pPr>
      <w:r>
        <w:t>Main target should be</w:t>
      </w:r>
      <w:r w:rsidR="00B24AFE" w:rsidRPr="00B24AFE">
        <w:t xml:space="preserve"> high-conversion segments like students, retirees, and previously successful clients</w:t>
      </w:r>
      <w:r w:rsidR="00F1049F">
        <w:t>.</w:t>
      </w:r>
    </w:p>
    <w:p w14:paraId="6DE78F12" w14:textId="12019F65" w:rsidR="00F1049F" w:rsidRDefault="00F1049F" w:rsidP="00B24AFE">
      <w:pPr>
        <w:pStyle w:val="ListParagraph"/>
        <w:numPr>
          <w:ilvl w:val="0"/>
          <w:numId w:val="8"/>
        </w:numPr>
      </w:pPr>
      <w:r>
        <w:t xml:space="preserve">Proper evaluation of </w:t>
      </w:r>
      <w:r w:rsidR="00714FA8">
        <w:t>clients with unknown default status as we cannot directly exclude them.</w:t>
      </w:r>
    </w:p>
    <w:p w14:paraId="36670990" w14:textId="24181E2B" w:rsidR="00B24AFE" w:rsidRDefault="003E25C0" w:rsidP="00B24AFE">
      <w:pPr>
        <w:pStyle w:val="ListParagraph"/>
        <w:numPr>
          <w:ilvl w:val="0"/>
          <w:numId w:val="8"/>
        </w:numPr>
      </w:pPr>
      <w:r>
        <w:t>Aligning</w:t>
      </w:r>
      <w:r w:rsidR="00B24AFE" w:rsidRPr="00B24AFE">
        <w:t xml:space="preserve"> marketing intensity with optimal timing, particularly the month of September and periods of low Euribor/high consumer confidence</w:t>
      </w:r>
      <w:r w:rsidR="00BC57F0">
        <w:t xml:space="preserve"> and other economic fa</w:t>
      </w:r>
      <w:r w:rsidR="004137E1">
        <w:t>ctors.</w:t>
      </w:r>
    </w:p>
    <w:p w14:paraId="583F19BB" w14:textId="26FF05BF" w:rsidR="00BE2781" w:rsidRDefault="004137E1" w:rsidP="00B24AFE">
      <w:pPr>
        <w:pStyle w:val="ListParagraph"/>
        <w:numPr>
          <w:ilvl w:val="0"/>
          <w:numId w:val="8"/>
        </w:numPr>
      </w:pPr>
      <w:r>
        <w:t>O</w:t>
      </w:r>
      <w:r w:rsidR="00B24AFE" w:rsidRPr="00B24AFE">
        <w:t xml:space="preserve">ptimize telemarketing strategy to foster longer, more engaging calls. </w:t>
      </w:r>
      <w:r w:rsidR="00407CB7">
        <w:t>For example -</w:t>
      </w:r>
      <w:r w:rsidR="00032E4F" w:rsidRPr="00032E4F">
        <w:t>For the illiterate segment, use simple, visual, and verbal explanations</w:t>
      </w:r>
      <w:r w:rsidR="00407CB7">
        <w:t xml:space="preserve"> and f</w:t>
      </w:r>
      <w:r w:rsidR="00032E4F" w:rsidRPr="00032E4F">
        <w:t>or the highly educated, provide detailed, data-driven fact sheets.</w:t>
      </w:r>
    </w:p>
    <w:p w14:paraId="28C426E1" w14:textId="77777777" w:rsidR="00BE2781" w:rsidRDefault="00BE2781" w:rsidP="00BE2781">
      <w:pPr>
        <w:pStyle w:val="ListParagraph"/>
        <w:ind w:left="408"/>
      </w:pPr>
    </w:p>
    <w:p w14:paraId="1D71B169" w14:textId="018A113E" w:rsidR="00B24AFE" w:rsidRPr="00B24AFE" w:rsidRDefault="00B24AFE" w:rsidP="00BE2781">
      <w:pPr>
        <w:pStyle w:val="ListParagraph"/>
        <w:ind w:left="408"/>
      </w:pPr>
      <w:r w:rsidRPr="00B24AFE">
        <w:t>By implementing these data-driven recommendations, the bank can significantly improve subscription rates and allocate its marketing resources more efficiently.</w:t>
      </w:r>
    </w:p>
    <w:p w14:paraId="63A5E0AA" w14:textId="77777777" w:rsidR="00096747" w:rsidRDefault="00096747" w:rsidP="009E5130">
      <w:pPr>
        <w:pStyle w:val="ListParagraph"/>
      </w:pPr>
    </w:p>
    <w:p w14:paraId="001AD6ED" w14:textId="77777777" w:rsidR="00096747" w:rsidRDefault="00096747" w:rsidP="009E5130">
      <w:pPr>
        <w:pStyle w:val="ListParagraph"/>
      </w:pPr>
    </w:p>
    <w:p w14:paraId="5FDD08CA" w14:textId="508B0249" w:rsidR="00A776C7" w:rsidRPr="009E5130" w:rsidRDefault="00A776C7" w:rsidP="009E5130">
      <w:pPr>
        <w:pStyle w:val="ListParagraph"/>
      </w:pPr>
      <w:r>
        <w:t xml:space="preserve">      </w:t>
      </w:r>
    </w:p>
    <w:p w14:paraId="678CA84E" w14:textId="1E2CD63E" w:rsidR="00AF753E" w:rsidRPr="006A2B31" w:rsidRDefault="00AF753E" w:rsidP="007B3B6E">
      <w:pPr>
        <w:pStyle w:val="ListParagraph"/>
      </w:pPr>
    </w:p>
    <w:p w14:paraId="7CCFA50C" w14:textId="7CBB114D" w:rsidR="009A1BFA" w:rsidRPr="00F44B59" w:rsidRDefault="009A1BFA" w:rsidP="00747F2D">
      <w:pPr>
        <w:ind w:left="360"/>
      </w:pPr>
      <w:r w:rsidRPr="00F44B59">
        <w:t xml:space="preserve">                         </w:t>
      </w:r>
    </w:p>
    <w:p w14:paraId="782F8268" w14:textId="10846B2A" w:rsidR="009D1BC1" w:rsidRPr="00F44B59" w:rsidRDefault="009D1BC1" w:rsidP="00C37008">
      <w:pPr>
        <w:pStyle w:val="ListParagraph"/>
      </w:pPr>
    </w:p>
    <w:p w14:paraId="2EE4AF19" w14:textId="5298F758" w:rsidR="00723FD7" w:rsidRDefault="00723FD7" w:rsidP="00723FD7">
      <w:pPr>
        <w:pStyle w:val="Heading2"/>
      </w:pPr>
      <w:r>
        <w:t xml:space="preserve"> </w:t>
      </w:r>
    </w:p>
    <w:p w14:paraId="6BCF3C65" w14:textId="77777777" w:rsidR="00723FD7" w:rsidRPr="00723FD7" w:rsidRDefault="00723FD7" w:rsidP="00723FD7"/>
    <w:p w14:paraId="4BDA44AC" w14:textId="507706BE" w:rsidR="002B28F4" w:rsidRPr="002B28F4" w:rsidRDefault="002B28F4" w:rsidP="002B28F4">
      <w:r>
        <w:t xml:space="preserve">             </w:t>
      </w:r>
    </w:p>
    <w:p w14:paraId="48138E49" w14:textId="77777777" w:rsidR="009C2EAE" w:rsidRPr="00707D98" w:rsidRDefault="009C2EAE" w:rsidP="009C2EAE">
      <w:pPr>
        <w:pStyle w:val="ListParagraph"/>
      </w:pPr>
    </w:p>
    <w:p w14:paraId="2B1FEFD8" w14:textId="77777777" w:rsidR="00707D98" w:rsidRPr="00707D98" w:rsidRDefault="00707D98" w:rsidP="00707D98"/>
    <w:p w14:paraId="653985C8" w14:textId="77777777" w:rsidR="00707D98" w:rsidRPr="00C84B08" w:rsidRDefault="00707D98" w:rsidP="00C84B08"/>
    <w:sectPr w:rsidR="00707D98" w:rsidRPr="00C84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676F7"/>
    <w:multiLevelType w:val="multilevel"/>
    <w:tmpl w:val="7B16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B4EB0"/>
    <w:multiLevelType w:val="multilevel"/>
    <w:tmpl w:val="DCAA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A58B7"/>
    <w:multiLevelType w:val="hybridMultilevel"/>
    <w:tmpl w:val="4ED6B86E"/>
    <w:lvl w:ilvl="0" w:tplc="A754EBB6">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45CE444A"/>
    <w:multiLevelType w:val="hybridMultilevel"/>
    <w:tmpl w:val="33CE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E0DA8"/>
    <w:multiLevelType w:val="multilevel"/>
    <w:tmpl w:val="43A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B13E8"/>
    <w:multiLevelType w:val="hybridMultilevel"/>
    <w:tmpl w:val="A998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84EED"/>
    <w:multiLevelType w:val="hybridMultilevel"/>
    <w:tmpl w:val="E26280AA"/>
    <w:lvl w:ilvl="0" w:tplc="683096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31FCE"/>
    <w:multiLevelType w:val="multilevel"/>
    <w:tmpl w:val="D22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635319">
    <w:abstractNumId w:val="5"/>
  </w:num>
  <w:num w:numId="2" w16cid:durableId="1637444433">
    <w:abstractNumId w:val="3"/>
  </w:num>
  <w:num w:numId="3" w16cid:durableId="127823506">
    <w:abstractNumId w:val="6"/>
  </w:num>
  <w:num w:numId="4" w16cid:durableId="479615989">
    <w:abstractNumId w:val="1"/>
  </w:num>
  <w:num w:numId="5" w16cid:durableId="1330254589">
    <w:abstractNumId w:val="4"/>
  </w:num>
  <w:num w:numId="6" w16cid:durableId="720909034">
    <w:abstractNumId w:val="0"/>
  </w:num>
  <w:num w:numId="7" w16cid:durableId="1029910207">
    <w:abstractNumId w:val="7"/>
  </w:num>
  <w:num w:numId="8" w16cid:durableId="2082874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08"/>
    <w:rsid w:val="000006B1"/>
    <w:rsid w:val="0001316C"/>
    <w:rsid w:val="00032E4F"/>
    <w:rsid w:val="00085735"/>
    <w:rsid w:val="00096747"/>
    <w:rsid w:val="000A2708"/>
    <w:rsid w:val="000A5863"/>
    <w:rsid w:val="000B4832"/>
    <w:rsid w:val="000B4EE3"/>
    <w:rsid w:val="000B7851"/>
    <w:rsid w:val="000E5E4A"/>
    <w:rsid w:val="00120C08"/>
    <w:rsid w:val="00127C1B"/>
    <w:rsid w:val="001813AD"/>
    <w:rsid w:val="00190C69"/>
    <w:rsid w:val="001B2CD6"/>
    <w:rsid w:val="001C59D0"/>
    <w:rsid w:val="001D67AB"/>
    <w:rsid w:val="001F44FB"/>
    <w:rsid w:val="00275C39"/>
    <w:rsid w:val="00290812"/>
    <w:rsid w:val="00297BFF"/>
    <w:rsid w:val="002A31A1"/>
    <w:rsid w:val="002A5AB0"/>
    <w:rsid w:val="002B28F4"/>
    <w:rsid w:val="003135EB"/>
    <w:rsid w:val="0032168E"/>
    <w:rsid w:val="00323E11"/>
    <w:rsid w:val="0035178C"/>
    <w:rsid w:val="00366F0D"/>
    <w:rsid w:val="00396EED"/>
    <w:rsid w:val="003B6756"/>
    <w:rsid w:val="003E25C0"/>
    <w:rsid w:val="00407CB7"/>
    <w:rsid w:val="004137E1"/>
    <w:rsid w:val="004169C6"/>
    <w:rsid w:val="00426708"/>
    <w:rsid w:val="00461E92"/>
    <w:rsid w:val="004C7AD9"/>
    <w:rsid w:val="004D43F3"/>
    <w:rsid w:val="004F3BE1"/>
    <w:rsid w:val="004F5A84"/>
    <w:rsid w:val="00535C26"/>
    <w:rsid w:val="0059464D"/>
    <w:rsid w:val="005A2838"/>
    <w:rsid w:val="005A77AC"/>
    <w:rsid w:val="005D4DD7"/>
    <w:rsid w:val="005E5BFC"/>
    <w:rsid w:val="005F2DC2"/>
    <w:rsid w:val="006010ED"/>
    <w:rsid w:val="00601A56"/>
    <w:rsid w:val="00636C19"/>
    <w:rsid w:val="00637A0A"/>
    <w:rsid w:val="00641DE4"/>
    <w:rsid w:val="00642531"/>
    <w:rsid w:val="00654CEB"/>
    <w:rsid w:val="0065760B"/>
    <w:rsid w:val="006665EE"/>
    <w:rsid w:val="006850A3"/>
    <w:rsid w:val="00686F91"/>
    <w:rsid w:val="006A2B31"/>
    <w:rsid w:val="006D02AB"/>
    <w:rsid w:val="006D2148"/>
    <w:rsid w:val="006D7F46"/>
    <w:rsid w:val="006E61BE"/>
    <w:rsid w:val="006F09B6"/>
    <w:rsid w:val="006F1B99"/>
    <w:rsid w:val="00707D98"/>
    <w:rsid w:val="00714FA8"/>
    <w:rsid w:val="00723FD7"/>
    <w:rsid w:val="00747F2D"/>
    <w:rsid w:val="00773CE6"/>
    <w:rsid w:val="00796E25"/>
    <w:rsid w:val="007B3B6E"/>
    <w:rsid w:val="007C33F6"/>
    <w:rsid w:val="007E1C5F"/>
    <w:rsid w:val="007F39FE"/>
    <w:rsid w:val="008475C9"/>
    <w:rsid w:val="008479B0"/>
    <w:rsid w:val="00854E82"/>
    <w:rsid w:val="00857967"/>
    <w:rsid w:val="00880451"/>
    <w:rsid w:val="008852F3"/>
    <w:rsid w:val="00897687"/>
    <w:rsid w:val="008E2797"/>
    <w:rsid w:val="00946D89"/>
    <w:rsid w:val="0097630B"/>
    <w:rsid w:val="00985B40"/>
    <w:rsid w:val="009871BC"/>
    <w:rsid w:val="009A1BFA"/>
    <w:rsid w:val="009A2FE1"/>
    <w:rsid w:val="009C2EAE"/>
    <w:rsid w:val="009D1BC1"/>
    <w:rsid w:val="009D3F1D"/>
    <w:rsid w:val="009D49C8"/>
    <w:rsid w:val="009E5130"/>
    <w:rsid w:val="00A103A7"/>
    <w:rsid w:val="00A218FE"/>
    <w:rsid w:val="00A50C82"/>
    <w:rsid w:val="00A776C7"/>
    <w:rsid w:val="00A93220"/>
    <w:rsid w:val="00AA5294"/>
    <w:rsid w:val="00AA707E"/>
    <w:rsid w:val="00AC47E3"/>
    <w:rsid w:val="00AF4377"/>
    <w:rsid w:val="00AF753E"/>
    <w:rsid w:val="00B0481A"/>
    <w:rsid w:val="00B07870"/>
    <w:rsid w:val="00B24AFE"/>
    <w:rsid w:val="00B67F58"/>
    <w:rsid w:val="00B81589"/>
    <w:rsid w:val="00B8581E"/>
    <w:rsid w:val="00B863AE"/>
    <w:rsid w:val="00B90B1E"/>
    <w:rsid w:val="00BC57F0"/>
    <w:rsid w:val="00BE2781"/>
    <w:rsid w:val="00C37008"/>
    <w:rsid w:val="00C55C9C"/>
    <w:rsid w:val="00C70912"/>
    <w:rsid w:val="00C831B0"/>
    <w:rsid w:val="00C84B08"/>
    <w:rsid w:val="00CA5C36"/>
    <w:rsid w:val="00CA7DF2"/>
    <w:rsid w:val="00CB4616"/>
    <w:rsid w:val="00CE02D7"/>
    <w:rsid w:val="00CE703D"/>
    <w:rsid w:val="00D01580"/>
    <w:rsid w:val="00D4032B"/>
    <w:rsid w:val="00D73064"/>
    <w:rsid w:val="00D92426"/>
    <w:rsid w:val="00DA1BFD"/>
    <w:rsid w:val="00DA70D6"/>
    <w:rsid w:val="00DF4CD7"/>
    <w:rsid w:val="00E00701"/>
    <w:rsid w:val="00E00CA9"/>
    <w:rsid w:val="00E03888"/>
    <w:rsid w:val="00E16348"/>
    <w:rsid w:val="00E42A88"/>
    <w:rsid w:val="00E526B4"/>
    <w:rsid w:val="00EA1816"/>
    <w:rsid w:val="00EA45E6"/>
    <w:rsid w:val="00EA5766"/>
    <w:rsid w:val="00EC2FB1"/>
    <w:rsid w:val="00EF616A"/>
    <w:rsid w:val="00F1049F"/>
    <w:rsid w:val="00F10C1B"/>
    <w:rsid w:val="00F3786B"/>
    <w:rsid w:val="00F44B59"/>
    <w:rsid w:val="00F6286B"/>
    <w:rsid w:val="00F668A2"/>
    <w:rsid w:val="00FB5F5B"/>
    <w:rsid w:val="00FD6A7B"/>
    <w:rsid w:val="00FE36E8"/>
    <w:rsid w:val="00FF0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9DD6"/>
  <w15:chartTrackingRefBased/>
  <w15:docId w15:val="{0CEF6EE8-353E-42C6-8440-25E920CF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4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4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B08"/>
    <w:rPr>
      <w:rFonts w:eastAsiaTheme="majorEastAsia" w:cstheme="majorBidi"/>
      <w:color w:val="272727" w:themeColor="text1" w:themeTint="D8"/>
    </w:rPr>
  </w:style>
  <w:style w:type="paragraph" w:styleId="Title">
    <w:name w:val="Title"/>
    <w:basedOn w:val="Normal"/>
    <w:next w:val="Normal"/>
    <w:link w:val="TitleChar"/>
    <w:uiPriority w:val="10"/>
    <w:qFormat/>
    <w:rsid w:val="00C84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B08"/>
    <w:pPr>
      <w:spacing w:before="160"/>
      <w:jc w:val="center"/>
    </w:pPr>
    <w:rPr>
      <w:i/>
      <w:iCs/>
      <w:color w:val="404040" w:themeColor="text1" w:themeTint="BF"/>
    </w:rPr>
  </w:style>
  <w:style w:type="character" w:customStyle="1" w:styleId="QuoteChar">
    <w:name w:val="Quote Char"/>
    <w:basedOn w:val="DefaultParagraphFont"/>
    <w:link w:val="Quote"/>
    <w:uiPriority w:val="29"/>
    <w:rsid w:val="00C84B08"/>
    <w:rPr>
      <w:i/>
      <w:iCs/>
      <w:color w:val="404040" w:themeColor="text1" w:themeTint="BF"/>
    </w:rPr>
  </w:style>
  <w:style w:type="paragraph" w:styleId="ListParagraph">
    <w:name w:val="List Paragraph"/>
    <w:basedOn w:val="Normal"/>
    <w:uiPriority w:val="34"/>
    <w:qFormat/>
    <w:rsid w:val="00C84B08"/>
    <w:pPr>
      <w:ind w:left="720"/>
      <w:contextualSpacing/>
    </w:pPr>
  </w:style>
  <w:style w:type="character" w:styleId="IntenseEmphasis">
    <w:name w:val="Intense Emphasis"/>
    <w:basedOn w:val="DefaultParagraphFont"/>
    <w:uiPriority w:val="21"/>
    <w:qFormat/>
    <w:rsid w:val="00C84B08"/>
    <w:rPr>
      <w:i/>
      <w:iCs/>
      <w:color w:val="0F4761" w:themeColor="accent1" w:themeShade="BF"/>
    </w:rPr>
  </w:style>
  <w:style w:type="paragraph" w:styleId="IntenseQuote">
    <w:name w:val="Intense Quote"/>
    <w:basedOn w:val="Normal"/>
    <w:next w:val="Normal"/>
    <w:link w:val="IntenseQuoteChar"/>
    <w:uiPriority w:val="30"/>
    <w:qFormat/>
    <w:rsid w:val="00C84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B08"/>
    <w:rPr>
      <w:i/>
      <w:iCs/>
      <w:color w:val="0F4761" w:themeColor="accent1" w:themeShade="BF"/>
    </w:rPr>
  </w:style>
  <w:style w:type="character" w:styleId="IntenseReference">
    <w:name w:val="Intense Reference"/>
    <w:basedOn w:val="DefaultParagraphFont"/>
    <w:uiPriority w:val="32"/>
    <w:qFormat/>
    <w:rsid w:val="00C84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Karamjeet Kaur 100326</dc:creator>
  <cp:keywords/>
  <dc:description/>
  <cp:lastModifiedBy>Karamjeet Kaur 100326</cp:lastModifiedBy>
  <cp:revision>142</cp:revision>
  <dcterms:created xsi:type="dcterms:W3CDTF">2025-10-01T06:41:00Z</dcterms:created>
  <dcterms:modified xsi:type="dcterms:W3CDTF">2025-10-01T12:19:00Z</dcterms:modified>
</cp:coreProperties>
</file>