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5D63"/>
          <w:sz w:val="44"/>
          <w:szCs w:val="44"/>
        </w:rPr>
        <w:t xml:space="preserve">FinTrust Platform: Detailed Report on the Visuals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B6575"/>
          <w:sz w:val="21"/>
          <w:szCs w:val="21"/>
        </w:rPr>
        <w:t xml:space="preserve">Analysis of the three Power BI dashboards (Visual_1.pdf): customers, segmentation and transactions. Values preceded by "~" are read from the charts and are approximate.</w:t>
      </w:r>
    </w:p>
    <w:p>
      <w:pPr>
        <w:pStyle w:val="Heading1"/>
        <w:pBdr>
          <w:top w:val="single" w:color="0B5D63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B5D63"/>
          <w:sz w:val="32"/>
          <w:szCs w:val="32"/>
        </w:rPr>
        <w:t xml:space="preserve">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1,500</w:t>
            </w:r>
          </w:p>
        </w:tc>
        <w:tc>
          <w:tcPr>
            <w:tcW w:type="dxa" w:w="225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12K</w:t>
            </w:r>
          </w:p>
        </w:tc>
        <w:tc>
          <w:tcPr>
            <w:tcW w:type="dxa" w:w="2257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 + Unknown</w:t>
            </w:r>
          </w:p>
        </w:tc>
        <w:tc>
          <w:tcPr>
            <w:tcW w:type="dxa" w:w="2257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~19%</w:t>
            </w:r>
          </w:p>
        </w:tc>
      </w:tr>
      <w:tr>
        <w:tc>
          <w:tcPr>
            <w:tcW w:type="dxa" w:w="225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 (727 M, 722 F, 51 unspecified)</w:t>
            </w:r>
          </w:p>
        </w:tc>
        <w:tc>
          <w:tcPr>
            <w:tcW w:type="dxa" w:w="225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57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cities</w:t>
            </w:r>
          </w:p>
        </w:tc>
        <w:tc>
          <w:tcPr>
            <w:tcW w:type="dxa" w:w="2257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transactions flagged as risky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Customers are concentrated in Lagos (488 customers, 32.53%), while transactions are spread almost evenly across cities (~12% each).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Average indicators (age, digital engagement, tenure, income) vary very little from one city to another.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portfolio relies on the Everyday segment (711 customers) and Savings accounts (893).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Transfers dominate transaction types, and the risk rate is stable (18% to 21% per city).</w:t>
      </w:r>
    </w:p>
    <w:p>
      <w:pPr>
        <w:pStyle w:val="Heading1"/>
        <w:pBdr>
          <w:top w:val="single" w:color="0B5D63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B5D63"/>
          <w:sz w:val="32"/>
          <w:szCs w:val="32"/>
        </w:rPr>
        <w:t xml:space="preserve">Page 1: Demographics, Segments and Accounts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Table of averages by city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Average age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Digital engagement</w:t>
            </w:r>
          </w:p>
        </w:tc>
      </w:tr>
      <w:tr>
        <w:tc>
          <w:tcPr>
            <w:tcW w:type="dxa" w:w="3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Abuja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41.77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68.36</w:t>
            </w:r>
          </w:p>
        </w:tc>
      </w:tr>
      <w:tr>
        <w:tc>
          <w:tcPr>
            <w:tcW w:type="dxa" w:w="3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Benin City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43.95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66.32</w:t>
            </w:r>
          </w:p>
        </w:tc>
      </w:tr>
      <w:tr>
        <w:tc>
          <w:tcPr>
            <w:tcW w:type="dxa" w:w="3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Enugu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40.12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68.93</w:t>
            </w:r>
          </w:p>
        </w:tc>
      </w:tr>
      <w:tr>
        <w:tc>
          <w:tcPr>
            <w:tcW w:type="dxa" w:w="3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Ibadan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42.80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67.86</w:t>
            </w:r>
          </w:p>
        </w:tc>
      </w:tr>
      <w:tr>
        <w:tc>
          <w:tcPr>
            <w:tcW w:type="dxa" w:w="3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Kaduna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40.12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67.97</w:t>
            </w:r>
          </w:p>
        </w:tc>
      </w:tr>
      <w:tr>
        <w:tc>
          <w:tcPr>
            <w:tcW w:type="dxa" w:w="3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Kano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41.13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67.07</w:t>
            </w:r>
          </w:p>
        </w:tc>
      </w:tr>
      <w:tr>
        <w:tc>
          <w:tcPr>
            <w:tcW w:type="dxa" w:w="3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Lagos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41.65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67.61</w:t>
            </w:r>
          </w:p>
        </w:tc>
      </w:tr>
      <w:tr>
        <w:tc>
          <w:tcPr>
            <w:tcW w:type="dxa" w:w="3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Harcourt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40.98</w:t>
            </w:r>
          </w:p>
        </w:tc>
        <w:tc>
          <w:tcPr>
            <w:tcW w:type="dxa" w:w="2713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69.63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Age ranges from 40.12 to 43.95 years, engagement from 66.32 to 69.63. The avg_income column is truncated in the export.</w:t>
      </w:r>
    </w:p>
    <w:p>
      <w:pPr>
        <w:pBdr>
          <w:left w:val="single" w:color="D08A1C" w:sz="24" w:space="8"/>
        </w:pBdr>
        <w:shd w:fill="FFF3DF" w:val="clear"/>
        <w:spacing w:after="160" w:before="100" w:line="290"/>
        <w:ind w:left="140"/>
      </w:pPr>
      <w:r>
        <w:rPr>
          <w:rFonts w:ascii="Calibri" w:cs="Calibri" w:eastAsia="Calibri" w:hAnsi="Calibri"/>
          <w:sz w:val="21"/>
          <w:szCs w:val="21"/>
        </w:rPr>
        <w:t xml:space="preserve">The "Total" row (332.52 and 543.75) adds up averages, which is meaningless. The true simple averages are ~41.6 years and ~68.0.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Customers by city (pie chart) and by gender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600"/>
        <w:gridCol w:w="1700"/>
        <w:gridCol w:w="1650"/>
        <w:gridCol w:w="1650"/>
      </w:tblGrid>
      <w:tr>
        <w:trPr>
          <w:tblHeader/>
        </w:trP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Customers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Share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Women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Lagos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488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32.53%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~235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~237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Abuja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223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14.87%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~115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 Harcourt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11.47%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~80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~87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Kano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159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10.60%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~75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Ibadan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148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9.87%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~73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~77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Enugu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7.20%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~52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Kaduna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6.87%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~52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~45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Benin City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6.60%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~52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~45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1,500</w:t>
            </w:r>
          </w:p>
        </w:tc>
        <w:tc>
          <w:tcPr>
            <w:tcW w:type="dxa" w:w="17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727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722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Gender balance is almost perfect (48.5% / 48.1%); the remaining 51 customers (3.4%) have no gender recorded. In the pie chart, the Kaduna label is hidden: 103 is deduced by difference and from the descending order on page 2.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Segments by city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Everyday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SME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Lagos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~215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~72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Abuja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~107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~38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~34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~48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Harcourt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~85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~37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~29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~26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Kano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~73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~37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~23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~29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Ibadan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~70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~29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~31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Kaduna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~55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~9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Benin City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~55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~13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~13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Enugu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~53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~22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~20</w:t>
            </w:r>
          </w:p>
        </w:tc>
        <w:tc>
          <w:tcPr>
            <w:tcW w:type="dxa" w:w="165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~16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Lagos leads all segments, followed by Abuja. Everyday is the top segment everywhere. Despite the "Average" title, the bars show headcounts rather than averages.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Account types by city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Savings dominate everywhere: Lagos ~295, Abuja ~132, Port Harcourt ~102, Kano ~92, Ibadan ~89, Enugu ~65, Benin City ~60, Kaduna ~58 (total 893). Current accounts range from ~15 (Benin City) to ~120 (Lagos). Premium accounts are the fewest, from ~13 (Enugu) to ~72 (Lagos). Benin City is the only city where Premium exceeds Current.</w:t>
      </w:r>
    </w:p>
    <w:p>
      <w:pPr>
        <w:pStyle w:val="Heading1"/>
        <w:pBdr>
          <w:top w:val="single" w:color="0B5D63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B5D63"/>
          <w:sz w:val="32"/>
          <w:szCs w:val="32"/>
        </w:rPr>
        <w:t xml:space="preserve">Page 2: Loyalty, Income and Influencing Factors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Everyday segment</w:t>
            </w:r>
          </w:p>
        </w:tc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Premium segment</w:t>
            </w:r>
          </w:p>
        </w:tc>
        <w:tc>
          <w:tcPr>
            <w:tcW w:type="dxa" w:w="150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Student segment</w:t>
            </w:r>
          </w:p>
        </w:tc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Savings accounts</w:t>
            </w:r>
          </w:p>
        </w:tc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Currents accounts</w:t>
            </w:r>
          </w:p>
        </w:tc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Premium accounts</w:t>
            </w:r>
          </w:p>
        </w:tc>
      </w:tr>
      <w:tr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711</w:t>
            </w:r>
          </w:p>
        </w:tc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295</w:t>
            </w:r>
          </w:p>
        </w:tc>
        <w:tc>
          <w:tcPr>
            <w:tcW w:type="dxa" w:w="150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278</w:t>
            </w:r>
          </w:p>
        </w:tc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893</w:t>
            </w:r>
          </w:p>
        </w:tc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378</w:t>
            </w:r>
          </w:p>
        </w:tc>
        <w:tc>
          <w:tcPr>
            <w:tcW w:type="dxa" w:w="1504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229</w:t>
            </w:r>
          </w:p>
        </w:tc>
      </w:tr>
    </w:tbl>
    <w:p>
      <w:pPr>
        <w:spacing w:after="80"/>
      </w:pPr>
    </w:p>
    <w:p>
      <w:pPr>
        <w:pBdr>
          <w:left w:val="single" w:color="D08A1C" w:sz="24" w:space="8"/>
        </w:pBdr>
        <w:shd w:fill="FFF3DF" w:val="clear"/>
        <w:spacing w:after="160" w:before="100" w:line="290"/>
        <w:ind w:left="140"/>
      </w:pPr>
      <w:r>
        <w:rPr>
          <w:rFonts w:ascii="Calibri" w:cs="Calibri" w:eastAsia="Calibri" w:hAnsi="Calibri"/>
          <w:sz w:val="21"/>
          <w:szCs w:val="21"/>
        </w:rPr>
        <w:t xml:space="preserve">The three right-hand cards are account types (893 + 378 + 229 = 1,500), not segments. The SME segment is not displayed: by deduction 1,500 − 711 − 295 − 278 = 216 customers (~14.4%).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Customers by city (stacked bars + line)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Same ranking as the page 1 pie chart: Lagos ~488, Abuja ~223, Port Harcourt ~172, Kano ~159, Ibadan ~148, Enugu ~108, Kaduna ~103, Benin City ~99. The nb_customers line follows exactly the top of the male + female bars.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Average indicators by city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000"/>
        <w:gridCol w:w="2300"/>
        <w:gridCol w:w="2300"/>
      </w:tblGrid>
      <w:tr>
        <w:trPr>
          <w:tblHeader/>
        </w:trP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Tenure (months)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Income band rank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Digital engagement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Harcourt</w:t>
            </w:r>
          </w:p>
        </w:tc>
        <w:tc>
          <w:tcPr>
            <w:tcW w:type="dxa" w:w="20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~52.0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~2.76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69.63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Kano</w:t>
            </w:r>
          </w:p>
        </w:tc>
        <w:tc>
          <w:tcPr>
            <w:tcW w:type="dxa" w:w="20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~51.3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~2.62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67.07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Kaduna</w:t>
            </w:r>
          </w:p>
        </w:tc>
        <w:tc>
          <w:tcPr>
            <w:tcW w:type="dxa" w:w="20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~50.6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~2.64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67.97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Ibadan</w:t>
            </w:r>
          </w:p>
        </w:tc>
        <w:tc>
          <w:tcPr>
            <w:tcW w:type="dxa" w:w="20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~50.5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~2.75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67.86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Abuja</w:t>
            </w:r>
          </w:p>
        </w:tc>
        <w:tc>
          <w:tcPr>
            <w:tcW w:type="dxa" w:w="20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~50.0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~2.72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68.36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Lagos</w:t>
            </w:r>
          </w:p>
        </w:tc>
        <w:tc>
          <w:tcPr>
            <w:tcW w:type="dxa" w:w="20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~48.8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~2.71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67.61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Enugu</w:t>
            </w:r>
          </w:p>
        </w:tc>
        <w:tc>
          <w:tcPr>
            <w:tcW w:type="dxa" w:w="20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~48.7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~2.69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68.93</w:t>
            </w:r>
          </w:p>
        </w:tc>
      </w:tr>
      <w:tr>
        <w:tc>
          <w:tcPr>
            <w:tcW w:type="dxa" w:w="24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Benin City</w:t>
            </w:r>
          </w:p>
        </w:tc>
        <w:tc>
          <w:tcPr>
            <w:tcW w:type="dxa" w:w="20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~48.0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~2.76</w:t>
            </w:r>
          </w:p>
        </w:tc>
        <w:tc>
          <w:tcPr>
            <w:tcW w:type="dxa" w:w="23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66.32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Tenure ranges from 48 months (Benin City) to 52 months (Port Harcourt). Port Harcourt ranks first in both tenure and engagement. The area charts have truncated axes (48-54, 2.6-2.8, 66-70), which visually amplifies small differences (e.g. 2.62 versus 2.76 for income rank).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Key influencers of nb_customers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When nb_segment_everyday increases by 51.51, the average nb_customers increases by 19.48.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When nb_segment_sme increases by 18.44, it increases by 19.47.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two effects are almost identical: no segment clearly stands out. The associated scatter plot shows an upward relationship driven by Lagos (~500). With only 8 cities, this result is not very robust.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Tenure and segments (combined chart)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peak at ~48.8 months corresponds to Lagos (~488 customers). The other cities sit between ~100 and ~225 customers with no visible link to tenure: a city's size does not depend on its average loyalty.</w:t>
      </w:r>
    </w:p>
    <w:p>
      <w:pPr>
        <w:pBdr>
          <w:left w:val="single" w:color="D08A1C" w:sz="24" w:space="8"/>
        </w:pBdr>
        <w:shd w:fill="FFF3DF" w:val="clear"/>
        <w:spacing w:after="160" w:before="100" w:line="290"/>
        <w:ind w:left="140"/>
      </w:pPr>
      <w:r>
        <w:rPr>
          <w:rFonts w:ascii="Calibri" w:cs="Calibri" w:eastAsia="Calibri" w:hAnsi="Calibri"/>
          <w:sz w:val="21"/>
          <w:szCs w:val="21"/>
        </w:rPr>
        <w:t xml:space="preserve">The chart titled "Account Type by city" (100% bars) actually shows avg_age and nb_customers. This ratio (age ÷ (age + customers)) is an artifact with no business meaning: it is ~8% for Lagos and ~31% for Benin City simply because customer counts differ.</w:t>
      </w:r>
    </w:p>
    <w:p>
      <w:pPr>
        <w:pStyle w:val="Heading1"/>
        <w:pBdr>
          <w:top w:val="single" w:color="0B5D63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B5D63"/>
          <w:sz w:val="32"/>
          <w:szCs w:val="32"/>
        </w:rPr>
        <w:t xml:space="preserve">Page 3: Transactions (12K)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Volume by city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Each city accounts for 11.9% to 12.9% of transactions (~1.4 to 1.55K), i.e. ~99% in total; the remainder corresponds to "Unknown". Lagos is therefore not in the lead, despite having 32.5% of customers. This gives ~3 transactions per customer in Lagos versus ~14 in Benin City: to be verified (customer's city or transaction location? synthetic dataset?).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Channels (Channel type)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Five series with truncated names. One series dominates everywhere (~620-660 per city); the others range between ~100 and ~330. The channels cannot be named with certainty from the legend. "Unknown" is marginal (&lt; 50).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Risk (Risk flagged)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Share of flagged transactions: ~18% (Abuja) to ~21% (Ibadan, Benin City), ~13% for "Unknown". No city is drifting.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Statuses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Successful: ~1.3K per city; failed: ~0.1K, i.e. about 6% to 7%. Pending: ~54 (Lagos) to ~85 (Ibadan); Reversed: ~31 (Lagos) to ~52 (Ibadan). Ibadan is the city most exposed to pending or reversed transactions.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Devices (Device type)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Range per city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~555 (Abuja) to ~630 (Kano, Port Harcourt)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iOS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~340 (Kaduna) to ~385 (Abuja)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 terminal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~190 to ~200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~165 to ~205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ATM terminal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~120 to ~165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Android is the dominant device, ahead of iOS. The "(Blank)" category is negligible (&lt; 40).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Transaction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shd w:fill="EA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Range per city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~405 (Lagos) to ~480 (Ibadan)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purchase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~345 (Ibadan) to ~395 (Abuja, Enugu)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 withdrawal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~160 to ~190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Deposit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~150 to ~190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 payment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~160 to ~195</w:t>
            </w:r>
          </w:p>
        </w:tc>
      </w:tr>
      <w:tr>
        <w:tc>
          <w:tcPr>
            <w:tcW w:type="dxa" w:w="2800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Airtime data</w:t>
            </w:r>
          </w:p>
        </w:tc>
        <w:tc>
          <w:tcPr>
            <w:tcW w:type="dxa" w:w="6226"/>
            <w:tcBorders>
              <w:top w:val="single" w:color="D9D6CC" w:sz="4"/>
              <w:left w:val="single" w:color="D9D6CC" w:sz="4"/>
              <w:bottom w:val="single" w:color="D9D6CC" w:sz="4"/>
              <w:right w:val="single" w:color="D9D6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~140 to ~160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Transfers are the top operation in every city, followed by card purchases. Both charts are cut off by a scroll bar (Lagos and Kano are missing from the second one).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1C2433"/>
          <w:sz w:val="25"/>
          <w:szCs w:val="25"/>
        </w:rPr>
        <w:t xml:space="preserve">International transactions (donut chart)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donut chart has no legend. Some slices weigh ~11% to 12% (~1K) and others ~0.4% to 0.5% (~0K). Without a legend, it is impossible to say what each slice represents: to be fixed before distribution.</w:t>
      </w:r>
    </w:p>
    <w:p>
      <w:pPr>
        <w:pStyle w:val="Heading1"/>
        <w:pBdr>
          <w:top w:val="single" w:color="0B5D63" w:sz="12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B5D63"/>
          <w:sz w:val="32"/>
          <w:szCs w:val="32"/>
        </w:rPr>
        <w:t xml:space="preserve">Quality Issues and Recommendations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Titles: </w:t>
      </w:r>
      <w:r>
        <w:rPr>
          <w:rFonts w:ascii="Calibri" w:cs="Calibri" w:eastAsia="Calibri" w:hAnsi="Calibri"/>
          <w:sz w:val="22"/>
          <w:szCs w:val="22"/>
        </w:rPr>
        <w:t xml:space="preserve">"Ciy", "Pemium", "Aerage", "Dgital Engegement", "Transaction Type by ciy"; "Account Type" and "Status reversed and successful" titles that do not match the content; two charts with the identical title "Device type by city".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Legends: </w:t>
      </w:r>
      <w:r>
        <w:rPr>
          <w:rFonts w:ascii="Calibri" w:cs="Calibri" w:eastAsia="Calibri" w:hAnsi="Calibri"/>
          <w:sz w:val="22"/>
          <w:szCs w:val="22"/>
        </w:rPr>
        <w:t xml:space="preserve">truncated "Somme …" series, donut chart without a legend, mix of French and English (Tout, Somme de, Vide).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Measures: </w:t>
      </w:r>
      <w:r>
        <w:rPr>
          <w:rFonts w:ascii="Calibri" w:cs="Calibri" w:eastAsia="Calibri" w:hAnsi="Calibri"/>
          <w:sz w:val="22"/>
          <w:szCs w:val="22"/>
        </w:rPr>
        <w:t xml:space="preserve">totals of averages, "Average" labels used for headcounts, truncated axes.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Priorities: </w:t>
      </w:r>
      <w:r>
        <w:rPr>
          <w:rFonts w:ascii="Calibri" w:cs="Calibri" w:eastAsia="Calibri" w:hAnsi="Calibri"/>
          <w:sz w:val="22"/>
          <w:szCs w:val="22"/>
        </w:rPr>
        <w:t xml:space="preserve">fix the city/transaction consistency, rename the channels, replace the age chart with a real account-type chart, display the SME card, add a transactions-per-customer indicator.</w:t>
      </w:r>
    </w:p>
    <w:p>
      <w:pPr>
        <w:pBdr>
          <w:left w:val="single" w:color="D08A1C" w:sz="24" w:space="8"/>
        </w:pBdr>
        <w:shd w:fill="FFF3DF" w:val="clear"/>
        <w:spacing w:after="160" w:before="100" w:line="290"/>
        <w:ind w:left="140"/>
      </w:pPr>
      <w:r>
        <w:rPr>
          <w:rFonts w:ascii="Calibri" w:cs="Calibri" w:eastAsia="Calibri" w:hAnsi="Calibri"/>
          <w:sz w:val="21"/>
          <w:szCs w:val="21"/>
        </w:rPr>
        <w:t xml:space="preserve">This version corrects three readings from the previous report: the Currents/Premium/Savings cards are accounts (SME = ~216, not 229), tenure ranges from 48 (Benin City) to 52 months (Port Harcourt), and +51.51 is the increase in the Everyday segment (the effect on customers is +19.48).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2026-10-04T15:13:05.754Z</dcterms:created>
  <dcterms:modified xsi:type="dcterms:W3CDTF">2026-10-04T15:13:05.755Z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