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color w:val="1B365D"/>
          <w:sz w:val="44"/>
        </w:rPr>
        <w:t>DETAILED ANALYSIS REPORT AND AUDIT OF VISUALS</w:t>
      </w:r>
    </w:p>
    <w:p>
      <w:pPr>
        <w:spacing w:before="0" w:after="360"/>
      </w:pPr>
      <w:r>
        <w:rPr>
          <w:rFonts w:ascii="Arial" w:hAnsi="Arial"/>
          <w:color w:val="4A777A"/>
          <w:sz w:val="28"/>
        </w:rPr>
        <w:t>FinTrust Financial Intelligence Platform</w:t>
      </w:r>
    </w:p>
    <w:p>
      <w:pPr>
        <w:spacing w:after="240"/>
      </w:pPr>
      <w:r>
        <w:rPr>
          <w:color w:val="4A777A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EXECUTIVE SUMMARY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This analysis report brings together and synthesizes all of the data visualized from the FinTrust dataset. Its main objective is to provide a decision-oriented, strategic assessment covering the demographic profile of customers, portfolio segmentation, adoption of digital channels, and exposure metrics for risk and transactional anomalies.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B365D"/>
                <w:sz w:val="22"/>
              </w:rPr>
              <w:t>Key highlights and metrics: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b/>
                <w:sz w:val="21"/>
              </w:rPr>
              <w:t xml:space="preserve">Total customer base: </w:t>
            </w:r>
            <w:r>
              <w:rPr>
                <w:rFonts w:ascii="Calibri" w:hAnsi="Calibri"/>
                <w:sz w:val="21"/>
              </w:rPr>
              <w:t>1,500 customers spread across 8 major cities in Nigeria.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b/>
                <w:sz w:val="21"/>
              </w:rPr>
              <w:t xml:space="preserve">Overall transaction volume: </w:t>
            </w:r>
            <w:r>
              <w:rPr>
                <w:rFonts w:ascii="Calibri" w:hAnsi="Calibri"/>
                <w:sz w:val="21"/>
              </w:rPr>
              <w:t>12,000 transactions recorded in the system.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b/>
                <w:sz w:val="21"/>
              </w:rPr>
              <w:t xml:space="preserve">Gender breakdown: </w:t>
            </w:r>
            <w:r>
              <w:rPr>
                <w:rFonts w:ascii="Calibri" w:hAnsi="Calibri"/>
                <w:sz w:val="21"/>
              </w:rPr>
              <w:t>727 men (48.5%) and 722 women (48.1%), with 51 customers unspecified.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b/>
                <w:sz w:val="21"/>
              </w:rPr>
              <w:t xml:space="preserve">Geographic dominance: </w:t>
            </w:r>
            <w:r>
              <w:rPr>
                <w:rFonts w:ascii="Calibri" w:hAnsi="Calibri"/>
                <w:sz w:val="21"/>
              </w:rPr>
              <w:t>Lagos has the largest concentration of customers (488 customers, or 32.53%) and generates the highest absolute number of transactions.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b/>
                <w:sz w:val="21"/>
              </w:rPr>
              <w:t xml:space="preserve">Predominant segment: </w:t>
            </w:r>
            <w:r>
              <w:rPr>
                <w:rFonts w:ascii="Calibri" w:hAnsi="Calibri"/>
                <w:sz w:val="21"/>
              </w:rPr>
              <w:t>The Everyday segment includes 711 customers.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b/>
                <w:sz w:val="21"/>
              </w:rPr>
              <w:t xml:space="preserve">Risk rate: </w:t>
            </w:r>
            <w:r>
              <w:rPr>
                <w:rFonts w:ascii="Calibri" w:hAnsi="Calibri"/>
                <w:sz w:val="21"/>
              </w:rPr>
              <w:t>The risk assessment rate (Risk Flagged) remains very consistent at around 18% to 21% across cities.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1. CUSTOMER DEMOGRAPHICS AND GEOGRAPHIC DISTRIBUTION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1.1 Distribution by City and Gender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demographic structure shows a perfect balance between genders across all regional markets: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City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Number of Customers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Share (%)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Men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Women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Lagos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488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32.53%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~235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~235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Abuja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223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14.87%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~115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~100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Port Harcourt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172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11.47%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~80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~85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Kano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159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10.60%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~75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~80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Ibadan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148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9.87%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~72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~74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Enugu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108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7.20%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~52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~52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Kaduna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6.87%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~50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~48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Benin City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99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6.60%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~50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~45</w:t>
            </w:r>
          </w:p>
        </w:tc>
      </w:tr>
      <w:tr>
        <w:tc>
          <w:tcPr>
            <w:tcW w:type="dxa" w:w="187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187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1,500</w:t>
            </w:r>
          </w:p>
        </w:tc>
        <w:tc>
          <w:tcPr>
            <w:tcW w:type="dxa" w:w="187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100.00%</w:t>
            </w:r>
          </w:p>
        </w:tc>
        <w:tc>
          <w:tcPr>
            <w:tcW w:type="dxa" w:w="187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727</w:t>
            </w:r>
          </w:p>
        </w:tc>
        <w:tc>
          <w:tcPr>
            <w:tcW w:type="dxa" w:w="187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722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1.2 Average Indicators by City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Behavioral and demographic data show strong consistency across the country: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Overall average age: </w:t>
      </w:r>
      <w:r>
        <w:rPr>
          <w:rFonts w:ascii="Calibri" w:hAnsi="Calibri"/>
          <w:color w:val="333333"/>
          <w:sz w:val="22"/>
        </w:rPr>
        <w:t>Remains very stable, ranging from 40.12 years (Enugu/Kaduna) to 43.95 years (Benin City).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Digital Engagement score: </w:t>
      </w:r>
      <w:r>
        <w:rPr>
          <w:rFonts w:ascii="Calibri" w:hAnsi="Calibri"/>
          <w:color w:val="333333"/>
          <w:sz w:val="22"/>
        </w:rPr>
        <w:t>Varies little, ranging from 66.32 (Benin City) to 69.63 (Port Harcourt).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Average tenure (Tenure Months): </w:t>
      </w:r>
      <w:r>
        <w:rPr>
          <w:rFonts w:ascii="Calibri" w:hAnsi="Calibri"/>
          <w:color w:val="333333"/>
          <w:sz w:val="22"/>
        </w:rPr>
        <w:t>Moves within a narrow range from 48 months (Port Harcourt/Benin City) to 52 months (Kano/Kaduna).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2. SEGMENTATION AND BANK ACCOUNTS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2.1 Distribution by Customer Segment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overall portfolio of 1,500 customers is categorized into four distinct segments: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Everyday segment: </w:t>
      </w:r>
      <w:r>
        <w:rPr>
          <w:rFonts w:ascii="Calibri" w:hAnsi="Calibri"/>
          <w:color w:val="333333"/>
          <w:sz w:val="22"/>
        </w:rPr>
        <w:t>711 customers (47.4%)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Currents segment: </w:t>
      </w:r>
      <w:r>
        <w:rPr>
          <w:rFonts w:ascii="Calibri" w:hAnsi="Calibri"/>
          <w:color w:val="333333"/>
          <w:sz w:val="22"/>
        </w:rPr>
        <w:t>378 customers (25.2%)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Premium segment: </w:t>
      </w:r>
      <w:r>
        <w:rPr>
          <w:rFonts w:ascii="Calibri" w:hAnsi="Calibri"/>
          <w:color w:val="333333"/>
          <w:sz w:val="22"/>
        </w:rPr>
        <w:t>295 customers (19.7%)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Student segment: </w:t>
      </w:r>
      <w:r>
        <w:rPr>
          <w:rFonts w:ascii="Calibri" w:hAnsi="Calibri"/>
          <w:color w:val="333333"/>
          <w:sz w:val="22"/>
        </w:rPr>
        <w:t>278 customers (18.5%)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SME segment: </w:t>
      </w:r>
      <w:r>
        <w:rPr>
          <w:rFonts w:ascii="Calibri" w:hAnsi="Calibri"/>
          <w:color w:val="333333"/>
          <w:sz w:val="22"/>
        </w:rPr>
        <w:t>229 customers (15.3%)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Observations by city: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Lagos: </w:t>
      </w:r>
      <w:r>
        <w:rPr>
          <w:rFonts w:ascii="Calibri" w:hAnsi="Calibri"/>
          <w:color w:val="333333"/>
          <w:sz w:val="22"/>
        </w:rPr>
        <w:t>Outperforms all other markets across all segments, with over 200 Everyday customers, nearly 100 Student customers, and more than 70 SMEs.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Abuja: </w:t>
      </w:r>
      <w:r>
        <w:rPr>
          <w:rFonts w:ascii="Calibri" w:hAnsi="Calibri"/>
          <w:color w:val="333333"/>
          <w:sz w:val="22"/>
        </w:rPr>
        <w:t>Ranks second in all segments, followed by Port Harcourt and Kano.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2.2 Distribution by Account Type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account portfolio is dominated by Savings accounts: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Savings: </w:t>
      </w:r>
      <w:r>
        <w:rPr>
          <w:rFonts w:ascii="Calibri" w:hAnsi="Calibri"/>
          <w:color w:val="333333"/>
          <w:sz w:val="22"/>
        </w:rPr>
        <w:t>893 accounts (59.5% of total).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Currents (Checking): </w:t>
      </w:r>
      <w:r>
        <w:rPr>
          <w:rFonts w:ascii="Calibri" w:hAnsi="Calibri"/>
          <w:color w:val="333333"/>
          <w:sz w:val="22"/>
        </w:rPr>
        <w:t>378 accounts (25.2% of total).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Premium: </w:t>
      </w:r>
      <w:r>
        <w:rPr>
          <w:rFonts w:ascii="Calibri" w:hAnsi="Calibri"/>
          <w:color w:val="333333"/>
          <w:sz w:val="22"/>
        </w:rPr>
        <w:t>229 accounts (15.3% of total).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3. TRANSACTION VOLUME ANALYSIS (12,000 TRANSACTIONS)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3.1 Distribution by Access Channel (Channel Type)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Self-service digital channels account for the majority of service access flows: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Mobile App: </w:t>
      </w:r>
      <w:r>
        <w:rPr>
          <w:rFonts w:ascii="Calibri" w:hAnsi="Calibri"/>
          <w:color w:val="333333"/>
          <w:sz w:val="22"/>
        </w:rPr>
        <w:t>The most used channel in all locations, exceeding 500 transactions in Lagos, Abuja, Port Harcourt, and Kano.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POS (Payment Terminals): </w:t>
      </w:r>
      <w:r>
        <w:rPr>
          <w:rFonts w:ascii="Calibri" w:hAnsi="Calibri"/>
          <w:color w:val="333333"/>
          <w:sz w:val="22"/>
        </w:rPr>
        <w:t>Second channel by volume.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Web Browser: </w:t>
      </w:r>
      <w:r>
        <w:rPr>
          <w:rFonts w:ascii="Calibri" w:hAnsi="Calibri"/>
          <w:color w:val="333333"/>
          <w:sz w:val="22"/>
        </w:rPr>
        <w:t>Third interaction channel.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ATM Terminal: </w:t>
      </w:r>
      <w:r>
        <w:rPr>
          <w:rFonts w:ascii="Calibri" w:hAnsi="Calibri"/>
          <w:color w:val="333333"/>
          <w:sz w:val="22"/>
        </w:rPr>
        <w:t>Regular use for cash withdrawals.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USSD: </w:t>
      </w:r>
      <w:r>
        <w:rPr>
          <w:rFonts w:ascii="Calibri" w:hAnsi="Calibri"/>
          <w:color w:val="333333"/>
          <w:sz w:val="22"/>
        </w:rPr>
        <w:t>Complementary channel used mainly in peri-urban areas.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3.2 Transaction Types (Transaction Type)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breakdown by type of operation reveals the following usage hierarchy: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Transfer: </w:t>
      </w:r>
      <w:r>
        <w:rPr>
          <w:rFonts w:ascii="Calibri" w:hAnsi="Calibri"/>
          <w:color w:val="333333"/>
          <w:sz w:val="22"/>
        </w:rPr>
        <w:t>Main volume channel (dominant red bars in the visuals, reaching nearly 300 units in Lagos).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Cash Withdrawal: </w:t>
      </w:r>
      <w:r>
        <w:rPr>
          <w:rFonts w:ascii="Calibri" w:hAnsi="Calibri"/>
          <w:color w:val="333333"/>
          <w:sz w:val="22"/>
        </w:rPr>
        <w:t>Second-highest volume.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Card Purchase: </w:t>
      </w:r>
      <w:r>
        <w:rPr>
          <w:rFonts w:ascii="Calibri" w:hAnsi="Calibri"/>
          <w:color w:val="333333"/>
          <w:sz w:val="22"/>
        </w:rPr>
        <w:t>Third component of transactional activity.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Bill Payment &amp; Airtime Data: </w:t>
      </w:r>
      <w:r>
        <w:rPr>
          <w:rFonts w:ascii="Calibri" w:hAnsi="Calibri"/>
          <w:color w:val="333333"/>
          <w:sz w:val="22"/>
        </w:rPr>
        <w:t>Recurring low-value operations.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3.3 Device Analysis (Device Type)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Android: </w:t>
      </w:r>
      <w:r>
        <w:rPr>
          <w:rFonts w:ascii="Calibri" w:hAnsi="Calibri"/>
          <w:color w:val="333333"/>
          <w:sz w:val="22"/>
        </w:rPr>
        <w:t>Largely dominant among smartphones (more than 500 transactions recorded per major city).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iOS: </w:t>
      </w:r>
      <w:r>
        <w:rPr>
          <w:rFonts w:ascii="Calibri" w:hAnsi="Calibri"/>
          <w:color w:val="333333"/>
          <w:sz w:val="22"/>
        </w:rPr>
        <w:t>In second place among mobile devices (approximately 350 to 400 transactions per city).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POS Terminal &amp; Web Browser: </w:t>
      </w:r>
      <w:r>
        <w:rPr>
          <w:rFonts w:ascii="Calibri" w:hAnsi="Calibri"/>
          <w:color w:val="333333"/>
          <w:sz w:val="22"/>
        </w:rPr>
        <w:t>Used consistently across the whole territory.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4. RISK MANAGEMENT AND TRANSACTIONAL ANOMALIES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4.1 Risk Assessment Rate (Risk Flagged)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Transactional risk monitoring (Risk flagged vs. Risk not flagged) indicates a steady, well-controlled anomaly rate: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Average anomaly rate: </w:t>
      </w:r>
      <w:r>
        <w:rPr>
          <w:rFonts w:ascii="Calibri" w:hAnsi="Calibri"/>
          <w:color w:val="333333"/>
          <w:sz w:val="22"/>
        </w:rPr>
        <w:t>Ranges between 18% and 21% across all geographic areas.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Regional stability: </w:t>
      </w:r>
      <w:r>
        <w:rPr>
          <w:rFonts w:ascii="Calibri" w:hAnsi="Calibri"/>
          <w:color w:val="333333"/>
          <w:sz w:val="22"/>
        </w:rPr>
        <w:t>No city shows a critical drift or sudden spike in the risk rate.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4.2 Transaction Statuses (Status)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Successful transactions: </w:t>
      </w:r>
      <w:r>
        <w:rPr>
          <w:rFonts w:ascii="Calibri" w:hAnsi="Calibri"/>
          <w:color w:val="333333"/>
          <w:sz w:val="22"/>
        </w:rPr>
        <w:t>Represent the vast majority of recorded flows (over 90%).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Failed transactions: </w:t>
      </w:r>
      <w:r>
        <w:rPr>
          <w:rFonts w:ascii="Calibri" w:hAnsi="Calibri"/>
          <w:color w:val="333333"/>
          <w:sz w:val="22"/>
        </w:rPr>
        <w:t>Small share of the overall portfolio.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Reversed and Pending transactions: </w:t>
      </w:r>
      <w:r>
        <w:rPr>
          <w:rFonts w:ascii="Calibri" w:hAnsi="Calibri"/>
          <w:color w:val="333333"/>
          <w:sz w:val="22"/>
        </w:rPr>
        <w:t>Remain at very low levels (between 30 and 60 transactions per city).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5. KEY INFLUENCERS AND GROWTH DRIVERS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causal analysis (Key Influencers) identifies the direct levers for increasing the total number of customers (nb_customers):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Everyday segment: </w:t>
      </w:r>
      <w:r>
        <w:rPr>
          <w:rFonts w:ascii="Calibri" w:hAnsi="Calibri"/>
          <w:color w:val="333333"/>
          <w:sz w:val="22"/>
        </w:rPr>
        <w:t>When the number of nb_segment_everyday customers increases, the total number of customers shows the strongest growth (+51.51).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SME segment: </w:t>
      </w:r>
      <w:r>
        <w:rPr>
          <w:rFonts w:ascii="Calibri" w:hAnsi="Calibri"/>
          <w:color w:val="333333"/>
          <w:sz w:val="22"/>
        </w:rPr>
        <w:t>An increase in SME customers generates an average positive impact of +18.44 on the customer base.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STRATEGIC RECOMMENDATIONS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Prioritizing the Lagos market: </w:t>
      </w:r>
      <w:r>
        <w:rPr>
          <w:rFonts w:ascii="Calibri" w:hAnsi="Calibri"/>
          <w:color w:val="333333"/>
          <w:sz w:val="22"/>
        </w:rPr>
        <w:t>With 32.53% of customers and the highest transaction volume, Lagos should continue to receive priority in terms of server capacity and infrastructure.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Optimizing the mobile application: </w:t>
      </w:r>
      <w:r>
        <w:rPr>
          <w:rFonts w:ascii="Calibri" w:hAnsi="Calibri"/>
          <w:color w:val="333333"/>
          <w:sz w:val="22"/>
        </w:rPr>
        <w:t>Since the Mobile App channel and the Android platform account for the majority of operations, the stability and usability of the mobile application must remain a top priority.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Controlling risk rules on transfers: </w:t>
      </w:r>
      <w:r>
        <w:rPr>
          <w:rFonts w:ascii="Calibri" w:hAnsi="Calibri"/>
          <w:color w:val="333333"/>
          <w:sz w:val="22"/>
        </w:rPr>
        <w:t>Since transfers represent the highest unit volume, fraud detection models should primarily target this type of operation.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