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KPI Analysis: FinTrust</w:t>
      </w:r>
    </w:p>
    <w:p>
      <w:pPr/>
      <w:r>
        <w:t xml:space="preserve">Key performance indicators computed on successful transactions (1 January to 31 March 2026, 90 days)</w:t>
      </w:r>
    </w:p>
    <w:p>
      <w:pPr>
        <w:pStyle w:val="Heading2"/>
      </w:pPr>
      <w:r>
        <w:t xml:space="preserve">1. KPI scorecard</w:t>
      </w:r>
    </w:p>
    <w:p>
      <w:pPr>
        <w:pStyle w:val="Heading3"/>
      </w:pPr>
      <w:r>
        <w:t xml:space="preserve">Activity and value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KPI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Basis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Customers</w:t>
            </w:r>
          </w:p>
        </w:tc>
        <w:tc>
          <w:tcPr>
            <w:tcW w:w="3120" w:type="dxa"/>
          </w:tcPr>
          <w:p>
            <w:pPr/>
            <w:r>
              <w:t xml:space="preserve">1,500</w:t>
            </w:r>
          </w:p>
        </w:tc>
        <w:tc>
          <w:tcPr>
            <w:tcW w:w="3120" w:type="dxa"/>
          </w:tcPr>
          <w:p>
            <w:pPr/>
            <w:r>
              <w:t xml:space="preserve">All have at least one successful transaction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Successful transactions</w:t>
            </w:r>
          </w:p>
        </w:tc>
        <w:tc>
          <w:tcPr>
            <w:tcW w:w="3120" w:type="dxa"/>
          </w:tcPr>
          <w:p>
            <w:pPr/>
            <w:r>
              <w:t xml:space="preserve">10,856</w:t>
            </w:r>
          </w:p>
        </w:tc>
        <w:tc>
          <w:tcPr>
            <w:tcW w:w="3120" w:type="dxa"/>
          </w:tcPr>
          <w:p>
            <w:pPr/>
            <w:r>
              <w:t xml:space="preserve">Status Successful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Transaction volume</w:t>
            </w:r>
          </w:p>
        </w:tc>
        <w:tc>
          <w:tcPr>
            <w:tcW w:w="3120" w:type="dxa"/>
          </w:tcPr>
          <w:p>
            <w:pPr/>
            <w:r>
              <w:t xml:space="preserve">510.8 M NGN</w:t>
            </w:r>
          </w:p>
        </w:tc>
        <w:tc>
          <w:tcPr>
            <w:tcW w:w="3120" w:type="dxa"/>
          </w:tcPr>
          <w:p>
            <w:pPr/>
            <w:r>
              <w:t xml:space="preserve">Sum of Amount_NGN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Transactions per customer</w:t>
            </w:r>
          </w:p>
        </w:tc>
        <w:tc>
          <w:tcPr>
            <w:tcW w:w="3120" w:type="dxa"/>
          </w:tcPr>
          <w:p>
            <w:pPr/>
            <w:r>
              <w:t xml:space="preserve">7.2</w:t>
            </w:r>
          </w:p>
        </w:tc>
        <w:tc>
          <w:tcPr>
            <w:tcW w:w="3120" w:type="dxa"/>
          </w:tcPr>
          <w:p>
            <w:pPr/>
            <w:r>
              <w:t xml:space="preserve">10,856 / 1,500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Value per customer</w:t>
            </w:r>
          </w:p>
        </w:tc>
        <w:tc>
          <w:tcPr>
            <w:tcW w:w="3120" w:type="dxa"/>
          </w:tcPr>
          <w:p>
            <w:pPr/>
            <w:r>
              <w:t xml:space="preserve">340,538 NGN</w:t>
            </w:r>
          </w:p>
        </w:tc>
        <w:tc>
          <w:tcPr>
            <w:tcW w:w="3120" w:type="dxa"/>
          </w:tcPr>
          <w:p>
            <w:pPr/>
            <w:r>
              <w:t xml:space="preserve">510.8 M / 1,500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Average transaction</w:t>
            </w:r>
          </w:p>
        </w:tc>
        <w:tc>
          <w:tcPr>
            <w:tcW w:w="3120" w:type="dxa"/>
          </w:tcPr>
          <w:p>
            <w:pPr/>
            <w:r>
              <w:t xml:space="preserve">47,053 NGN</w:t>
            </w:r>
          </w:p>
        </w:tc>
        <w:tc>
          <w:tcPr>
            <w:tcW w:w="3120" w:type="dxa"/>
          </w:tcPr>
          <w:p>
            <w:pPr/>
            <w:r>
              <w:t xml:space="preserve">Mean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Median transaction</w:t>
            </w:r>
          </w:p>
        </w:tc>
        <w:tc>
          <w:tcPr>
            <w:tcW w:w="3120" w:type="dxa"/>
          </w:tcPr>
          <w:p>
            <w:pPr/>
            <w:r>
              <w:t xml:space="preserve">10,108 NGN</w:t>
            </w:r>
          </w:p>
        </w:tc>
        <w:tc>
          <w:tcPr>
            <w:tcW w:w="3120" w:type="dxa"/>
          </w:tcPr>
          <w:p>
            <w:pPr/>
            <w:r>
              <w:t xml:space="preserve">Median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Mean to median ratio</w:t>
            </w:r>
          </w:p>
        </w:tc>
        <w:tc>
          <w:tcPr>
            <w:tcW w:w="3120" w:type="dxa"/>
          </w:tcPr>
          <w:p>
            <w:pPr/>
            <w:r>
              <w:t xml:space="preserve">4.65</w:t>
            </w:r>
          </w:p>
        </w:tc>
        <w:tc>
          <w:tcPr>
            <w:tcW w:w="3120" w:type="dxa"/>
          </w:tcPr>
          <w:p>
            <w:pPr/>
            <w:r>
              <w:t xml:space="preserve">A few large amounts lift the mean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Transactions per day</w:t>
            </w:r>
          </w:p>
        </w:tc>
        <w:tc>
          <w:tcPr>
            <w:tcW w:w="3120" w:type="dxa"/>
          </w:tcPr>
          <w:p>
            <w:pPr/>
            <w:r>
              <w:t xml:space="preserve">120.6</w:t>
            </w:r>
          </w:p>
        </w:tc>
        <w:tc>
          <w:tcPr>
            <w:tcW w:w="3120" w:type="dxa"/>
          </w:tcPr>
          <w:p>
            <w:pPr/>
            <w:r>
              <w:t xml:space="preserve">10,856 / 90 days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Volume per day</w:t>
            </w:r>
          </w:p>
        </w:tc>
        <w:tc>
          <w:tcPr>
            <w:tcW w:w="3120" w:type="dxa"/>
          </w:tcPr>
          <w:p>
            <w:pPr/>
            <w:r>
              <w:t xml:space="preserve">5.68 M NGN</w:t>
            </w:r>
          </w:p>
        </w:tc>
        <w:tc>
          <w:tcPr>
            <w:tcW w:w="3120" w:type="dxa"/>
          </w:tcPr>
          <w:p>
            <w:pPr/>
            <w:r>
              <w:t xml:space="preserve">510.8 M / 90 days</w:t>
            </w:r>
          </w:p>
        </w:tc>
      </w:tr>
    </w:tbl>
    <w:p>
      <w:pPr>
        <w:pStyle w:val="Heading3"/>
      </w:pPr>
      <w:r>
        <w:t xml:space="preserve">Reliability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KPI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Basis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Success rate</w:t>
            </w:r>
          </w:p>
        </w:tc>
        <w:tc>
          <w:tcPr>
            <w:tcW w:w="3120" w:type="dxa"/>
          </w:tcPr>
          <w:p>
            <w:pPr/>
            <w:r>
              <w:t xml:space="preserve">90.5%</w:t>
            </w:r>
          </w:p>
        </w:tc>
        <w:tc>
          <w:tcPr>
            <w:tcW w:w="3120" w:type="dxa"/>
          </w:tcPr>
          <w:p>
            <w:pPr/>
            <w:r>
              <w:t xml:space="preserve">10,856 of 12,000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Failure rate</w:t>
            </w:r>
          </w:p>
        </w:tc>
        <w:tc>
          <w:tcPr>
            <w:tcW w:w="3120" w:type="dxa"/>
          </w:tcPr>
          <w:p>
            <w:pPr/>
            <w:r>
              <w:t xml:space="preserve">5.3%</w:t>
            </w:r>
          </w:p>
        </w:tc>
        <w:tc>
          <w:tcPr>
            <w:tcW w:w="3120" w:type="dxa"/>
          </w:tcPr>
          <w:p>
            <w:pPr/>
            <w:r>
              <w:t xml:space="preserve">630 failed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Reversal rate</w:t>
            </w:r>
          </w:p>
        </w:tc>
        <w:tc>
          <w:tcPr>
            <w:tcW w:w="3120" w:type="dxa"/>
          </w:tcPr>
          <w:p>
            <w:pPr/>
            <w:r>
              <w:t xml:space="preserve">2.7%</w:t>
            </w:r>
          </w:p>
        </w:tc>
        <w:tc>
          <w:tcPr>
            <w:tcW w:w="3120" w:type="dxa"/>
          </w:tcPr>
          <w:p>
            <w:pPr/>
            <w:r>
              <w:t xml:space="preserve">326 reversed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Pending rate</w:t>
            </w:r>
          </w:p>
        </w:tc>
        <w:tc>
          <w:tcPr>
            <w:tcW w:w="3120" w:type="dxa"/>
          </w:tcPr>
          <w:p>
            <w:pPr/>
            <w:r>
              <w:t xml:space="preserve">1.6%</w:t>
            </w:r>
          </w:p>
        </w:tc>
        <w:tc>
          <w:tcPr>
            <w:tcW w:w="3120" w:type="dxa"/>
          </w:tcPr>
          <w:p>
            <w:pPr/>
            <w:r>
              <w:t xml:space="preserve">188 pending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Volume not completed</w:t>
            </w:r>
          </w:p>
        </w:tc>
        <w:tc>
          <w:tcPr>
            <w:tcW w:w="3120" w:type="dxa"/>
          </w:tcPr>
          <w:p>
            <w:pPr/>
            <w:r>
              <w:t xml:space="preserve">49.7 M NGN</w:t>
            </w:r>
          </w:p>
        </w:tc>
        <w:tc>
          <w:tcPr>
            <w:tcW w:w="3120" w:type="dxa"/>
          </w:tcPr>
          <w:p>
            <w:pPr/>
            <w:r>
              <w:t xml:space="preserve">8.9% of the 560.5 M NGN total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Review flag rate on failed transactions</w:t>
            </w:r>
          </w:p>
        </w:tc>
        <w:tc>
          <w:tcPr>
            <w:tcW w:w="3120" w:type="dxa"/>
          </w:tcPr>
          <w:p>
            <w:pPr/>
            <w:r>
              <w:t xml:space="preserve">27.0%</w:t>
            </w:r>
          </w:p>
        </w:tc>
        <w:tc>
          <w:tcPr>
            <w:tcW w:w="3120" w:type="dxa"/>
          </w:tcPr>
          <w:p>
            <w:pPr/>
            <w:r>
              <w:t xml:space="preserve">Versus 19.2% on successful ones</w:t>
            </w:r>
          </w:p>
        </w:tc>
      </w:tr>
    </w:tbl>
    <w:p>
      <w:pPr>
        <w:pStyle w:val="Heading3"/>
      </w:pPr>
      <w:r>
        <w:t xml:space="preserve">Risk and control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KPI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Basis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Review flag rate (successful)</w:t>
            </w:r>
          </w:p>
        </w:tc>
        <w:tc>
          <w:tcPr>
            <w:tcW w:w="3120" w:type="dxa"/>
          </w:tcPr>
          <w:p>
            <w:pPr/>
            <w:r>
              <w:t xml:space="preserve">19.2%</w:t>
            </w:r>
          </w:p>
        </w:tc>
        <w:tc>
          <w:tcPr>
            <w:tcW w:w="3120" w:type="dxa"/>
          </w:tcPr>
          <w:p>
            <w:pPr/>
            <w:r>
              <w:t xml:space="preserve">Flagged for review, not confirmed fraud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Anomalies detected</w:t>
            </w:r>
          </w:p>
        </w:tc>
        <w:tc>
          <w:tcPr>
            <w:tcW w:w="3120" w:type="dxa"/>
          </w:tcPr>
          <w:p>
            <w:pPr/>
            <w:r>
              <w:t xml:space="preserve">645</w:t>
            </w:r>
          </w:p>
        </w:tc>
        <w:tc>
          <w:tcPr>
            <w:tcW w:w="3120" w:type="dxa"/>
          </w:tcPr>
          <w:p>
            <w:pPr/>
            <w:r>
              <w:t xml:space="preserve">Above the customer's mean + 2 standard deviations, at least 5 transactions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Anomaly rate (transactions)</w:t>
            </w:r>
          </w:p>
        </w:tc>
        <w:tc>
          <w:tcPr>
            <w:tcW w:w="3120" w:type="dxa"/>
          </w:tcPr>
          <w:p>
            <w:pPr/>
            <w:r>
              <w:t xml:space="preserve">5.9%</w:t>
            </w:r>
          </w:p>
        </w:tc>
        <w:tc>
          <w:tcPr>
            <w:tcW w:w="3120" w:type="dxa"/>
          </w:tcPr>
          <w:p>
            <w:pPr/>
            <w:r>
              <w:t xml:space="preserve">645 / 10,856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Anomaly share of volume</w:t>
            </w:r>
          </w:p>
        </w:tc>
        <w:tc>
          <w:tcPr>
            <w:tcW w:w="3120" w:type="dxa"/>
          </w:tcPr>
          <w:p>
            <w:pPr/>
            <w:r>
              <w:t xml:space="preserve">30.7%</w:t>
            </w:r>
          </w:p>
        </w:tc>
        <w:tc>
          <w:tcPr>
            <w:tcW w:w="3120" w:type="dxa"/>
          </w:tcPr>
          <w:p>
            <w:pPr/>
            <w:r>
              <w:t xml:space="preserve">156.8 M of 510.8 M NGN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Customers with at least one anomaly</w:t>
            </w:r>
          </w:p>
        </w:tc>
        <w:tc>
          <w:tcPr>
            <w:tcW w:w="3120" w:type="dxa"/>
          </w:tcPr>
          <w:p>
            <w:pPr/>
            <w:r>
              <w:t xml:space="preserve">642 (42.8%)</w:t>
            </w:r>
          </w:p>
        </w:tc>
        <w:tc>
          <w:tcPr>
            <w:tcW w:w="3120" w:type="dxa"/>
          </w:tcPr>
          <w:p>
            <w:pPr/>
            <w:r>
              <w:t xml:space="preserve">Of 1,500 customers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Anomalies not flagged</w:t>
            </w:r>
          </w:p>
        </w:tc>
        <w:tc>
          <w:tcPr>
            <w:tcW w:w="3120" w:type="dxa"/>
          </w:tcPr>
          <w:p>
            <w:pPr/>
            <w:r>
              <w:t xml:space="preserve">65.6%</w:t>
            </w:r>
          </w:p>
        </w:tc>
        <w:tc>
          <w:tcPr>
            <w:tcW w:w="3120" w:type="dxa"/>
          </w:tcPr>
          <w:p>
            <w:pPr/>
            <w:r>
              <w:t xml:space="preserve">423 of 645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Flag lift on anomalies</w:t>
            </w:r>
          </w:p>
        </w:tc>
        <w:tc>
          <w:tcPr>
            <w:tcW w:w="3120" w:type="dxa"/>
          </w:tcPr>
          <w:p>
            <w:pPr/>
            <w:r>
              <w:t xml:space="preserve">1.8 times</w:t>
            </w:r>
          </w:p>
        </w:tc>
        <w:tc>
          <w:tcPr>
            <w:tcW w:w="3120" w:type="dxa"/>
          </w:tcPr>
          <w:p>
            <w:pPr/>
            <w:r>
              <w:t xml:space="preserve">34.4% flagged versus 19.2% overall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Anomalies rated Medium or High</w:t>
            </w:r>
          </w:p>
        </w:tc>
        <w:tc>
          <w:tcPr>
            <w:tcW w:w="3120" w:type="dxa"/>
          </w:tcPr>
          <w:p>
            <w:pPr/>
            <w:r>
              <w:t xml:space="preserve">189</w:t>
            </w:r>
          </w:p>
        </w:tc>
        <w:tc>
          <w:tcPr>
            <w:tcW w:w="3120" w:type="dxa"/>
          </w:tcPr>
          <w:p>
            <w:pPr/>
            <w:r>
              <w:t xml:space="preserve">About 2 per day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Anomalies rated High</w:t>
            </w:r>
          </w:p>
        </w:tc>
        <w:tc>
          <w:tcPr>
            <w:tcW w:w="3120" w:type="dxa"/>
          </w:tcPr>
          <w:p>
            <w:pPr/>
            <w:r>
              <w:t xml:space="preserve">7 (1.1%)</w:t>
            </w:r>
          </w:p>
        </w:tc>
        <w:tc>
          <w:tcPr>
            <w:tcW w:w="3120" w:type="dxa"/>
          </w:tcPr>
          <w:p>
            <w:pPr/>
            <w:r>
              <w:t xml:space="preserve">4 of them not flagged</w:t>
            </w:r>
          </w:p>
        </w:tc>
      </w:tr>
    </w:tbl>
    <w:p>
      <w:pPr>
        <w:pStyle w:val="Heading2"/>
      </w:pPr>
      <w:r>
        <w:t xml:space="preserve">2. Monthly trend (successful transactions)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Month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Transactions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Volume (M NGN)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Change in volume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Transactions per day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Volume per day (M NGN)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Average transaction (NGN)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January</w:t>
            </w:r>
          </w:p>
        </w:tc>
        <w:tc>
          <w:tcPr>
            <w:tcW w:w="1337" w:type="dxa"/>
          </w:tcPr>
          <w:p>
            <w:pPr/>
            <w:r>
              <w:t xml:space="preserve">3,720</w:t>
            </w:r>
          </w:p>
        </w:tc>
        <w:tc>
          <w:tcPr>
            <w:tcW w:w="1337" w:type="dxa"/>
          </w:tcPr>
          <w:p>
            <w:pPr/>
            <w:r>
              <w:t xml:space="preserve">171.3</w:t>
            </w:r>
          </w:p>
        </w:tc>
        <w:tc>
          <w:tcPr>
            <w:tcW w:w="133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120.0</w:t>
            </w:r>
          </w:p>
        </w:tc>
        <w:tc>
          <w:tcPr>
            <w:tcW w:w="1337" w:type="dxa"/>
          </w:tcPr>
          <w:p>
            <w:pPr/>
            <w:r>
              <w:t xml:space="preserve">5.53</w:t>
            </w:r>
          </w:p>
        </w:tc>
        <w:tc>
          <w:tcPr>
            <w:tcW w:w="1337" w:type="dxa"/>
          </w:tcPr>
          <w:p>
            <w:pPr/>
            <w:r>
              <w:t xml:space="preserve">46,040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February</w:t>
            </w:r>
          </w:p>
        </w:tc>
        <w:tc>
          <w:tcPr>
            <w:tcW w:w="1337" w:type="dxa"/>
          </w:tcPr>
          <w:p>
            <w:pPr/>
            <w:r>
              <w:t xml:space="preserve">3,394</w:t>
            </w:r>
          </w:p>
        </w:tc>
        <w:tc>
          <w:tcPr>
            <w:tcW w:w="1337" w:type="dxa"/>
          </w:tcPr>
          <w:p>
            <w:pPr/>
            <w:r>
              <w:t xml:space="preserve">160.2</w:t>
            </w:r>
          </w:p>
        </w:tc>
        <w:tc>
          <w:tcPr>
            <w:tcW w:w="1337" w:type="dxa"/>
          </w:tcPr>
          <w:p>
            <w:pPr/>
            <w:r>
              <w:t xml:space="preserve">-6.5%</w:t>
            </w:r>
          </w:p>
        </w:tc>
        <w:tc>
          <w:tcPr>
            <w:tcW w:w="1337" w:type="dxa"/>
          </w:tcPr>
          <w:p>
            <w:pPr/>
            <w:r>
              <w:t xml:space="preserve">121.2</w:t>
            </w:r>
          </w:p>
        </w:tc>
        <w:tc>
          <w:tcPr>
            <w:tcW w:w="1337" w:type="dxa"/>
          </w:tcPr>
          <w:p>
            <w:pPr/>
            <w:r>
              <w:t xml:space="preserve">5.72</w:t>
            </w:r>
          </w:p>
        </w:tc>
        <w:tc>
          <w:tcPr>
            <w:tcW w:w="1337" w:type="dxa"/>
          </w:tcPr>
          <w:p>
            <w:pPr/>
            <w:r>
              <w:t xml:space="preserve">47,193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March</w:t>
            </w:r>
          </w:p>
        </w:tc>
        <w:tc>
          <w:tcPr>
            <w:tcW w:w="1337" w:type="dxa"/>
          </w:tcPr>
          <w:p>
            <w:pPr/>
            <w:r>
              <w:t xml:space="preserve">3,742</w:t>
            </w:r>
          </w:p>
        </w:tc>
        <w:tc>
          <w:tcPr>
            <w:tcW w:w="1337" w:type="dxa"/>
          </w:tcPr>
          <w:p>
            <w:pPr/>
            <w:r>
              <w:t xml:space="preserve">179.4</w:t>
            </w:r>
          </w:p>
        </w:tc>
        <w:tc>
          <w:tcPr>
            <w:tcW w:w="1337" w:type="dxa"/>
          </w:tcPr>
          <w:p>
            <w:pPr/>
            <w:r>
              <w:t xml:space="preserve">+12.0%</w:t>
            </w:r>
          </w:p>
        </w:tc>
        <w:tc>
          <w:tcPr>
            <w:tcW w:w="1337" w:type="dxa"/>
          </w:tcPr>
          <w:p>
            <w:pPr/>
            <w:r>
              <w:t xml:space="preserve">120.7</w:t>
            </w:r>
          </w:p>
        </w:tc>
        <w:tc>
          <w:tcPr>
            <w:tcW w:w="1337" w:type="dxa"/>
          </w:tcPr>
          <w:p>
            <w:pPr/>
            <w:r>
              <w:t xml:space="preserve">5.79</w:t>
            </w:r>
          </w:p>
        </w:tc>
        <w:tc>
          <w:tcPr>
            <w:tcW w:w="1337" w:type="dxa"/>
          </w:tcPr>
          <w:p>
            <w:pPr/>
            <w:r>
              <w:t xml:space="preserve">47,933</w:t>
            </w:r>
          </w:p>
        </w:tc>
      </w:tr>
    </w:tbl>
    <w:p>
      <w:pPr/>
      <w:r>
        <w:t xml:space="preserve">March figures are derived by subtracting January and February from the total. February's dip is explained by its 28 days: the daily pace is stable, volume per day rose 4.7% from January to March, and the average transaction rose 4.1%.</w:t>
      </w:r>
    </w:p>
    <w:p>
      <w:pPr>
        <w:pStyle w:val="Heading2"/>
      </w:pPr>
      <w:r>
        <w:t xml:space="preserve">3. Customer value KPIs (RFM profiles)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Profile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Customers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% of customers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Value (M NGN)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% of value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Average basket (NGN)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Champions</w:t>
            </w:r>
          </w:p>
        </w:tc>
        <w:tc>
          <w:tcPr>
            <w:tcW w:w="1560" w:type="dxa"/>
          </w:tcPr>
          <w:p>
            <w:pPr/>
            <w:r>
              <w:t xml:space="preserve">314</w:t>
            </w:r>
          </w:p>
        </w:tc>
        <w:tc>
          <w:tcPr>
            <w:tcW w:w="1560" w:type="dxa"/>
          </w:tcPr>
          <w:p>
            <w:pPr/>
            <w:r>
              <w:t xml:space="preserve">20.9%</w:t>
            </w:r>
          </w:p>
        </w:tc>
        <w:tc>
          <w:tcPr>
            <w:tcW w:w="1560" w:type="dxa"/>
          </w:tcPr>
          <w:p>
            <w:pPr/>
            <w:r>
              <w:t xml:space="preserve">185.1</w:t>
            </w:r>
          </w:p>
        </w:tc>
        <w:tc>
          <w:tcPr>
            <w:tcW w:w="1560" w:type="dxa"/>
          </w:tcPr>
          <w:p>
            <w:pPr/>
            <w:r>
              <w:t xml:space="preserve">36.2%</w:t>
            </w:r>
          </w:p>
        </w:tc>
        <w:tc>
          <w:tcPr>
            <w:tcW w:w="1560" w:type="dxa"/>
          </w:tcPr>
          <w:p>
            <w:pPr/>
            <w:r>
              <w:t xml:space="preserve">589,541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At risk (high value)</w:t>
            </w:r>
          </w:p>
        </w:tc>
        <w:tc>
          <w:tcPr>
            <w:tcW w:w="1560" w:type="dxa"/>
          </w:tcPr>
          <w:p>
            <w:pPr/>
            <w:r>
              <w:t xml:space="preserve">199</w:t>
            </w:r>
          </w:p>
        </w:tc>
        <w:tc>
          <w:tcPr>
            <w:tcW w:w="1560" w:type="dxa"/>
          </w:tcPr>
          <w:p>
            <w:pPr/>
            <w:r>
              <w:t xml:space="preserve">13.3%</w:t>
            </w:r>
          </w:p>
        </w:tc>
        <w:tc>
          <w:tcPr>
            <w:tcW w:w="1560" w:type="dxa"/>
          </w:tcPr>
          <w:p>
            <w:pPr/>
            <w:r>
              <w:t xml:space="preserve">109.0</w:t>
            </w:r>
          </w:p>
        </w:tc>
        <w:tc>
          <w:tcPr>
            <w:tcW w:w="1560" w:type="dxa"/>
          </w:tcPr>
          <w:p>
            <w:pPr/>
            <w:r>
              <w:t xml:space="preserve">21.4%</w:t>
            </w:r>
          </w:p>
        </w:tc>
        <w:tc>
          <w:tcPr>
            <w:tcW w:w="1560" w:type="dxa"/>
          </w:tcPr>
          <w:p>
            <w:pPr/>
            <w:r>
              <w:t xml:space="preserve">547,936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New / recent</w:t>
            </w:r>
          </w:p>
        </w:tc>
        <w:tc>
          <w:tcPr>
            <w:tcW w:w="1560" w:type="dxa"/>
          </w:tcPr>
          <w:p>
            <w:pPr/>
            <w:r>
              <w:t xml:space="preserve">283</w:t>
            </w:r>
          </w:p>
        </w:tc>
        <w:tc>
          <w:tcPr>
            <w:tcW w:w="1560" w:type="dxa"/>
          </w:tcPr>
          <w:p>
            <w:pPr/>
            <w:r>
              <w:t xml:space="preserve">18.9%</w:t>
            </w:r>
          </w:p>
        </w:tc>
        <w:tc>
          <w:tcPr>
            <w:tcW w:w="1560" w:type="dxa"/>
          </w:tcPr>
          <w:p>
            <w:pPr/>
            <w:r>
              <w:t xml:space="preserve">71.9</w:t>
            </w:r>
          </w:p>
        </w:tc>
        <w:tc>
          <w:tcPr>
            <w:tcW w:w="1560" w:type="dxa"/>
          </w:tcPr>
          <w:p>
            <w:pPr/>
            <w:r>
              <w:t xml:space="preserve">14.1%</w:t>
            </w:r>
          </w:p>
        </w:tc>
        <w:tc>
          <w:tcPr>
            <w:tcW w:w="1560" w:type="dxa"/>
          </w:tcPr>
          <w:p>
            <w:pPr/>
            <w:r>
              <w:t xml:space="preserve">254,114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To reactivate</w:t>
            </w:r>
          </w:p>
        </w:tc>
        <w:tc>
          <w:tcPr>
            <w:tcW w:w="1560" w:type="dxa"/>
          </w:tcPr>
          <w:p>
            <w:pPr/>
            <w:r>
              <w:t xml:space="preserve">284</w:t>
            </w:r>
          </w:p>
        </w:tc>
        <w:tc>
          <w:tcPr>
            <w:tcW w:w="1560" w:type="dxa"/>
          </w:tcPr>
          <w:p>
            <w:pPr/>
            <w:r>
              <w:t xml:space="preserve">18.9%</w:t>
            </w:r>
          </w:p>
        </w:tc>
        <w:tc>
          <w:tcPr>
            <w:tcW w:w="1560" w:type="dxa"/>
          </w:tcPr>
          <w:p>
            <w:pPr/>
            <w:r>
              <w:t xml:space="preserve">60.6</w:t>
            </w:r>
          </w:p>
        </w:tc>
        <w:tc>
          <w:tcPr>
            <w:tcW w:w="1560" w:type="dxa"/>
          </w:tcPr>
          <w:p>
            <w:pPr/>
            <w:r>
              <w:t xml:space="preserve">11.9%</w:t>
            </w:r>
          </w:p>
        </w:tc>
        <w:tc>
          <w:tcPr>
            <w:tcW w:w="1560" w:type="dxa"/>
          </w:tcPr>
          <w:p>
            <w:pPr/>
            <w:r>
              <w:t xml:space="preserve">213,428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Lost</w:t>
            </w:r>
          </w:p>
        </w:tc>
        <w:tc>
          <w:tcPr>
            <w:tcW w:w="1560" w:type="dxa"/>
          </w:tcPr>
          <w:p>
            <w:pPr/>
            <w:r>
              <w:t xml:space="preserve">267</w:t>
            </w:r>
          </w:p>
        </w:tc>
        <w:tc>
          <w:tcPr>
            <w:tcW w:w="1560" w:type="dxa"/>
          </w:tcPr>
          <w:p>
            <w:pPr/>
            <w:r>
              <w:t xml:space="preserve">17.8%</w:t>
            </w:r>
          </w:p>
        </w:tc>
        <w:tc>
          <w:tcPr>
            <w:tcW w:w="1560" w:type="dxa"/>
          </w:tcPr>
          <w:p>
            <w:pPr/>
            <w:r>
              <w:t xml:space="preserve">57.6</w:t>
            </w:r>
          </w:p>
        </w:tc>
        <w:tc>
          <w:tcPr>
            <w:tcW w:w="1560" w:type="dxa"/>
          </w:tcPr>
          <w:p>
            <w:pPr/>
            <w:r>
              <w:t xml:space="preserve">11.3%</w:t>
            </w:r>
          </w:p>
        </w:tc>
        <w:tc>
          <w:tcPr>
            <w:tcW w:w="1560" w:type="dxa"/>
          </w:tcPr>
          <w:p>
            <w:pPr/>
            <w:r>
              <w:t xml:space="preserve">215,897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Loyal</w:t>
            </w:r>
          </w:p>
        </w:tc>
        <w:tc>
          <w:tcPr>
            <w:tcW w:w="1560" w:type="dxa"/>
          </w:tcPr>
          <w:p>
            <w:pPr/>
            <w:r>
              <w:t xml:space="preserve">153</w:t>
            </w:r>
          </w:p>
        </w:tc>
        <w:tc>
          <w:tcPr>
            <w:tcW w:w="1560" w:type="dxa"/>
          </w:tcPr>
          <w:p>
            <w:pPr/>
            <w:r>
              <w:t xml:space="preserve">10.2%</w:t>
            </w:r>
          </w:p>
        </w:tc>
        <w:tc>
          <w:tcPr>
            <w:tcW w:w="1560" w:type="dxa"/>
          </w:tcPr>
          <w:p>
            <w:pPr/>
            <w:r>
              <w:t xml:space="preserve">26.5</w:t>
            </w:r>
          </w:p>
        </w:tc>
        <w:tc>
          <w:tcPr>
            <w:tcW w:w="1560" w:type="dxa"/>
          </w:tcPr>
          <w:p>
            <w:pPr/>
            <w:r>
              <w:t xml:space="preserve">5.2%</w:t>
            </w:r>
          </w:p>
        </w:tc>
        <w:tc>
          <w:tcPr>
            <w:tcW w:w="1560" w:type="dxa"/>
          </w:tcPr>
          <w:p>
            <w:pPr/>
            <w:r>
              <w:t xml:space="preserve">173,074</w:t>
            </w:r>
          </w:p>
        </w:tc>
      </w:tr>
    </w:tbl>
    <w:p>
      <w:pPr/>
      <w:r>
        <w:t xml:space="preserve">Profile shares are relative by construction, because they come from quartile scores: half of customers always fall on the high-recency side. To track change over time, switch to fixed thresholds of recency and frequency.</w:t>
      </w:r>
    </w:p>
    <w:p>
      <w:pPr>
        <w:pStyle w:val="Heading2"/>
      </w:pPr>
      <w:r>
        <w:t xml:space="preserve">4. Segment and channel KPIs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Segment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Customers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% of customers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Value (M NGN)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% of value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Value per customer (NGN)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Everyday</w:t>
            </w:r>
          </w:p>
        </w:tc>
        <w:tc>
          <w:tcPr>
            <w:tcW w:w="1560" w:type="dxa"/>
          </w:tcPr>
          <w:p>
            <w:pPr/>
            <w:r>
              <w:t xml:space="preserve">711</w:t>
            </w:r>
          </w:p>
        </w:tc>
        <w:tc>
          <w:tcPr>
            <w:tcW w:w="1560" w:type="dxa"/>
          </w:tcPr>
          <w:p>
            <w:pPr/>
            <w:r>
              <w:t xml:space="preserve">47.4%</w:t>
            </w:r>
          </w:p>
        </w:tc>
        <w:tc>
          <w:tcPr>
            <w:tcW w:w="1560" w:type="dxa"/>
          </w:tcPr>
          <w:p>
            <w:pPr/>
            <w:r>
              <w:t xml:space="preserve">235.7</w:t>
            </w:r>
          </w:p>
        </w:tc>
        <w:tc>
          <w:tcPr>
            <w:tcW w:w="1560" w:type="dxa"/>
          </w:tcPr>
          <w:p>
            <w:pPr/>
            <w:r>
              <w:t xml:space="preserve">46.1%</w:t>
            </w:r>
          </w:p>
        </w:tc>
        <w:tc>
          <w:tcPr>
            <w:tcW w:w="1560" w:type="dxa"/>
          </w:tcPr>
          <w:p>
            <w:pPr/>
            <w:r>
              <w:t xml:space="preserve">331,535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Premium</w:t>
            </w:r>
          </w:p>
        </w:tc>
        <w:tc>
          <w:tcPr>
            <w:tcW w:w="1560" w:type="dxa"/>
          </w:tcPr>
          <w:p>
            <w:pPr/>
            <w:r>
              <w:t xml:space="preserve">295</w:t>
            </w:r>
          </w:p>
        </w:tc>
        <w:tc>
          <w:tcPr>
            <w:tcW w:w="1560" w:type="dxa"/>
          </w:tcPr>
          <w:p>
            <w:pPr/>
            <w:r>
              <w:t xml:space="preserve">19.7%</w:t>
            </w:r>
          </w:p>
        </w:tc>
        <w:tc>
          <w:tcPr>
            <w:tcW w:w="1560" w:type="dxa"/>
          </w:tcPr>
          <w:p>
            <w:pPr/>
            <w:r>
              <w:t xml:space="preserve">101.0</w:t>
            </w:r>
          </w:p>
        </w:tc>
        <w:tc>
          <w:tcPr>
            <w:tcW w:w="1560" w:type="dxa"/>
          </w:tcPr>
          <w:p>
            <w:pPr/>
            <w:r>
              <w:t xml:space="preserve">19.8%</w:t>
            </w:r>
          </w:p>
        </w:tc>
        <w:tc>
          <w:tcPr>
            <w:tcW w:w="1560" w:type="dxa"/>
          </w:tcPr>
          <w:p>
            <w:pPr/>
            <w:r>
              <w:t xml:space="preserve">342,538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Student</w:t>
            </w:r>
          </w:p>
        </w:tc>
        <w:tc>
          <w:tcPr>
            <w:tcW w:w="1560" w:type="dxa"/>
          </w:tcPr>
          <w:p>
            <w:pPr/>
            <w:r>
              <w:t xml:space="preserve">278</w:t>
            </w:r>
          </w:p>
        </w:tc>
        <w:tc>
          <w:tcPr>
            <w:tcW w:w="1560" w:type="dxa"/>
          </w:tcPr>
          <w:p>
            <w:pPr/>
            <w:r>
              <w:t xml:space="preserve">18.5%</w:t>
            </w:r>
          </w:p>
        </w:tc>
        <w:tc>
          <w:tcPr>
            <w:tcW w:w="1560" w:type="dxa"/>
          </w:tcPr>
          <w:p>
            <w:pPr/>
            <w:r>
              <w:t xml:space="preserve">97.4</w:t>
            </w:r>
          </w:p>
        </w:tc>
        <w:tc>
          <w:tcPr>
            <w:tcW w:w="1560" w:type="dxa"/>
          </w:tcPr>
          <w:p>
            <w:pPr/>
            <w:r>
              <w:t xml:space="preserve">19.1%</w:t>
            </w:r>
          </w:p>
        </w:tc>
        <w:tc>
          <w:tcPr>
            <w:tcW w:w="1560" w:type="dxa"/>
          </w:tcPr>
          <w:p>
            <w:pPr/>
            <w:r>
              <w:t xml:space="preserve">350,292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SME</w:t>
            </w:r>
          </w:p>
        </w:tc>
        <w:tc>
          <w:tcPr>
            <w:tcW w:w="1560" w:type="dxa"/>
          </w:tcPr>
          <w:p>
            <w:pPr/>
            <w:r>
              <w:t xml:space="preserve">216</w:t>
            </w:r>
          </w:p>
        </w:tc>
        <w:tc>
          <w:tcPr>
            <w:tcW w:w="1560" w:type="dxa"/>
          </w:tcPr>
          <w:p>
            <w:pPr/>
            <w:r>
              <w:t xml:space="preserve">14.4%</w:t>
            </w:r>
          </w:p>
        </w:tc>
        <w:tc>
          <w:tcPr>
            <w:tcW w:w="1560" w:type="dxa"/>
          </w:tcPr>
          <w:p>
            <w:pPr/>
            <w:r>
              <w:t xml:space="preserve">76.7</w:t>
            </w:r>
          </w:p>
        </w:tc>
        <w:tc>
          <w:tcPr>
            <w:tcW w:w="1560" w:type="dxa"/>
          </w:tcPr>
          <w:p>
            <w:pPr/>
            <w:r>
              <w:t xml:space="preserve">15.0%</w:t>
            </w:r>
          </w:p>
        </w:tc>
        <w:tc>
          <w:tcPr>
            <w:tcW w:w="1560" w:type="dxa"/>
          </w:tcPr>
          <w:p>
            <w:pPr/>
            <w:r>
              <w:t xml:space="preserve">354,889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Preferred channel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Customers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% of customers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Value (M NGN)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% of value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Value per customer (NGN)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Mobile App</w:t>
            </w:r>
          </w:p>
        </w:tc>
        <w:tc>
          <w:tcPr>
            <w:tcW w:w="1560" w:type="dxa"/>
          </w:tcPr>
          <w:p>
            <w:pPr/>
            <w:r>
              <w:t xml:space="preserve">924</w:t>
            </w:r>
          </w:p>
        </w:tc>
        <w:tc>
          <w:tcPr>
            <w:tcW w:w="1560" w:type="dxa"/>
          </w:tcPr>
          <w:p>
            <w:pPr/>
            <w:r>
              <w:t xml:space="preserve">61.6%</w:t>
            </w:r>
          </w:p>
        </w:tc>
        <w:tc>
          <w:tcPr>
            <w:tcW w:w="1560" w:type="dxa"/>
          </w:tcPr>
          <w:p>
            <w:pPr/>
            <w:r>
              <w:t xml:space="preserve">317.8</w:t>
            </w:r>
          </w:p>
        </w:tc>
        <w:tc>
          <w:tcPr>
            <w:tcW w:w="1560" w:type="dxa"/>
          </w:tcPr>
          <w:p>
            <w:pPr/>
            <w:r>
              <w:t xml:space="preserve">62.2%</w:t>
            </w:r>
          </w:p>
        </w:tc>
        <w:tc>
          <w:tcPr>
            <w:tcW w:w="1560" w:type="dxa"/>
          </w:tcPr>
          <w:p>
            <w:pPr/>
            <w:r>
              <w:t xml:space="preserve">343,922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Web</w:t>
            </w:r>
          </w:p>
        </w:tc>
        <w:tc>
          <w:tcPr>
            <w:tcW w:w="1560" w:type="dxa"/>
          </w:tcPr>
          <w:p>
            <w:pPr/>
            <w:r>
              <w:t xml:space="preserve">357</w:t>
            </w:r>
          </w:p>
        </w:tc>
        <w:tc>
          <w:tcPr>
            <w:tcW w:w="1560" w:type="dxa"/>
          </w:tcPr>
          <w:p>
            <w:pPr/>
            <w:r>
              <w:t xml:space="preserve">23.8%</w:t>
            </w:r>
          </w:p>
        </w:tc>
        <w:tc>
          <w:tcPr>
            <w:tcW w:w="1560" w:type="dxa"/>
          </w:tcPr>
          <w:p>
            <w:pPr/>
            <w:r>
              <w:t xml:space="preserve">122.1</w:t>
            </w:r>
          </w:p>
        </w:tc>
        <w:tc>
          <w:tcPr>
            <w:tcW w:w="1560" w:type="dxa"/>
          </w:tcPr>
          <w:p>
            <w:pPr/>
            <w:r>
              <w:t xml:space="preserve">23.9%</w:t>
            </w:r>
          </w:p>
        </w:tc>
        <w:tc>
          <w:tcPr>
            <w:tcW w:w="1560" w:type="dxa"/>
          </w:tcPr>
          <w:p>
            <w:pPr/>
            <w:r>
              <w:t xml:space="preserve">341,911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USSD</w:t>
            </w:r>
          </w:p>
        </w:tc>
        <w:tc>
          <w:tcPr>
            <w:tcW w:w="1560" w:type="dxa"/>
          </w:tcPr>
          <w:p>
            <w:pPr/>
            <w:r>
              <w:t xml:space="preserve">219</w:t>
            </w:r>
          </w:p>
        </w:tc>
        <w:tc>
          <w:tcPr>
            <w:tcW w:w="1560" w:type="dxa"/>
          </w:tcPr>
          <w:p>
            <w:pPr/>
            <w:r>
              <w:t xml:space="preserve">14.6%</w:t>
            </w:r>
          </w:p>
        </w:tc>
        <w:tc>
          <w:tcPr>
            <w:tcW w:w="1560" w:type="dxa"/>
          </w:tcPr>
          <w:p>
            <w:pPr/>
            <w:r>
              <w:t xml:space="preserve">71.0</w:t>
            </w:r>
          </w:p>
        </w:tc>
        <w:tc>
          <w:tcPr>
            <w:tcW w:w="1560" w:type="dxa"/>
          </w:tcPr>
          <w:p>
            <w:pPr/>
            <w:r>
              <w:t xml:space="preserve">13.9%</w:t>
            </w:r>
          </w:p>
        </w:tc>
        <w:tc>
          <w:tcPr>
            <w:tcW w:w="1560" w:type="dxa"/>
          </w:tcPr>
          <w:p>
            <w:pPr/>
            <w:r>
              <w:t xml:space="preserve">324,024</w:t>
            </w:r>
          </w:p>
        </w:tc>
      </w:tr>
    </w:tbl>
    <w:p>
      <w:pPr/>
      <w:r>
        <w:t xml:space="preserve">Value per customer differs by at most 7% between segments. USSD customers are worth about 6% less than Mobile App customers; with 219 customers, treat the gap as indicative.</w:t>
      </w:r>
    </w:p>
    <w:p>
      <w:pPr>
        <w:pStyle w:val="Heading2"/>
      </w:pPr>
      <w:r>
        <w:t xml:space="preserve">5. What the KPIs say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Activity is stable and growing slowly.</w:t>
      </w:r>
      <w:r>
        <w:t xml:space="preserve"> The daily pace holds near 121 transactions, while volume per day and the average transaction both rise by about 4 to 5% over the quarter.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Reliability is the main operational gap.</w:t>
      </w:r>
      <w:r>
        <w:t xml:space="preserve"> One transaction in ten does not complete, which removes 8.9% of volume, and failures are the most flagged group.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Value is concentrated.</w:t>
      </w:r>
      <w:r>
        <w:t xml:space="preserve"> Champions are 20.9% of customers and 36.2% of value, and the mean transaction is 4.65 times the median.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Risk is small in count but large in value.</w:t>
      </w:r>
      <w:r>
        <w:t xml:space="preserve"> Anomalies are 5.9% of transactions yet 30.7% of volume. The existing flag catches only a third of them and is only 1.8 times more likely to hit an anomaly than a normal transaction.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Segments and channels differ little.</w:t>
      </w:r>
      <w:r>
        <w:t xml:space="preserve"> Per-customer value stays within a narrow band, so profile-based targeting adds more than segment-based targeting.</w:t>
      </w:r>
    </w:p>
    <w:p>
      <w:pPr>
        <w:pStyle w:val="Heading2"/>
      </w:pPr>
      <w:r>
        <w:t xml:space="preserve">6. Definitions and caveats</w:t>
      </w:r>
    </w:p>
    <w:p>
      <w:pPr>
        <w:pStyle w:val="ListParagraph"/>
        <w:numPr>
          <w:ilvl w:val="0"/>
          <w:numId w:val="3"/>
        </w:numPr>
      </w:pPr>
      <w:r>
        <w:t xml:space="preserve">All value and volume KPIs use successful transactions unless stated, and volume is not revenue.</w:t>
      </w:r>
    </w:p>
    <w:p>
      <w:pPr>
        <w:pStyle w:val="ListParagraph"/>
        <w:numPr>
          <w:ilvl w:val="0"/>
          <w:numId w:val="3"/>
        </w:numPr>
      </w:pPr>
      <w:r>
        <w:t xml:space="preserve">The review flag (</w:t>
      </w:r>
      <w:r>
        <w:rPr>
          <w:rStyle w:val="CodeChar"/>
        </w:rPr>
        <w:t xml:space="preserve">Risk_Review_Flag</w:t>
      </w:r>
      <w:r>
        <w:t xml:space="preserve">) marks transactions sent for review, not confirmed fraud.</w:t>
      </w:r>
    </w:p>
    <w:p>
      <w:pPr>
        <w:pStyle w:val="ListParagraph"/>
        <w:numPr>
          <w:ilvl w:val="0"/>
          <w:numId w:val="3"/>
        </w:numPr>
      </w:pPr>
      <w:r>
        <w:t xml:space="preserve">Anomalies use the customer's own mean plus 2 standard deviations, with at least 5 transactions, so customers with little history are excluded.</w:t>
      </w:r>
    </w:p>
    <w:p>
      <w:pPr>
        <w:pStyle w:val="ListParagraph"/>
        <w:numPr>
          <w:ilvl w:val="0"/>
          <w:numId w:val="3"/>
        </w:numPr>
      </w:pPr>
      <w:r>
        <w:t xml:space="preserve">Three months of data cannot show seasonality, and trends based on three points are indicative.</w:t>
      </w:r>
    </w:p>
    <w:p>
      <w:pPr>
        <w:pStyle w:val="ListParagraph"/>
        <w:numPr>
          <w:ilvl w:val="0"/>
          <w:numId w:val="3"/>
        </w:numPr>
      </w:pPr>
      <w:r>
        <w:t xml:space="preserve">Times are used as stored, without time-zone conversion.</w:t>
      </w:r>
    </w:p>
    <w:p>
      <w:pPr>
        <w:pStyle w:val="Heading2"/>
      </w:pPr>
      <w:r>
        <w:t xml:space="preserve">7. KPIs to add next</w:t>
      </w:r>
    </w:p>
    <w:p>
      <w:pPr/>
      <w:r>
        <w:t xml:space="preserve">Several available columns are not yet analysed and would support further KPIs: </w:t>
      </w:r>
      <w:r>
        <w:rPr>
          <w:rStyle w:val="CodeChar"/>
        </w:rPr>
        <w:t xml:space="preserve">Digital_Engagement_Score</w:t>
      </w:r>
      <w:r>
        <w:t xml:space="preserve"> and </w:t>
      </w:r>
      <w:r>
        <w:rPr>
          <w:rStyle w:val="CodeChar"/>
        </w:rPr>
        <w:t xml:space="preserve">Tenure_Months</w:t>
      </w:r>
      <w:r>
        <w:t xml:space="preserve"> (engagement and retention), </w:t>
      </w:r>
      <w:r>
        <w:rPr>
          <w:rStyle w:val="CodeChar"/>
        </w:rPr>
        <w:t xml:space="preserve">Monthly_Income_Band</w:t>
      </w:r>
      <w:r>
        <w:t xml:space="preserve">, </w:t>
      </w:r>
      <w:r>
        <w:rPr>
          <w:rStyle w:val="CodeChar"/>
        </w:rPr>
        <w:t xml:space="preserve">Age</w:t>
      </w:r>
      <w:r>
        <w:t xml:space="preserve"> and </w:t>
      </w:r>
      <w:r>
        <w:rPr>
          <w:rStyle w:val="CodeChar"/>
        </w:rPr>
        <w:t xml:space="preserve">City</w:t>
      </w:r>
      <w:r>
        <w:t xml:space="preserve"> (customer mix), </w:t>
      </w:r>
      <w:r>
        <w:rPr>
          <w:rStyle w:val="CodeChar"/>
        </w:rPr>
        <w:t xml:space="preserve">Device_Type</w:t>
      </w:r>
      <w:r>
        <w:t xml:space="preserve"> and </w:t>
      </w:r>
      <w:r>
        <w:rPr>
          <w:rStyle w:val="CodeChar"/>
        </w:rPr>
        <w:t xml:space="preserve">International_Transaction</w:t>
      </w:r>
      <w:r>
        <w:t xml:space="preserve"> (risk and reliability). Other KPIs need new data: fees or revenue per transaction, a confirmed-fraud indicator, review turnaround time, and a longer history to measure churn.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KPI Analysis FinTrust</dc:title>
  <dc:description>Claude Docs node/58fe9676-680f@1 docx-w6</dc:description>
  <cp:revision>1</cp:revision>
</cp:coreProperties>
</file>