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Business Recommendations: FinTrust</w:t>
      </w:r>
    </w:p>
    <w:p>
      <w:pPr/>
      <w:r>
        <w:t xml:space="preserve">Priority actions drawn from the analysis of successful transactions (1 January to 31 March 2026)</w:t>
      </w:r>
    </w:p>
    <w:p>
      <w:pPr>
        <w:pStyle w:val="Heading2"/>
      </w:pPr>
      <w:r>
        <w:t xml:space="preserve">1. Executive summary</w:t>
      </w:r>
    </w:p>
    <w:p>
      <w:pPr/>
      <w:r>
        <w:t xml:space="preserve">The analysis covers 1,500 customers and 10,856 successful transactions, for a volume of 510.8 M NGN. Seven recommendations follow, ranked by priority:</w:t>
      </w:r>
    </w:p>
    <w:p>
      <w:pPr>
        <w:pStyle w:val="ListParagraph"/>
        <w:numPr>
          <w:ilvl w:val="0"/>
          <w:numId w:val="2"/>
        </w:numPr>
      </w:pPr>
      <w:r>
        <w:rPr>
          <w:b/>
        </w:rPr>
        <w:t xml:space="preserve">Reactivate the 199 'at risk' customers</w:t>
      </w:r>
      <w:r>
        <w:t xml:space="preserve">: they carry 109.0 M NGN, or 21.4% of total value.</w:t>
      </w:r>
    </w:p>
    <w:p>
      <w:pPr>
        <w:pStyle w:val="ListParagraph"/>
        <w:numPr>
          <w:ilvl w:val="0"/>
          <w:numId w:val="2"/>
        </w:numPr>
      </w:pPr>
      <w:r>
        <w:rPr>
          <w:b/>
        </w:rPr>
        <w:t xml:space="preserve">Retain the 314 Champions</w:t>
      </w:r>
      <w:r>
        <w:t xml:space="preserve">: they concentrate 36.2% of value (185.1 M NGN).</w:t>
      </w:r>
    </w:p>
    <w:p>
      <w:pPr>
        <w:pStyle w:val="ListParagraph"/>
        <w:numPr>
          <w:ilvl w:val="0"/>
          <w:numId w:val="2"/>
        </w:numPr>
      </w:pPr>
      <w:r>
        <w:rPr>
          <w:b/>
        </w:rPr>
        <w:t xml:space="preserve">Strengthen risk control</w:t>
      </w:r>
      <w:r>
        <w:t xml:space="preserve">: 66% of the 645 anomalies are not flagged by the existing review.</w:t>
      </w:r>
    </w:p>
    <w:p>
      <w:pPr>
        <w:pStyle w:val="ListParagraph"/>
        <w:numPr>
          <w:ilvl w:val="0"/>
          <w:numId w:val="2"/>
        </w:numPr>
      </w:pPr>
      <w:r>
        <w:rPr>
          <w:b/>
        </w:rPr>
        <w:t xml:space="preserve">Reduce failed and reversed transactions</w:t>
      </w:r>
      <w:r>
        <w:t xml:space="preserve">: 9.5% of transactions do not complete (49.7 M NGN).</w:t>
      </w:r>
    </w:p>
    <w:p>
      <w:pPr>
        <w:pStyle w:val="ListParagraph"/>
        <w:numPr>
          <w:ilvl w:val="0"/>
          <w:numId w:val="2"/>
        </w:numPr>
      </w:pPr>
      <w:r>
        <w:rPr>
          <w:b/>
        </w:rPr>
        <w:t xml:space="preserve">Turn new customers into regular users</w:t>
      </w:r>
      <w:r>
        <w:t xml:space="preserve">: 283 customers, average basket of 254,000 NGN.</w:t>
      </w:r>
    </w:p>
    <w:p>
      <w:pPr>
        <w:pStyle w:val="ListParagraph"/>
        <w:numPr>
          <w:ilvl w:val="0"/>
          <w:numId w:val="2"/>
        </w:numPr>
      </w:pPr>
      <w:r>
        <w:rPr>
          <w:b/>
        </w:rPr>
        <w:t xml:space="preserve">Target by profile, and test USSD and the SME segment</w:t>
      </w:r>
      <w:r>
        <w:t xml:space="preserve">: segments look alike, profiles do not.</w:t>
      </w:r>
    </w:p>
    <w:p>
      <w:pPr>
        <w:pStyle w:val="ListParagraph"/>
        <w:numPr>
          <w:ilvl w:val="0"/>
          <w:numId w:val="2"/>
        </w:numPr>
      </w:pPr>
      <w:r>
        <w:rPr>
          <w:b/>
        </w:rPr>
        <w:t xml:space="preserve">Improve data reliability</w:t>
      </w:r>
      <w:r>
        <w:t xml:space="preserve">: inconsistent account status, time zone, and no confirmed-fraud indicator.</w:t>
      </w:r>
    </w:p>
    <w:p>
      <w:pPr/>
      <w:r>
        <w:t xml:space="preserve">Transaction volume is not revenue: with no margin or cost data available, this report does not estimate a return on investment.</w:t>
      </w:r>
    </w:p>
    <w:p>
      <w:pPr>
        <w:pStyle w:val="Heading2"/>
      </w:pPr>
      <w:r>
        <w:t xml:space="preserve">2. Key findings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Finding</w:t>
            </w:r>
          </w:p>
        </w:tc>
        <w:tc>
          <w:tcPr>
            <w:tcW w:w="3120" w:type="dxa"/>
            <w:shd w:val="clear" w:color="auto" w:fill="F2F2F2"/>
          </w:tcPr>
          <w:p>
            <w:pPr/>
            <w:r>
              <w:t xml:space="preserve">Figure</w:t>
            </w:r>
          </w:p>
        </w:tc>
        <w:tc>
          <w:tcPr>
            <w:tcW w:w="3120" w:type="dxa"/>
            <w:shd w:val="clear" w:color="auto" w:fill="F2F2F2"/>
          </w:tcPr>
          <w:p>
            <w:pPr/>
            <w:r>
              <w:t xml:space="preserve">What it means</w:t>
            </w:r>
          </w:p>
        </w:tc>
      </w:tr>
      <w:tr>
        <w:tc>
          <w:tcPr>
            <w:tcW w:w="3120" w:type="dxa"/>
          </w:tcPr>
          <w:p>
            <w:pPr/>
            <w:r>
              <w:t xml:space="preserve">Concentrated value</w:t>
            </w:r>
          </w:p>
        </w:tc>
        <w:tc>
          <w:tcPr>
            <w:tcW w:w="3120" w:type="dxa"/>
          </w:tcPr>
          <w:p>
            <w:pPr/>
            <w:r>
              <w:t xml:space="preserve">Champions: 20.9% of customers, 36.2% of value</w:t>
            </w:r>
          </w:p>
        </w:tc>
        <w:tc>
          <w:tcPr>
            <w:tcW w:w="3120" w:type="dxa"/>
          </w:tcPr>
          <w:p>
            <w:pPr/>
            <w:r>
              <w:t xml:space="preserve">Protect this core group first</w:t>
            </w:r>
          </w:p>
        </w:tc>
      </w:tr>
      <w:tr>
        <w:tc>
          <w:tcPr>
            <w:tcW w:w="3120" w:type="dxa"/>
          </w:tcPr>
          <w:p>
            <w:pPr/>
            <w:r>
              <w:t xml:space="preserve">Customers cooling off</w:t>
            </w:r>
          </w:p>
        </w:tc>
        <w:tc>
          <w:tcPr>
            <w:tcW w:w="3120" w:type="dxa"/>
          </w:tcPr>
          <w:p>
            <w:pPr/>
            <w:r>
              <w:t xml:space="preserve">199 at-risk customers, average basket of 547,936 NGN</w:t>
            </w:r>
          </w:p>
        </w:tc>
        <w:tc>
          <w:tcPr>
            <w:tcW w:w="3120" w:type="dxa"/>
          </w:tcPr>
          <w:p>
            <w:pPr/>
            <w:r>
              <w:t xml:space="preserve">Risk of losing value close to that of the Champions</w:t>
            </w:r>
          </w:p>
        </w:tc>
      </w:tr>
      <w:tr>
        <w:tc>
          <w:tcPr>
            <w:tcW w:w="3120" w:type="dxa"/>
          </w:tcPr>
          <w:p>
            <w:pPr/>
            <w:r>
              <w:t xml:space="preserve">Incomplete transactions</w:t>
            </w:r>
          </w:p>
        </w:tc>
        <w:tc>
          <w:tcPr>
            <w:tcW w:w="3120" w:type="dxa"/>
          </w:tcPr>
          <w:p>
            <w:pPr/>
            <w:r>
              <w:t xml:space="preserve">1,144 transactions (9.5%), 49.7 M NGN</w:t>
            </w:r>
          </w:p>
        </w:tc>
        <w:tc>
          <w:tcPr>
            <w:tcW w:w="3120" w:type="dxa"/>
          </w:tcPr>
          <w:p>
            <w:pPr/>
            <w:r>
              <w:t xml:space="preserve">Lost usage and trust</w:t>
            </w:r>
          </w:p>
        </w:tc>
      </w:tr>
      <w:tr>
        <w:tc>
          <w:tcPr>
            <w:tcW w:w="3120" w:type="dxa"/>
          </w:tcPr>
          <w:p>
            <w:pPr/>
            <w:r>
              <w:t xml:space="preserve">Failures heavily flagged</w:t>
            </w:r>
          </w:p>
        </w:tc>
        <w:tc>
          <w:tcPr>
            <w:tcW w:w="3120" w:type="dxa"/>
          </w:tcPr>
          <w:p>
            <w:pPr/>
            <w:r>
              <w:t xml:space="preserve">27.0% of failed transactions are flagged, versus 19.2% for successful ones</w:t>
            </w:r>
          </w:p>
        </w:tc>
        <w:tc>
          <w:tcPr>
            <w:tcW w:w="3120" w:type="dxa"/>
          </w:tcPr>
          <w:p>
            <w:pPr/>
            <w:r>
              <w:t xml:space="preserve">Suspicious attempts or friction to investigate</w:t>
            </w:r>
          </w:p>
        </w:tc>
      </w:tr>
      <w:tr>
        <w:tc>
          <w:tcPr>
            <w:tcW w:w="3120" w:type="dxa"/>
          </w:tcPr>
          <w:p>
            <w:pPr/>
            <w:r>
              <w:t xml:space="preserve">Partial control</w:t>
            </w:r>
          </w:p>
        </w:tc>
        <w:tc>
          <w:tcPr>
            <w:tcW w:w="3120" w:type="dxa"/>
          </w:tcPr>
          <w:p>
            <w:pPr/>
            <w:r>
              <w:t xml:space="preserve">423 of 645 anomalies not flagged</w:t>
            </w:r>
          </w:p>
        </w:tc>
        <w:tc>
          <w:tcPr>
            <w:tcW w:w="3120" w:type="dxa"/>
          </w:tcPr>
          <w:p>
            <w:pPr/>
            <w:r>
              <w:t xml:space="preserve">The review does not track the size of amount deviations</w:t>
            </w:r>
          </w:p>
        </w:tc>
      </w:tr>
      <w:tr>
        <w:tc>
          <w:tcPr>
            <w:tcW w:w="3120" w:type="dxa"/>
          </w:tcPr>
          <w:p>
            <w:pPr/>
            <w:r>
              <w:t xml:space="preserve">Modest typical amount</w:t>
            </w:r>
          </w:p>
        </w:tc>
        <w:tc>
          <w:tcPr>
            <w:tcW w:w="3120" w:type="dxa"/>
          </w:tcPr>
          <w:p>
            <w:pPr/>
            <w:r>
              <w:t xml:space="preserve">Median of 10,108 NGN, mean of 47,053 NGN</w:t>
            </w:r>
          </w:p>
        </w:tc>
        <w:tc>
          <w:tcPr>
            <w:tcW w:w="3120" w:type="dxa"/>
          </w:tcPr>
          <w:p>
            <w:pPr/>
            <w:r>
              <w:t xml:space="preserve">A few large amounts drive value: monitor them closely</w:t>
            </w:r>
          </w:p>
        </w:tc>
      </w:tr>
      <w:tr>
        <w:tc>
          <w:tcPr>
            <w:tcW w:w="3120" w:type="dxa"/>
          </w:tcPr>
          <w:p>
            <w:pPr/>
            <w:r>
              <w:t xml:space="preserve">Homogeneous segments</w:t>
            </w:r>
          </w:p>
        </w:tc>
        <w:tc>
          <w:tcPr>
            <w:tcW w:w="3120" w:type="dxa"/>
          </w:tcPr>
          <w:p>
            <w:pPr/>
            <w:r>
              <w:t xml:space="preserve">Average baskets of 331,500 to 355,000 NGN across segments</w:t>
            </w:r>
          </w:p>
        </w:tc>
        <w:tc>
          <w:tcPr>
            <w:tcW w:w="3120" w:type="dxa"/>
          </w:tcPr>
          <w:p>
            <w:pPr/>
            <w:r>
              <w:t xml:space="preserve">Segment alone is not enough for targeting</w:t>
            </w:r>
          </w:p>
        </w:tc>
      </w:tr>
      <w:tr>
        <w:tc>
          <w:tcPr>
            <w:tcW w:w="3120" w:type="dxa"/>
          </w:tcPr>
          <w:p>
            <w:pPr/>
            <w:r>
              <w:t xml:space="preserve">Stable activity</w:t>
            </w:r>
          </w:p>
        </w:tc>
        <w:tc>
          <w:tcPr>
            <w:tcW w:w="3120" w:type="dxa"/>
          </w:tcPr>
          <w:p>
            <w:pPr/>
            <w:r>
              <w:t xml:space="preserve">About 120 transactions per day every month</w:t>
            </w:r>
          </w:p>
        </w:tc>
        <w:tc>
          <w:tcPr>
            <w:tcW w:w="3120" w:type="dxa"/>
          </w:tcPr>
          <w:p>
            <w:pPr/>
            <w:r>
              <w:t xml:space="preserve">A sound baseline to measure the effect of actions</w:t>
            </w:r>
          </w:p>
        </w:tc>
      </w:tr>
    </w:tbl>
    <w:p>
      <w:pPr>
        <w:pStyle w:val="Heading2"/>
      </w:pPr>
      <w:r>
        <w:t xml:space="preserve">3. Detailed recommendations</w:t>
      </w:r>
    </w:p>
    <w:p>
      <w:pPr>
        <w:pStyle w:val="Heading3"/>
      </w:pPr>
      <w:r>
        <w:t xml:space="preserve">Recommendation 1: reactivate 'at risk' customers (high priority)</w:t>
      </w:r>
    </w:p>
    <w:p>
      <w:pPr>
        <w:pStyle w:val="ListParagraph"/>
        <w:numPr>
          <w:ilvl w:val="0"/>
          <w:numId w:val="3"/>
        </w:numPr>
      </w:pPr>
      <w:r>
        <w:rPr>
          <w:b/>
        </w:rPr>
        <w:t xml:space="preserve">Finding</w:t>
      </w:r>
      <w:r>
        <w:t xml:space="preserve">: 199 customers (13.3%), 109.0 M NGN. Their average basket is close to that of the Champions, but their last transaction was at least 8 days ago.</w:t>
      </w:r>
    </w:p>
    <w:p>
      <w:pPr>
        <w:pStyle w:val="ListParagraph"/>
        <w:numPr>
          <w:ilvl w:val="0"/>
          <w:numId w:val="3"/>
        </w:numPr>
      </w:pPr>
      <w:r>
        <w:rPr>
          <w:b/>
        </w:rPr>
        <w:t xml:space="preserve">Actions</w:t>
      </w:r>
      <w:r>
        <w:t xml:space="preserve">:</w:t>
      </w:r>
    </w:p>
    <w:p>
      <w:pPr>
        <w:pStyle w:val="ListParagraph"/>
        <w:numPr>
          <w:ilvl w:val="1"/>
          <w:numId w:val="4"/>
        </w:numPr>
      </w:pPr>
      <w:r>
        <w:t xml:space="preserve">Rank these customers by time since their last transaction: those inactive for 17 days or more come first.</w:t>
      </w:r>
    </w:p>
    <w:p>
      <w:pPr>
        <w:pStyle w:val="ListParagraph"/>
        <w:numPr>
          <w:ilvl w:val="1"/>
          <w:numId w:val="4"/>
        </w:numPr>
      </w:pPr>
      <w:r>
        <w:t xml:space="preserve">Send a personalised offer or reminder through their preferred channel (</w:t>
      </w:r>
      <w:r>
        <w:rPr>
          <w:rStyle w:val="CodeChar"/>
        </w:rPr>
        <w:t xml:space="preserve">Preferred_Channel</w:t>
      </w:r>
      <w:r>
        <w:t xml:space="preserve">).</w:t>
      </w:r>
    </w:p>
    <w:p>
      <w:pPr>
        <w:pStyle w:val="ListParagraph"/>
        <w:numPr>
          <w:ilvl w:val="1"/>
          <w:numId w:val="4"/>
        </w:numPr>
      </w:pPr>
      <w:r>
        <w:t xml:space="preserve">Have an advisor call the highest-value customers.</w:t>
      </w:r>
    </w:p>
    <w:p>
      <w:pPr>
        <w:pStyle w:val="ListParagraph"/>
        <w:numPr>
          <w:ilvl w:val="0"/>
          <w:numId w:val="3"/>
        </w:numPr>
      </w:pPr>
      <w:r>
        <w:rPr>
          <w:b/>
        </w:rPr>
        <w:t xml:space="preserve">Indicator</w:t>
      </w:r>
      <w:r>
        <w:t xml:space="preserve">: share of these customers who complete a successful transaction within 30 days.</w:t>
      </w:r>
    </w:p>
    <w:p>
      <w:pPr>
        <w:pStyle w:val="Heading3"/>
      </w:pPr>
      <w:r>
        <w:t xml:space="preserve">Recommendation 2: retain the Champions (high priority)</w:t>
      </w:r>
    </w:p>
    <w:p>
      <w:pPr>
        <w:pStyle w:val="ListParagraph"/>
        <w:numPr>
          <w:ilvl w:val="0"/>
          <w:numId w:val="5"/>
        </w:numPr>
      </w:pPr>
      <w:r>
        <w:rPr>
          <w:b/>
        </w:rPr>
        <w:t xml:space="preserve">Finding</w:t>
      </w:r>
      <w:r>
        <w:t xml:space="preserve">: 314 customers, 185.1 M NGN, average basket of 589,541 NGN.</w:t>
      </w:r>
    </w:p>
    <w:p>
      <w:pPr>
        <w:pStyle w:val="ListParagraph"/>
        <w:numPr>
          <w:ilvl w:val="0"/>
          <w:numId w:val="5"/>
        </w:numPr>
      </w:pPr>
      <w:r>
        <w:rPr>
          <w:b/>
        </w:rPr>
        <w:t xml:space="preserve">Actions</w:t>
      </w:r>
      <w:r>
        <w:t xml:space="preserve">:</w:t>
      </w:r>
    </w:p>
    <w:p>
      <w:pPr>
        <w:pStyle w:val="ListParagraph"/>
        <w:numPr>
          <w:ilvl w:val="1"/>
          <w:numId w:val="6"/>
        </w:numPr>
      </w:pPr>
      <w:r>
        <w:t xml:space="preserve">Dedicated offer: fee advantages, higher limits, priority service.</w:t>
      </w:r>
    </w:p>
    <w:p>
      <w:pPr>
        <w:pStyle w:val="ListParagraph"/>
        <w:numPr>
          <w:ilvl w:val="1"/>
          <w:numId w:val="6"/>
        </w:numPr>
      </w:pPr>
      <w:r>
        <w:t xml:space="preserve">Automatic alert when a Champion's recency score drops below 3.</w:t>
      </w:r>
    </w:p>
    <w:p>
      <w:pPr>
        <w:pStyle w:val="ListParagraph"/>
        <w:numPr>
          <w:ilvl w:val="0"/>
          <w:numId w:val="5"/>
        </w:numPr>
      </w:pPr>
      <w:r>
        <w:rPr>
          <w:b/>
        </w:rPr>
        <w:t xml:space="preserve">Indicator</w:t>
      </w:r>
      <w:r>
        <w:t xml:space="preserve">: share of Champions who slip to 'at risk' from one quarter to the next (goal: reduce it).</w:t>
      </w:r>
    </w:p>
    <w:p>
      <w:pPr>
        <w:pStyle w:val="Heading3"/>
      </w:pPr>
      <w:r>
        <w:t xml:space="preserve">Recommendation 3: turn new customers into regular customers (medium priority)</w:t>
      </w:r>
    </w:p>
    <w:p>
      <w:pPr>
        <w:pStyle w:val="ListParagraph"/>
        <w:numPr>
          <w:ilvl w:val="0"/>
          <w:numId w:val="7"/>
        </w:numPr>
      </w:pPr>
      <w:r>
        <w:rPr>
          <w:b/>
        </w:rPr>
        <w:t xml:space="preserve">Finding</w:t>
      </w:r>
      <w:r>
        <w:t xml:space="preserve">: 283 recent, low-frequency customers, average basket of 254,114 NGN. They represent 71.9 M NGN.</w:t>
      </w:r>
    </w:p>
    <w:p>
      <w:pPr>
        <w:pStyle w:val="ListParagraph"/>
        <w:numPr>
          <w:ilvl w:val="0"/>
          <w:numId w:val="7"/>
        </w:numPr>
      </w:pPr>
      <w:r>
        <w:rPr>
          <w:b/>
        </w:rPr>
        <w:t xml:space="preserve">Actions</w:t>
      </w:r>
      <w:r>
        <w:t xml:space="preserve">: onboarding journey, a reminder after the first week, and incentives for the second and third transactions.</w:t>
      </w:r>
    </w:p>
    <w:p>
      <w:pPr>
        <w:pStyle w:val="ListParagraph"/>
        <w:numPr>
          <w:ilvl w:val="0"/>
          <w:numId w:val="7"/>
        </w:numPr>
      </w:pPr>
      <w:r>
        <w:rPr>
          <w:b/>
        </w:rPr>
        <w:t xml:space="preserve">Indicator</w:t>
      </w:r>
      <w:r>
        <w:t xml:space="preserve">: average number of transactions per customer in the first 30 days.</w:t>
      </w:r>
    </w:p>
    <w:p>
      <w:pPr>
        <w:pStyle w:val="Heading3"/>
      </w:pPr>
      <w:r>
        <w:t xml:space="preserve">Recommendation 4: reduce failures and reversals (high priority)</w:t>
      </w:r>
    </w:p>
    <w:p>
      <w:pPr>
        <w:pStyle w:val="ListParagraph"/>
        <w:numPr>
          <w:ilvl w:val="0"/>
          <w:numId w:val="8"/>
        </w:numPr>
      </w:pPr>
      <w:r>
        <w:rPr>
          <w:b/>
        </w:rPr>
        <w:t xml:space="preserve">Finding</w:t>
      </w:r>
      <w:r>
        <w:t xml:space="preserve">: 630 failures (5.3%), 326 reversals and 188 pending. Failures are the most flagged (27.0%).</w:t>
      </w:r>
    </w:p>
    <w:p>
      <w:pPr>
        <w:pStyle w:val="ListParagraph"/>
        <w:numPr>
          <w:ilvl w:val="0"/>
          <w:numId w:val="8"/>
        </w:numPr>
      </w:pPr>
      <w:r>
        <w:rPr>
          <w:b/>
        </w:rPr>
        <w:t xml:space="preserve">Actions</w:t>
      </w:r>
      <w:r>
        <w:t xml:space="preserve">:</w:t>
      </w:r>
    </w:p>
    <w:p>
      <w:pPr>
        <w:pStyle w:val="ListParagraph"/>
        <w:numPr>
          <w:ilvl w:val="1"/>
          <w:numId w:val="9"/>
        </w:numPr>
      </w:pPr>
      <w:r>
        <w:t xml:space="preserve">Break failures down by channel, device type and transaction type (analysis to be done with the </w:t>
      </w:r>
      <w:r>
        <w:rPr>
          <w:rStyle w:val="CodeChar"/>
        </w:rPr>
        <w:t xml:space="preserve">Channel</w:t>
      </w:r>
      <w:r>
        <w:t xml:space="preserve">, </w:t>
      </w:r>
      <w:r>
        <w:rPr>
          <w:rStyle w:val="CodeChar"/>
        </w:rPr>
        <w:t xml:space="preserve">Device_Type</w:t>
      </w:r>
      <w:r>
        <w:t xml:space="preserve"> and </w:t>
      </w:r>
      <w:r>
        <w:rPr>
          <w:rStyle w:val="CodeChar"/>
        </w:rPr>
        <w:t xml:space="preserve">Transaction_Type</w:t>
      </w:r>
      <w:r>
        <w:t xml:space="preserve"> columns).</w:t>
      </w:r>
    </w:p>
    <w:p>
      <w:pPr>
        <w:pStyle w:val="ListParagraph"/>
        <w:numPr>
          <w:ilvl w:val="1"/>
          <w:numId w:val="9"/>
        </w:numPr>
      </w:pPr>
      <w:r>
        <w:t xml:space="preserve">Fix technical causes and simplify the retry journey.</w:t>
      </w:r>
    </w:p>
    <w:p>
      <w:pPr>
        <w:pStyle w:val="ListParagraph"/>
        <w:numPr>
          <w:ilvl w:val="1"/>
          <w:numId w:val="9"/>
        </w:numPr>
      </w:pPr>
      <w:r>
        <w:t xml:space="preserve">Watch customers who chain several failures: this can be a fraud signal.</w:t>
      </w:r>
    </w:p>
    <w:p>
      <w:pPr>
        <w:pStyle w:val="ListParagraph"/>
        <w:numPr>
          <w:ilvl w:val="0"/>
          <w:numId w:val="8"/>
        </w:numPr>
      </w:pPr>
      <w:r>
        <w:rPr>
          <w:b/>
        </w:rPr>
        <w:t xml:space="preserve">Indicator</w:t>
      </w:r>
      <w:r>
        <w:t xml:space="preserve">: transaction success rate (90.5% today), with a target to set with the technical teams.</w:t>
      </w:r>
    </w:p>
    <w:p>
      <w:pPr>
        <w:pStyle w:val="Heading3"/>
      </w:pPr>
      <w:r>
        <w:t xml:space="preserve">Recommendation 5: strengthen risk control (high priority)</w:t>
      </w:r>
    </w:p>
    <w:p>
      <w:pPr>
        <w:pStyle w:val="ListParagraph"/>
        <w:numPr>
          <w:ilvl w:val="0"/>
          <w:numId w:val="10"/>
        </w:numPr>
      </w:pPr>
      <w:r>
        <w:rPr>
          <w:b/>
        </w:rPr>
        <w:t xml:space="preserve">Finding</w:t>
      </w:r>
      <w:r>
        <w:t xml:space="preserve">: 645 anomalies over three months, about 7 per day. The 189 rated Medium or High amount to about 2 per day, a manageable volume. Four cases are rated High and not flagged.</w:t>
      </w:r>
    </w:p>
    <w:p>
      <w:pPr>
        <w:pStyle w:val="ListParagraph"/>
        <w:numPr>
          <w:ilvl w:val="0"/>
          <w:numId w:val="10"/>
        </w:numPr>
      </w:pPr>
      <w:r>
        <w:rPr>
          <w:b/>
        </w:rPr>
        <w:t xml:space="preserve">Actions</w:t>
      </w:r>
      <w:r>
        <w:t xml:space="preserve">:</w:t>
      </w:r>
    </w:p>
    <w:p>
      <w:pPr>
        <w:pStyle w:val="ListParagraph"/>
        <w:numPr>
          <w:ilvl w:val="1"/>
          <w:numId w:val="11"/>
        </w:numPr>
      </w:pPr>
      <w:r>
        <w:t xml:space="preserve">Handle the 4 unflagged High cases first (including FT-T001211, a deposit of 572,230 NGN at 1:49 am), then the daytime transactions above 8.5 times the customer's average.</w:t>
      </w:r>
    </w:p>
    <w:p>
      <w:pPr>
        <w:pStyle w:val="ListParagraph"/>
        <w:numPr>
          <w:ilvl w:val="1"/>
          <w:numId w:val="11"/>
        </w:numPr>
      </w:pPr>
      <w:r>
        <w:t xml:space="preserve">Drop the night-time rule on its own: 24.2% of anomalies occur at night versus 25.2% of all transactions, so it distinguishes nothing.</w:t>
      </w:r>
    </w:p>
    <w:p>
      <w:pPr>
        <w:pStyle w:val="ListParagraph"/>
        <w:numPr>
          <w:ilvl w:val="1"/>
          <w:numId w:val="11"/>
        </w:numPr>
      </w:pPr>
      <w:r>
        <w:t xml:space="preserve">Add the amount to the risk score: 69% of the value of anomalies is rated 'Low'.</w:t>
      </w:r>
    </w:p>
    <w:p>
      <w:pPr>
        <w:pStyle w:val="ListParagraph"/>
        <w:numPr>
          <w:ilvl w:val="1"/>
          <w:numId w:val="11"/>
        </w:numPr>
      </w:pPr>
      <w:r>
        <w:t xml:space="preserve">Understand why the existing flag does not rise with the size of the deviation, and recalibrate its rules.</w:t>
      </w:r>
    </w:p>
    <w:p>
      <w:pPr>
        <w:pStyle w:val="ListParagraph"/>
        <w:numPr>
          <w:ilvl w:val="0"/>
          <w:numId w:val="10"/>
        </w:numPr>
      </w:pPr>
      <w:r>
        <w:rPr>
          <w:b/>
        </w:rPr>
        <w:t xml:space="preserve">Indicator</w:t>
      </w:r>
      <w:r>
        <w:t xml:space="preserve">: share of Medium and High anomalies reviewed within 48 hours; share of anomalies not flagged (66% today).</w:t>
      </w:r>
    </w:p>
    <w:p>
      <w:pPr>
        <w:pStyle w:val="Heading3"/>
      </w:pPr>
      <w:r>
        <w:t xml:space="preserve">Recommendation 6: target by profile, test USSD and the SME segment (medium priority)</w:t>
      </w:r>
    </w:p>
    <w:p>
      <w:pPr>
        <w:pStyle w:val="ListParagraph"/>
        <w:numPr>
          <w:ilvl w:val="0"/>
          <w:numId w:val="12"/>
        </w:numPr>
      </w:pPr>
      <w:r>
        <w:rPr>
          <w:b/>
        </w:rPr>
        <w:t xml:space="preserve">Finding</w:t>
      </w:r>
      <w:r>
        <w:t xml:space="preserve">: profiles vary little from one segment to another, but USSD (219 customers) has the lowest average basket (324,024 NGN), the fewest Champions (17.8%) and the most customers to reactivate (21.9%). The SME segment has 24.1% of customers to reactivate.</w:t>
      </w:r>
    </w:p>
    <w:p>
      <w:pPr>
        <w:pStyle w:val="ListParagraph"/>
        <w:numPr>
          <w:ilvl w:val="0"/>
          <w:numId w:val="12"/>
        </w:numPr>
      </w:pPr>
      <w:r>
        <w:rPr>
          <w:b/>
        </w:rPr>
        <w:t xml:space="preserve">Actions</w:t>
      </w:r>
      <w:r>
        <w:t xml:space="preserve">:</w:t>
      </w:r>
    </w:p>
    <w:p>
      <w:pPr>
        <w:pStyle w:val="ListParagraph"/>
        <w:numPr>
          <w:ilvl w:val="1"/>
          <w:numId w:val="13"/>
        </w:numPr>
      </w:pPr>
      <w:r>
        <w:t xml:space="preserve">Build campaigns from the RFM profile, not the segment.</w:t>
      </w:r>
    </w:p>
    <w:p>
      <w:pPr>
        <w:pStyle w:val="ListParagraph"/>
        <w:numPr>
          <w:ilvl w:val="1"/>
          <w:numId w:val="13"/>
        </w:numPr>
      </w:pPr>
      <w:r>
        <w:t xml:space="preserve">Run a pilot encouraging mobile app use among a sample of USSD customers before any wider rollout.</w:t>
      </w:r>
    </w:p>
    <w:p>
      <w:pPr>
        <w:pStyle w:val="ListParagraph"/>
        <w:numPr>
          <w:ilvl w:val="1"/>
          <w:numId w:val="13"/>
        </w:numPr>
      </w:pPr>
      <w:r>
        <w:t xml:space="preserve">Have a dedicated advisor contact the SME customers to reactivate.</w:t>
      </w:r>
    </w:p>
    <w:p>
      <w:pPr>
        <w:pStyle w:val="ListParagraph"/>
        <w:numPr>
          <w:ilvl w:val="0"/>
          <w:numId w:val="12"/>
        </w:numPr>
      </w:pPr>
      <w:r>
        <w:rPr>
          <w:b/>
        </w:rPr>
        <w:t xml:space="preserve">Indicator</w:t>
      </w:r>
      <w:r>
        <w:t xml:space="preserve">: change in average basket and frequency of the pilot USSD customers, compared with a control group.</w:t>
      </w:r>
    </w:p>
    <w:p>
      <w:pPr>
        <w:pStyle w:val="Heading3"/>
      </w:pPr>
      <w:r>
        <w:t xml:space="preserve">Recommendation 7: improve data reliability (medium priority)</w:t>
      </w:r>
    </w:p>
    <w:p>
      <w:pPr>
        <w:pStyle w:val="ListParagraph"/>
        <w:numPr>
          <w:ilvl w:val="0"/>
          <w:numId w:val="14"/>
        </w:numPr>
      </w:pPr>
      <w:r>
        <w:rPr>
          <w:b/>
        </w:rPr>
        <w:t xml:space="preserve">Finding</w:t>
      </w:r>
      <w:r>
        <w:t xml:space="preserve">: 'Dormant' accounts (107) are as active as active accounts, and 'Restricted' accounts (26) show the highest average frequency and amount (405,538 NGN). Times are not converted to the Nigerian time zone. No confirmed fraud is recorded.</w:t>
      </w:r>
    </w:p>
    <w:p>
      <w:pPr>
        <w:pStyle w:val="ListParagraph"/>
        <w:numPr>
          <w:ilvl w:val="0"/>
          <w:numId w:val="14"/>
        </w:numPr>
      </w:pPr>
      <w:r>
        <w:rPr>
          <w:b/>
        </w:rPr>
        <w:t xml:space="preserve">Actions</w:t>
      </w:r>
      <w:r>
        <w:t xml:space="preserve">:</w:t>
      </w:r>
    </w:p>
    <w:p>
      <w:pPr>
        <w:pStyle w:val="ListParagraph"/>
        <w:numPr>
          <w:ilvl w:val="1"/>
          <w:numId w:val="15"/>
        </w:numPr>
      </w:pPr>
      <w:r>
        <w:t xml:space="preserve">Check when </w:t>
      </w:r>
      <w:r>
        <w:rPr>
          <w:rStyle w:val="CodeChar"/>
        </w:rPr>
        <w:t xml:space="preserve">Account_Status</w:t>
      </w:r>
      <w:r>
        <w:t xml:space="preserve"> was last updated.</w:t>
      </w:r>
    </w:p>
    <w:p>
      <w:pPr>
        <w:pStyle w:val="ListParagraph"/>
        <w:numPr>
          <w:ilvl w:val="1"/>
          <w:numId w:val="15"/>
        </w:numPr>
      </w:pPr>
      <w:r>
        <w:t xml:space="preserve">Examine the activity of the 26 restricted accounts.</w:t>
      </w:r>
    </w:p>
    <w:p>
      <w:pPr>
        <w:pStyle w:val="ListParagraph"/>
        <w:numPr>
          <w:ilvl w:val="1"/>
          <w:numId w:val="15"/>
        </w:numPr>
      </w:pPr>
      <w:r>
        <w:t xml:space="preserve">Add a confirmed-fraud indicator to measure detection accuracy.</w:t>
      </w:r>
    </w:p>
    <w:p>
      <w:pPr>
        <w:pStyle w:val="ListParagraph"/>
        <w:numPr>
          <w:ilvl w:val="1"/>
          <w:numId w:val="15"/>
        </w:numPr>
      </w:pPr>
      <w:r>
        <w:t xml:space="preserve">Extend the analysis to at least 12 months to make recency more reliable.</w:t>
      </w:r>
    </w:p>
    <w:p>
      <w:pPr>
        <w:pStyle w:val="ListParagraph"/>
        <w:numPr>
          <w:ilvl w:val="0"/>
          <w:numId w:val="14"/>
        </w:numPr>
      </w:pPr>
      <w:r>
        <w:rPr>
          <w:b/>
        </w:rPr>
        <w:t xml:space="preserve">Indicator</w:t>
      </w:r>
      <w:r>
        <w:t xml:space="preserve">: consistency between account status and observed activity.</w:t>
      </w:r>
    </w:p>
    <w:p>
      <w:pPr>
        <w:pStyle w:val="Heading2"/>
      </w:pPr>
      <w:r>
        <w:t xml:space="preserve">4. Action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Horizon</w:t>
            </w:r>
          </w:p>
        </w:tc>
        <w:tc>
          <w:tcPr>
            <w:tcW w:w="3120" w:type="dxa"/>
            <w:shd w:val="clear" w:color="auto" w:fill="F2F2F2"/>
          </w:tcPr>
          <w:p>
            <w:pPr/>
            <w:r>
              <w:t xml:space="preserve">Action</w:t>
            </w:r>
          </w:p>
        </w:tc>
        <w:tc>
          <w:tcPr>
            <w:tcW w:w="3120" w:type="dxa"/>
            <w:shd w:val="clear" w:color="auto" w:fill="F2F2F2"/>
          </w:tcPr>
          <w:p>
            <w:pPr/>
            <w:r>
              <w:t xml:space="preserve">Suggested team</w:t>
            </w:r>
          </w:p>
        </w:tc>
      </w:tr>
      <w:tr>
        <w:tc>
          <w:tcPr>
            <w:tcW w:w="3120" w:type="dxa"/>
          </w:tcPr>
          <w:p>
            <w:pPr/>
            <w:r>
              <w:t xml:space="preserve">0 to 30 days</w:t>
            </w:r>
          </w:p>
        </w:tc>
        <w:tc>
          <w:tcPr>
            <w:tcW w:w="3120" w:type="dxa"/>
          </w:tcPr>
          <w:p>
            <w:pPr/>
            <w:r>
              <w:t xml:space="preserve">Review the 4 unflagged High anomalies and the daytime transactions above 8.5 times the average</w:t>
            </w:r>
          </w:p>
        </w:tc>
        <w:tc>
          <w:tcPr>
            <w:tcW w:w="3120" w:type="dxa"/>
          </w:tcPr>
          <w:p>
            <w:pPr/>
            <w:r>
              <w:t xml:space="preserve">Risk and compliance</w:t>
            </w:r>
          </w:p>
        </w:tc>
      </w:tr>
      <w:tr>
        <w:tc>
          <w:tcPr>
            <w:tcW w:w="3120" w:type="dxa"/>
          </w:tcPr>
          <w:p>
            <w:pPr/>
            <w:r>
              <w:t xml:space="preserve">0 to 30 days</w:t>
            </w:r>
          </w:p>
        </w:tc>
        <w:tc>
          <w:tcPr>
            <w:tcW w:w="3120" w:type="dxa"/>
          </w:tcPr>
          <w:p>
            <w:pPr/>
            <w:r>
              <w:t xml:space="preserve">Reactivation campaign for 'at risk' customers, starting with those inactive for 17 days or more</w:t>
            </w:r>
          </w:p>
        </w:tc>
        <w:tc>
          <w:tcPr>
            <w:tcW w:w="3120" w:type="dxa"/>
          </w:tcPr>
          <w:p>
            <w:pPr/>
            <w:r>
              <w:t xml:space="preserve">Marketing and CRM</w:t>
            </w:r>
          </w:p>
        </w:tc>
      </w:tr>
      <w:tr>
        <w:tc>
          <w:tcPr>
            <w:tcW w:w="3120" w:type="dxa"/>
          </w:tcPr>
          <w:p>
            <w:pPr/>
            <w:r>
              <w:t xml:space="preserve">0 to 30 days</w:t>
            </w:r>
          </w:p>
        </w:tc>
        <w:tc>
          <w:tcPr>
            <w:tcW w:w="3120" w:type="dxa"/>
          </w:tcPr>
          <w:p>
            <w:pPr/>
            <w:r>
              <w:t xml:space="preserve">Check restricted accounts and the </w:t>
            </w:r>
            <w:r>
              <w:rPr>
                <w:rStyle w:val="CodeChar"/>
              </w:rPr>
              <w:t xml:space="preserve">Account_Status</w:t>
            </w:r>
            <w:r>
              <w:t xml:space="preserve"> field</w:t>
            </w:r>
          </w:p>
        </w:tc>
        <w:tc>
          <w:tcPr>
            <w:tcW w:w="3120" w:type="dxa"/>
          </w:tcPr>
          <w:p>
            <w:pPr/>
            <w:r>
              <w:t xml:space="preserve">Data and operations</w:t>
            </w:r>
          </w:p>
        </w:tc>
      </w:tr>
      <w:tr>
        <w:tc>
          <w:tcPr>
            <w:tcW w:w="3120" w:type="dxa"/>
          </w:tcPr>
          <w:p>
            <w:pPr/>
            <w:r>
              <w:t xml:space="preserve">30 to 90 days</w:t>
            </w:r>
          </w:p>
        </w:tc>
        <w:tc>
          <w:tcPr>
            <w:tcW w:w="3120" w:type="dxa"/>
          </w:tcPr>
          <w:p>
            <w:pPr/>
            <w:r>
              <w:t xml:space="preserve">Analyse failures by channel, device and transaction type</w:t>
            </w:r>
          </w:p>
        </w:tc>
        <w:tc>
          <w:tcPr>
            <w:tcW w:w="3120" w:type="dxa"/>
          </w:tcPr>
          <w:p>
            <w:pPr/>
            <w:r>
              <w:t xml:space="preserve">Product and engineering</w:t>
            </w:r>
          </w:p>
        </w:tc>
      </w:tr>
      <w:tr>
        <w:tc>
          <w:tcPr>
            <w:tcW w:w="3120" w:type="dxa"/>
          </w:tcPr>
          <w:p>
            <w:pPr/>
            <w:r>
              <w:t xml:space="preserve">30 to 90 days</w:t>
            </w:r>
          </w:p>
        </w:tc>
        <w:tc>
          <w:tcPr>
            <w:tcW w:w="3120" w:type="dxa"/>
          </w:tcPr>
          <w:p>
            <w:pPr/>
            <w:r>
              <w:t xml:space="preserve">Update the risk score (amount, international, night) and recalibrate flagging</w:t>
            </w:r>
          </w:p>
        </w:tc>
        <w:tc>
          <w:tcPr>
            <w:tcW w:w="3120" w:type="dxa"/>
          </w:tcPr>
          <w:p>
            <w:pPr/>
            <w:r>
              <w:t xml:space="preserve">Risk and data</w:t>
            </w:r>
          </w:p>
        </w:tc>
      </w:tr>
      <w:tr>
        <w:tc>
          <w:tcPr>
            <w:tcW w:w="3120" w:type="dxa"/>
          </w:tcPr>
          <w:p>
            <w:pPr/>
            <w:r>
              <w:t xml:space="preserve">30 to 90 days</w:t>
            </w:r>
          </w:p>
        </w:tc>
        <w:tc>
          <w:tcPr>
            <w:tcW w:w="3120" w:type="dxa"/>
          </w:tcPr>
          <w:p>
            <w:pPr/>
            <w:r>
              <w:t xml:space="preserve">New-customer onboarding journey and Champions programme</w:t>
            </w:r>
          </w:p>
        </w:tc>
        <w:tc>
          <w:tcPr>
            <w:tcW w:w="3120" w:type="dxa"/>
          </w:tcPr>
          <w:p>
            <w:pPr/>
            <w:r>
              <w:t xml:space="preserve">Marketing and product</w:t>
            </w:r>
          </w:p>
        </w:tc>
      </w:tr>
      <w:tr>
        <w:tc>
          <w:tcPr>
            <w:tcW w:w="3120" w:type="dxa"/>
          </w:tcPr>
          <w:p>
            <w:pPr/>
            <w:r>
              <w:t xml:space="preserve">3 to 6 months</w:t>
            </w:r>
          </w:p>
        </w:tc>
        <w:tc>
          <w:tcPr>
            <w:tcW w:w="3120" w:type="dxa"/>
          </w:tcPr>
          <w:p>
            <w:pPr/>
            <w:r>
              <w:t xml:space="preserve">USSD-to-mobile-app pilot, with a control group</w:t>
            </w:r>
          </w:p>
        </w:tc>
        <w:tc>
          <w:tcPr>
            <w:tcW w:w="3120" w:type="dxa"/>
          </w:tcPr>
          <w:p>
            <w:pPr/>
            <w:r>
              <w:t xml:space="preserve">Product and digital</w:t>
            </w:r>
          </w:p>
        </w:tc>
      </w:tr>
      <w:tr>
        <w:tc>
          <w:tcPr>
            <w:tcW w:w="3120" w:type="dxa"/>
          </w:tcPr>
          <w:p>
            <w:pPr/>
            <w:r>
              <w:t xml:space="preserve">3 to 6 months</w:t>
            </w:r>
          </w:p>
        </w:tc>
        <w:tc>
          <w:tcPr>
            <w:tcW w:w="3120" w:type="dxa"/>
          </w:tcPr>
          <w:p>
            <w:pPr/>
            <w:r>
              <w:t xml:space="preserve">Recompute the segmentation over 12 months with fixed recency and frequency thresholds</w:t>
            </w:r>
          </w:p>
        </w:tc>
        <w:tc>
          <w:tcPr>
            <w:tcW w:w="3120" w:type="dxa"/>
          </w:tcPr>
          <w:p>
            <w:pPr/>
            <w:r>
              <w:t xml:space="preserve">Data</w:t>
            </w:r>
          </w:p>
        </w:tc>
      </w:tr>
    </w:tbl>
    <w:p>
      <w:pPr>
        <w:pStyle w:val="Heading2"/>
      </w:pPr>
      <w:r>
        <w:t xml:space="preserve">5. Tracking indicators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Indicator</w:t>
            </w:r>
          </w:p>
        </w:tc>
        <w:tc>
          <w:tcPr>
            <w:tcW w:w="3120" w:type="dxa"/>
            <w:shd w:val="clear" w:color="auto" w:fill="F2F2F2"/>
          </w:tcPr>
          <w:p>
            <w:pPr/>
            <w:r>
              <w:t xml:space="preserve">Starting value</w:t>
            </w:r>
          </w:p>
        </w:tc>
        <w:tc>
          <w:tcPr>
            <w:tcW w:w="3120" w:type="dxa"/>
            <w:shd w:val="clear" w:color="auto" w:fill="F2F2F2"/>
          </w:tcPr>
          <w:p>
            <w:pPr/>
            <w:r>
              <w:t xml:space="preserve">Desired direction</w:t>
            </w:r>
          </w:p>
        </w:tc>
      </w:tr>
      <w:tr>
        <w:tc>
          <w:tcPr>
            <w:tcW w:w="3120" w:type="dxa"/>
          </w:tcPr>
          <w:p>
            <w:pPr/>
            <w:r>
              <w:t xml:space="preserve">Share of Champions</w:t>
            </w:r>
          </w:p>
        </w:tc>
        <w:tc>
          <w:tcPr>
            <w:tcW w:w="3120" w:type="dxa"/>
          </w:tcPr>
          <w:p>
            <w:pPr/>
            <w:r>
              <w:t xml:space="preserve">20.9% of customers</w:t>
            </w:r>
          </w:p>
        </w:tc>
        <w:tc>
          <w:tcPr>
            <w:tcW w:w="3120" w:type="dxa"/>
          </w:tcPr>
          <w:p>
            <w:pPr/>
            <w:r>
              <w:t xml:space="preserve">Increase</w:t>
            </w:r>
          </w:p>
        </w:tc>
      </w:tr>
      <w:tr>
        <w:tc>
          <w:tcPr>
            <w:tcW w:w="3120" w:type="dxa"/>
          </w:tcPr>
          <w:p>
            <w:pPr/>
            <w:r>
              <w:t xml:space="preserve">Share of 'at risk' customers</w:t>
            </w:r>
          </w:p>
        </w:tc>
        <w:tc>
          <w:tcPr>
            <w:tcW w:w="3120" w:type="dxa"/>
          </w:tcPr>
          <w:p>
            <w:pPr/>
            <w:r>
              <w:t xml:space="preserve">13.3% of customers</w:t>
            </w:r>
          </w:p>
        </w:tc>
        <w:tc>
          <w:tcPr>
            <w:tcW w:w="3120" w:type="dxa"/>
          </w:tcPr>
          <w:p>
            <w:pPr/>
            <w:r>
              <w:t xml:space="preserve">Decrease</w:t>
            </w:r>
          </w:p>
        </w:tc>
      </w:tr>
      <w:tr>
        <w:tc>
          <w:tcPr>
            <w:tcW w:w="3120" w:type="dxa"/>
          </w:tcPr>
          <w:p>
            <w:pPr/>
            <w:r>
              <w:t xml:space="preserve">Transaction success rate</w:t>
            </w:r>
          </w:p>
        </w:tc>
        <w:tc>
          <w:tcPr>
            <w:tcW w:w="3120" w:type="dxa"/>
          </w:tcPr>
          <w:p>
            <w:pPr/>
            <w:r>
              <w:t xml:space="preserve">90.5%</w:t>
            </w:r>
          </w:p>
        </w:tc>
        <w:tc>
          <w:tcPr>
            <w:tcW w:w="3120" w:type="dxa"/>
          </w:tcPr>
          <w:p>
            <w:pPr/>
            <w:r>
              <w:t xml:space="preserve">Increase</w:t>
            </w:r>
          </w:p>
        </w:tc>
      </w:tr>
      <w:tr>
        <w:tc>
          <w:tcPr>
            <w:tcW w:w="3120" w:type="dxa"/>
          </w:tcPr>
          <w:p>
            <w:pPr/>
            <w:r>
              <w:t xml:space="preserve">Review flag rate (successful transactions)</w:t>
            </w:r>
          </w:p>
        </w:tc>
        <w:tc>
          <w:tcPr>
            <w:tcW w:w="3120" w:type="dxa"/>
          </w:tcPr>
          <w:p>
            <w:pPr/>
            <w:r>
              <w:t xml:space="preserve">19.2%</w:t>
            </w:r>
          </w:p>
        </w:tc>
        <w:tc>
          <w:tcPr>
            <w:tcW w:w="3120" w:type="dxa"/>
          </w:tcPr>
          <w:p>
            <w:pPr/>
            <w:r>
              <w:t xml:space="preserve">Monitor, not a target in itself</w:t>
            </w:r>
          </w:p>
        </w:tc>
      </w:tr>
      <w:tr>
        <w:tc>
          <w:tcPr>
            <w:tcW w:w="3120" w:type="dxa"/>
          </w:tcPr>
          <w:p>
            <w:pPr/>
            <w:r>
              <w:t xml:space="preserve">Anomalies not flagged</w:t>
            </w:r>
          </w:p>
        </w:tc>
        <w:tc>
          <w:tcPr>
            <w:tcW w:w="3120" w:type="dxa"/>
          </w:tcPr>
          <w:p>
            <w:pPr/>
            <w:r>
              <w:t xml:space="preserve">65.6%</w:t>
            </w:r>
          </w:p>
        </w:tc>
        <w:tc>
          <w:tcPr>
            <w:tcW w:w="3120" w:type="dxa"/>
          </w:tcPr>
          <w:p>
            <w:pPr/>
            <w:r>
              <w:t xml:space="preserve">Decrease</w:t>
            </w:r>
          </w:p>
        </w:tc>
      </w:tr>
      <w:tr>
        <w:tc>
          <w:tcPr>
            <w:tcW w:w="3120" w:type="dxa"/>
          </w:tcPr>
          <w:p>
            <w:pPr/>
            <w:r>
              <w:t xml:space="preserve">Daily volume (March, successful transactions)</w:t>
            </w:r>
          </w:p>
        </w:tc>
        <w:tc>
          <w:tcPr>
            <w:tcW w:w="3120" w:type="dxa"/>
          </w:tcPr>
          <w:p>
            <w:pPr/>
            <w:r>
              <w:t xml:space="preserve">5.79 M NGN</w:t>
            </w:r>
          </w:p>
        </w:tc>
        <w:tc>
          <w:tcPr>
            <w:tcW w:w="3120" w:type="dxa"/>
          </w:tcPr>
          <w:p>
            <w:pPr/>
            <w:r>
              <w:t xml:space="preserve">Increase</w:t>
            </w:r>
          </w:p>
        </w:tc>
      </w:tr>
      <w:tr>
        <w:tc>
          <w:tcPr>
            <w:tcW w:w="3120" w:type="dxa"/>
          </w:tcPr>
          <w:p>
            <w:pPr/>
            <w:r>
              <w:t xml:space="preserve">Transactions per day</w:t>
            </w:r>
          </w:p>
        </w:tc>
        <w:tc>
          <w:tcPr>
            <w:tcW w:w="3120" w:type="dxa"/>
          </w:tcPr>
          <w:p>
            <w:pPr/>
            <w:r>
              <w:t xml:space="preserve">About 121</w:t>
            </w:r>
          </w:p>
        </w:tc>
        <w:tc>
          <w:tcPr>
            <w:tcW w:w="3120" w:type="dxa"/>
          </w:tcPr>
          <w:p>
            <w:pPr/>
            <w:r>
              <w:t xml:space="preserve">Increase</w:t>
            </w:r>
          </w:p>
        </w:tc>
      </w:tr>
    </w:tbl>
    <w:p>
      <w:pPr>
        <w:pStyle w:val="Heading2"/>
      </w:pPr>
      <w:r>
        <w:t xml:space="preserve">6. Assumptions and limitations</w:t>
      </w:r>
    </w:p>
    <w:p>
      <w:pPr>
        <w:pStyle w:val="ListParagraph"/>
        <w:numPr>
          <w:ilvl w:val="0"/>
          <w:numId w:val="16"/>
        </w:numPr>
      </w:pPr>
      <w:r>
        <w:rPr>
          <w:b/>
        </w:rPr>
        <w:t xml:space="preserve">Volume and revenue</w:t>
      </w:r>
      <w:r>
        <w:t xml:space="preserve">: the amounts are transaction volumes. Without margins or costs, no return on investment is calculated.</w:t>
      </w:r>
    </w:p>
    <w:p>
      <w:pPr>
        <w:pStyle w:val="ListParagraph"/>
        <w:numPr>
          <w:ilvl w:val="0"/>
          <w:numId w:val="16"/>
        </w:numPr>
      </w:pPr>
      <w:r>
        <w:rPr>
          <w:b/>
        </w:rPr>
        <w:t xml:space="preserve">Short period</w:t>
      </w:r>
      <w:r>
        <w:t xml:space="preserve">: only three months, which limits how recency and trends can be read.</w:t>
      </w:r>
    </w:p>
    <w:p>
      <w:pPr>
        <w:pStyle w:val="ListParagraph"/>
        <w:numPr>
          <w:ilvl w:val="0"/>
          <w:numId w:val="16"/>
        </w:numPr>
      </w:pPr>
      <w:r>
        <w:rPr>
          <w:b/>
        </w:rPr>
        <w:t xml:space="preserve">Flag and fraud</w:t>
      </w:r>
      <w:r>
        <w:t xml:space="preserve">: the review flag does not indicate confirmed fraud.</w:t>
      </w:r>
    </w:p>
    <w:p>
      <w:pPr>
        <w:pStyle w:val="ListParagraph"/>
        <w:numPr>
          <w:ilvl w:val="0"/>
          <w:numId w:val="16"/>
        </w:numPr>
      </w:pPr>
      <w:r>
        <w:rPr>
          <w:b/>
        </w:rPr>
        <w:t xml:space="preserve">RFM labels</w:t>
      </w:r>
      <w:r>
        <w:t xml:space="preserve">: profiles rely on quartiles whose boundaries overlap. The 'Lost' label corresponds to at least 17 days of inactivity, which is low.</w:t>
      </w:r>
    </w:p>
    <w:p>
      <w:pPr>
        <w:pStyle w:val="ListParagraph"/>
        <w:numPr>
          <w:ilvl w:val="0"/>
          <w:numId w:val="16"/>
        </w:numPr>
      </w:pPr>
      <w:r>
        <w:rPr>
          <w:b/>
        </w:rPr>
        <w:t xml:space="preserve">Numerical targets</w:t>
      </w:r>
      <w:r>
        <w:t xml:space="preserve">: none is imposed here; they should be set with the teams concerned.</w:t>
      </w:r>
    </w:p>
    <w:p>
      <w:pPr>
        <w:pStyle w:val="ListParagraph"/>
        <w:numPr>
          <w:ilvl w:val="0"/>
          <w:numId w:val="16"/>
        </w:numPr>
      </w:pPr>
      <w:r>
        <w:rPr>
          <w:b/>
        </w:rPr>
        <w:t xml:space="preserve">Pending transactions</w:t>
      </w:r>
      <w:r>
        <w:t xml:space="preserve">: the 188 excluded transactions could turn out to be successful or failed.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Business Recommendations FinTrust</dc:title>
  <dc:description>Claude Docs node/14b29fe6-7085@1 docx-w6</dc:description>
  <cp:revision>1</cp:revision>
</cp:coreProperties>
</file>